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55DFA" w14:textId="59EFC079" w:rsidR="00C31F85" w:rsidRDefault="00C31F85" w:rsidP="00C31F85">
      <w:pPr>
        <w:pStyle w:val="papertitle"/>
      </w:pPr>
      <w:bookmarkStart w:id="0" w:name="_GoBack"/>
      <w:bookmarkEnd w:id="0"/>
      <w:r>
        <w:t xml:space="preserve">Energy </w:t>
      </w:r>
      <w:r w:rsidR="00D36DD5">
        <w:t xml:space="preserve">Generation </w:t>
      </w:r>
      <w:r>
        <w:t>Consumption Review</w:t>
      </w:r>
    </w:p>
    <w:p w14:paraId="38E5B33B" w14:textId="77777777" w:rsidR="00C31F85" w:rsidRPr="005B520E" w:rsidRDefault="00C31F85" w:rsidP="00C31F85"/>
    <w:p w14:paraId="5F19A3E4" w14:textId="77777777" w:rsidR="00C31F85" w:rsidRPr="00C31F85" w:rsidRDefault="00C31F85" w:rsidP="00C31F85">
      <w:pPr>
        <w:pStyle w:val="Author"/>
        <w:spacing w:before="0" w:after="0"/>
        <w:jc w:val="left"/>
      </w:pPr>
      <w:r w:rsidRPr="00C31F85">
        <w:t>Christopher Pamieta</w:t>
      </w:r>
      <w:r w:rsidRPr="00C31F85">
        <w:tab/>
      </w:r>
      <w:r w:rsidRPr="00C31F85">
        <w:tab/>
      </w:r>
      <w:r w:rsidRPr="00C31F85">
        <w:tab/>
      </w:r>
      <w:r w:rsidRPr="00C31F85">
        <w:tab/>
      </w:r>
      <w:r w:rsidRPr="00C31F85">
        <w:tab/>
      </w:r>
      <w:r w:rsidRPr="00C31F85">
        <w:tab/>
      </w:r>
      <w:r w:rsidRPr="00C31F85">
        <w:tab/>
        <w:t>Jason Yakubovich</w:t>
      </w:r>
    </w:p>
    <w:p w14:paraId="75B14A46" w14:textId="77777777" w:rsidR="00C31F85" w:rsidRPr="00C31F85" w:rsidRDefault="00D57A49" w:rsidP="00C31F85">
      <w:pPr>
        <w:pStyle w:val="Affiliation"/>
        <w:jc w:val="left"/>
        <w:rPr>
          <w:sz w:val="22"/>
          <w:szCs w:val="22"/>
        </w:rPr>
      </w:pPr>
      <w:hyperlink r:id="rId8" w:history="1">
        <w:r w:rsidR="00C31F85" w:rsidRPr="00C31F85">
          <w:rPr>
            <w:rStyle w:val="Hyperlink"/>
            <w:sz w:val="22"/>
            <w:szCs w:val="22"/>
          </w:rPr>
          <w:t>christopherpamieta@lewisu.edu</w:t>
        </w:r>
      </w:hyperlink>
      <w:r w:rsidR="00C31F85" w:rsidRPr="00C31F85">
        <w:rPr>
          <w:sz w:val="22"/>
          <w:szCs w:val="22"/>
        </w:rPr>
        <w:tab/>
      </w:r>
      <w:r w:rsidR="00C31F85" w:rsidRPr="00C31F85">
        <w:rPr>
          <w:sz w:val="22"/>
          <w:szCs w:val="22"/>
        </w:rPr>
        <w:tab/>
      </w:r>
      <w:r w:rsidR="00C31F85" w:rsidRPr="00C31F85">
        <w:rPr>
          <w:sz w:val="22"/>
          <w:szCs w:val="22"/>
        </w:rPr>
        <w:tab/>
      </w:r>
      <w:r w:rsidR="00C31F85" w:rsidRPr="00C31F85">
        <w:rPr>
          <w:sz w:val="22"/>
          <w:szCs w:val="22"/>
        </w:rPr>
        <w:tab/>
      </w:r>
      <w:r w:rsidR="00C31F85" w:rsidRPr="00C31F85">
        <w:rPr>
          <w:sz w:val="22"/>
          <w:szCs w:val="22"/>
        </w:rPr>
        <w:tab/>
      </w:r>
      <w:r w:rsidR="00C31F85" w:rsidRPr="00C31F85">
        <w:rPr>
          <w:sz w:val="22"/>
          <w:szCs w:val="22"/>
        </w:rPr>
        <w:tab/>
      </w:r>
      <w:hyperlink r:id="rId9" w:history="1">
        <w:r w:rsidR="00C31F85" w:rsidRPr="00C31F85">
          <w:rPr>
            <w:rStyle w:val="Hyperlink"/>
            <w:sz w:val="22"/>
            <w:szCs w:val="22"/>
          </w:rPr>
          <w:t>jasonayakubovich@lewisu.edu</w:t>
        </w:r>
      </w:hyperlink>
    </w:p>
    <w:p w14:paraId="2D7B6793" w14:textId="77777777" w:rsidR="00C31F85" w:rsidRPr="00C31F85" w:rsidRDefault="00C31F85" w:rsidP="00C31F85">
      <w:pPr>
        <w:pStyle w:val="Affiliation"/>
        <w:jc w:val="left"/>
        <w:rPr>
          <w:sz w:val="22"/>
          <w:szCs w:val="22"/>
        </w:rPr>
      </w:pPr>
      <w:r w:rsidRPr="00C31F85">
        <w:rPr>
          <w:sz w:val="22"/>
          <w:szCs w:val="22"/>
        </w:rPr>
        <w:tab/>
      </w:r>
      <w:r w:rsidRPr="00C31F85">
        <w:rPr>
          <w:sz w:val="22"/>
          <w:szCs w:val="22"/>
        </w:rPr>
        <w:tab/>
      </w:r>
      <w:r w:rsidRPr="00C31F85">
        <w:rPr>
          <w:sz w:val="22"/>
          <w:szCs w:val="22"/>
        </w:rPr>
        <w:tab/>
      </w:r>
      <w:r w:rsidRPr="00C31F85">
        <w:rPr>
          <w:sz w:val="22"/>
          <w:szCs w:val="22"/>
        </w:rPr>
        <w:tab/>
      </w:r>
      <w:r w:rsidRPr="00C31F85">
        <w:rPr>
          <w:sz w:val="22"/>
          <w:szCs w:val="22"/>
        </w:rPr>
        <w:tab/>
      </w:r>
      <w:r w:rsidRPr="00C31F85">
        <w:rPr>
          <w:sz w:val="22"/>
          <w:szCs w:val="22"/>
        </w:rPr>
        <w:tab/>
      </w:r>
      <w:r w:rsidRPr="00C31F85">
        <w:rPr>
          <w:sz w:val="22"/>
          <w:szCs w:val="22"/>
        </w:rPr>
        <w:tab/>
      </w:r>
      <w:r w:rsidRPr="00C31F85">
        <w:rPr>
          <w:sz w:val="22"/>
          <w:szCs w:val="22"/>
        </w:rPr>
        <w:tab/>
      </w:r>
      <w:r w:rsidRPr="00C31F85">
        <w:rPr>
          <w:sz w:val="22"/>
          <w:szCs w:val="22"/>
        </w:rPr>
        <w:tab/>
      </w:r>
      <w:r w:rsidRPr="00C31F85">
        <w:rPr>
          <w:sz w:val="22"/>
          <w:szCs w:val="22"/>
        </w:rPr>
        <w:tab/>
      </w:r>
    </w:p>
    <w:p w14:paraId="72414DE3" w14:textId="77777777" w:rsidR="00C31F85" w:rsidRPr="00C31F85" w:rsidRDefault="00C31F85" w:rsidP="00C31F85">
      <w:pPr>
        <w:pStyle w:val="Author"/>
        <w:spacing w:before="0" w:after="0"/>
        <w:jc w:val="left"/>
      </w:pPr>
      <w:r w:rsidRPr="00C31F85">
        <w:t>Dumisani Dlamini</w:t>
      </w:r>
      <w:r w:rsidRPr="00C31F85">
        <w:tab/>
      </w:r>
      <w:r w:rsidRPr="00C31F85">
        <w:tab/>
      </w:r>
      <w:r w:rsidRPr="00C31F85">
        <w:tab/>
      </w:r>
      <w:r w:rsidRPr="00C31F85">
        <w:tab/>
      </w:r>
      <w:r w:rsidRPr="00C31F85">
        <w:tab/>
      </w:r>
      <w:r w:rsidRPr="00C31F85">
        <w:tab/>
      </w:r>
      <w:r w:rsidRPr="00C31F85">
        <w:tab/>
        <w:t>Michael Sloan</w:t>
      </w:r>
    </w:p>
    <w:p w14:paraId="4E55F559" w14:textId="77777777" w:rsidR="00C31F85" w:rsidRPr="00C31F85" w:rsidRDefault="00D57A49" w:rsidP="00C31F85">
      <w:pPr>
        <w:pStyle w:val="Affiliation"/>
        <w:jc w:val="both"/>
        <w:rPr>
          <w:sz w:val="22"/>
          <w:szCs w:val="22"/>
        </w:rPr>
      </w:pPr>
      <w:hyperlink r:id="rId10" w:history="1">
        <w:r w:rsidR="00C31F85" w:rsidRPr="00C31F85">
          <w:rPr>
            <w:rStyle w:val="Hyperlink"/>
            <w:sz w:val="22"/>
            <w:szCs w:val="22"/>
          </w:rPr>
          <w:t>dumisanidlamini@lewisu.edu</w:t>
        </w:r>
      </w:hyperlink>
      <w:r w:rsidR="00C31F85" w:rsidRPr="00C31F85">
        <w:rPr>
          <w:sz w:val="22"/>
          <w:szCs w:val="22"/>
        </w:rPr>
        <w:tab/>
      </w:r>
      <w:r w:rsidR="00C31F85" w:rsidRPr="00C31F85">
        <w:rPr>
          <w:sz w:val="22"/>
          <w:szCs w:val="22"/>
        </w:rPr>
        <w:tab/>
      </w:r>
      <w:r w:rsidR="00C31F85" w:rsidRPr="00C31F85">
        <w:rPr>
          <w:sz w:val="22"/>
          <w:szCs w:val="22"/>
        </w:rPr>
        <w:tab/>
      </w:r>
      <w:r w:rsidR="00C31F85" w:rsidRPr="00C31F85">
        <w:rPr>
          <w:sz w:val="22"/>
          <w:szCs w:val="22"/>
        </w:rPr>
        <w:tab/>
      </w:r>
      <w:r w:rsidR="00C31F85" w:rsidRPr="00C31F85">
        <w:rPr>
          <w:sz w:val="22"/>
          <w:szCs w:val="22"/>
        </w:rPr>
        <w:tab/>
      </w:r>
      <w:r w:rsidR="00C31F85" w:rsidRPr="00C31F85">
        <w:rPr>
          <w:sz w:val="22"/>
          <w:szCs w:val="22"/>
        </w:rPr>
        <w:tab/>
      </w:r>
      <w:hyperlink r:id="rId11" w:history="1">
        <w:r w:rsidR="00C31F85" w:rsidRPr="00C31F85">
          <w:rPr>
            <w:rStyle w:val="Hyperlink"/>
            <w:sz w:val="22"/>
            <w:szCs w:val="22"/>
          </w:rPr>
          <w:t>MichaelDSloan@lewisu.edu</w:t>
        </w:r>
      </w:hyperlink>
    </w:p>
    <w:p w14:paraId="52B24926" w14:textId="77777777" w:rsidR="00C31F85" w:rsidRDefault="00C31F85" w:rsidP="00C31F85">
      <w:pPr>
        <w:pStyle w:val="Affiliation"/>
        <w:jc w:val="both"/>
        <w:rPr>
          <w:sz w:val="24"/>
          <w:szCs w:val="24"/>
        </w:rPr>
      </w:pPr>
      <w:r>
        <w:tab/>
      </w:r>
      <w:r>
        <w:tab/>
      </w:r>
      <w:r>
        <w:tab/>
      </w:r>
      <w:r>
        <w:tab/>
      </w:r>
      <w:r>
        <w:tab/>
      </w:r>
      <w:hyperlink r:id="rId12" w:history="1"/>
    </w:p>
    <w:p w14:paraId="35E3016F" w14:textId="7E349351" w:rsidR="00F739B4" w:rsidRDefault="00A75895" w:rsidP="006377FC">
      <w:pPr>
        <w:pStyle w:val="Heading1"/>
      </w:pPr>
      <w:r w:rsidRPr="00DB179E">
        <w:t xml:space="preserve">Introduction </w:t>
      </w:r>
    </w:p>
    <w:p w14:paraId="4BCEC8F9" w14:textId="5137BBFA" w:rsidR="000D39F3" w:rsidRPr="000D39F3" w:rsidRDefault="000D39F3" w:rsidP="000D39F3">
      <w:pPr>
        <w:pStyle w:val="MyBody"/>
      </w:pPr>
      <w:r>
        <w:rPr>
          <w:lang w:val="en-US"/>
        </w:rPr>
        <w:t xml:space="preserve">This report (The Energy Consumption Review) serves two purposes. First, it describes a series of datasets provided by the U.S. Energy Information Administration and speaks convincingly towards developing trends </w:t>
      </w:r>
      <w:r w:rsidR="00D36DD5">
        <w:rPr>
          <w:lang w:val="en-US"/>
        </w:rPr>
        <w:t xml:space="preserve">in </w:t>
      </w:r>
      <w:r>
        <w:rPr>
          <w:lang w:val="en-US"/>
        </w:rPr>
        <w:t xml:space="preserve">energy consumption and production for the United States.  Second, it serves as a learning vehicle by which students of the CPSC53000 – Data Visualization Course demonstrate </w:t>
      </w:r>
      <w:r w:rsidR="00D36DD5" w:rsidRPr="00D36DD5">
        <w:rPr>
          <w:noProof/>
          <w:lang w:val="en-US"/>
        </w:rPr>
        <w:t xml:space="preserve">the </w:t>
      </w:r>
      <w:r w:rsidRPr="00D36DD5">
        <w:rPr>
          <w:noProof/>
          <w:lang w:val="en-US"/>
        </w:rPr>
        <w:t>selection</w:t>
      </w:r>
      <w:r>
        <w:rPr>
          <w:lang w:val="en-US"/>
        </w:rPr>
        <w:t xml:space="preserve"> of visualization techniques and analyze the resulting techniques used to build effect</w:t>
      </w:r>
      <w:r w:rsidR="00D36DD5">
        <w:rPr>
          <w:lang w:val="en-US"/>
        </w:rPr>
        <w:t>ive</w:t>
      </w:r>
      <w:r>
        <w:rPr>
          <w:lang w:val="en-US"/>
        </w:rPr>
        <w:t xml:space="preserve"> visualizations.</w:t>
      </w:r>
    </w:p>
    <w:p w14:paraId="60BAD258" w14:textId="20B24897" w:rsidR="00F739B4" w:rsidRPr="00DB179E" w:rsidRDefault="00F739B4" w:rsidP="006377FC">
      <w:pPr>
        <w:pStyle w:val="MyBody"/>
        <w:rPr>
          <w:lang w:val="en-US"/>
        </w:rPr>
      </w:pPr>
      <w:r w:rsidRPr="00DB179E">
        <w:rPr>
          <w:lang w:val="en-US"/>
        </w:rPr>
        <w:t xml:space="preserve">We chose </w:t>
      </w:r>
      <w:r w:rsidR="000D39F3">
        <w:rPr>
          <w:lang w:val="en-US"/>
        </w:rPr>
        <w:t>an</w:t>
      </w:r>
      <w:r w:rsidRPr="00DB179E">
        <w:rPr>
          <w:lang w:val="en-US"/>
        </w:rPr>
        <w:t xml:space="preserve"> energy dataset, and what motivated </w:t>
      </w:r>
      <w:r w:rsidR="000D39F3">
        <w:rPr>
          <w:lang w:val="en-US"/>
        </w:rPr>
        <w:t>the</w:t>
      </w:r>
      <w:r w:rsidRPr="00DB179E">
        <w:rPr>
          <w:lang w:val="en-US"/>
        </w:rPr>
        <w:t xml:space="preserve"> group to choose this dataset was the keen interest in understanding some of the underlying drivers for </w:t>
      </w:r>
      <w:r w:rsidR="00D36DD5">
        <w:rPr>
          <w:noProof/>
          <w:lang w:val="en-US"/>
        </w:rPr>
        <w:t>power</w:t>
      </w:r>
      <w:r w:rsidRPr="00DB179E">
        <w:rPr>
          <w:lang w:val="en-US"/>
        </w:rPr>
        <w:t xml:space="preserve"> consumption. In other words, </w:t>
      </w:r>
      <w:r w:rsidR="000D39F3">
        <w:rPr>
          <w:lang w:val="en-US"/>
        </w:rPr>
        <w:t>the team</w:t>
      </w:r>
      <w:r w:rsidRPr="00DB179E">
        <w:rPr>
          <w:lang w:val="en-US"/>
        </w:rPr>
        <w:t xml:space="preserve"> wanted to find out if there was any direct relationship between energy </w:t>
      </w:r>
      <w:r w:rsidR="00D36DD5">
        <w:rPr>
          <w:noProof/>
          <w:lang w:val="en-US"/>
        </w:rPr>
        <w:t>use</w:t>
      </w:r>
      <w:r w:rsidR="00D36DD5">
        <w:rPr>
          <w:lang w:val="en-US"/>
        </w:rPr>
        <w:t xml:space="preserve"> and production o</w:t>
      </w:r>
      <w:r w:rsidRPr="00DB179E">
        <w:rPr>
          <w:lang w:val="en-US"/>
        </w:rPr>
        <w:t xml:space="preserve">n the different energy types. </w:t>
      </w:r>
    </w:p>
    <w:p w14:paraId="429A5A39" w14:textId="77777777" w:rsidR="006377FC" w:rsidRDefault="006377FC" w:rsidP="006377FC">
      <w:pPr>
        <w:pStyle w:val="Heading1"/>
      </w:pPr>
      <w:r>
        <w:t>Datasets</w:t>
      </w:r>
    </w:p>
    <w:p w14:paraId="36841306" w14:textId="3B8A8D5E" w:rsidR="006377FC" w:rsidRDefault="006377FC" w:rsidP="006377FC">
      <w:pPr>
        <w:pStyle w:val="MyBody"/>
        <w:rPr>
          <w:lang w:val="en-US"/>
        </w:rPr>
      </w:pPr>
      <w:r>
        <w:rPr>
          <w:lang w:val="en-US"/>
        </w:rPr>
        <w:t xml:space="preserve">The U.S Energy Information Administration (USEIA) is </w:t>
      </w:r>
      <w:r w:rsidR="00D36DD5">
        <w:rPr>
          <w:lang w:val="en-US"/>
        </w:rPr>
        <w:t xml:space="preserve">the </w:t>
      </w:r>
      <w:r w:rsidRPr="00D36DD5">
        <w:rPr>
          <w:noProof/>
          <w:lang w:val="en-US"/>
        </w:rPr>
        <w:t>United States</w:t>
      </w:r>
      <w:r>
        <w:rPr>
          <w:lang w:val="en-US"/>
        </w:rPr>
        <w:t xml:space="preserve"> governmental agency organized to collect, analyze, and disseminate energy information on behalf of the </w:t>
      </w:r>
      <w:r w:rsidR="00D36DD5">
        <w:rPr>
          <w:noProof/>
          <w:lang w:val="en-US"/>
        </w:rPr>
        <w:t>U</w:t>
      </w:r>
      <w:r w:rsidRPr="00D36DD5">
        <w:rPr>
          <w:noProof/>
          <w:lang w:val="en-US"/>
        </w:rPr>
        <w:t>nited</w:t>
      </w:r>
      <w:r>
        <w:rPr>
          <w:lang w:val="en-US"/>
        </w:rPr>
        <w:t xml:space="preserve"> </w:t>
      </w:r>
      <w:r w:rsidR="00D36DD5">
        <w:rPr>
          <w:noProof/>
          <w:lang w:val="en-US"/>
        </w:rPr>
        <w:t>S</w:t>
      </w:r>
      <w:r w:rsidRPr="00D36DD5">
        <w:rPr>
          <w:noProof/>
          <w:lang w:val="en-US"/>
        </w:rPr>
        <w:t>tates</w:t>
      </w:r>
      <w:r>
        <w:rPr>
          <w:lang w:val="en-US"/>
        </w:rPr>
        <w:t xml:space="preserve"> government.  The USEIA produces a series of datasets as part of its overarching Monthly Energy Review</w:t>
      </w:r>
      <w:r w:rsidR="004C265E">
        <w:rPr>
          <w:lang w:val="en-US"/>
        </w:rPr>
        <w:t xml:space="preserve"> [1]</w:t>
      </w:r>
      <w:r>
        <w:rPr>
          <w:lang w:val="en-US"/>
        </w:rPr>
        <w:t xml:space="preserve">.   These datasets contain recent and historical time-series data measuring energy consumption and production categorized by various attributes including consumption sectors and production types.  </w:t>
      </w:r>
    </w:p>
    <w:p w14:paraId="03DAB09D" w14:textId="03CC6207" w:rsidR="006377FC" w:rsidRPr="00AE1357" w:rsidRDefault="006377FC" w:rsidP="006377FC">
      <w:pPr>
        <w:pStyle w:val="MyBody"/>
      </w:pPr>
      <w:r>
        <w:t>The data</w:t>
      </w:r>
      <w:r w:rsidRPr="00AE1357">
        <w:t xml:space="preserve">set contains </w:t>
      </w:r>
      <w:r w:rsidRPr="00D36DD5">
        <w:rPr>
          <w:noProof/>
        </w:rPr>
        <w:t>energy</w:t>
      </w:r>
      <w:r w:rsidRPr="00AE1357">
        <w:t xml:space="preserve"> consumption by residential, commercial, industrial, transportation, and power sectors. The </w:t>
      </w:r>
      <w:r>
        <w:rPr>
          <w:lang w:val="en-US"/>
        </w:rPr>
        <w:t xml:space="preserve">well-organized </w:t>
      </w:r>
      <w:r w:rsidRPr="00AE1357">
        <w:t xml:space="preserve">data </w:t>
      </w:r>
      <w:r>
        <w:rPr>
          <w:lang w:val="en-US"/>
        </w:rPr>
        <w:t xml:space="preserve">format </w:t>
      </w:r>
      <w:r w:rsidRPr="00AE1357">
        <w:t xml:space="preserve">required minimal </w:t>
      </w:r>
      <w:r>
        <w:rPr>
          <w:lang w:val="en-US"/>
        </w:rPr>
        <w:t>cleaning</w:t>
      </w:r>
      <w:r w:rsidRPr="00AE1357">
        <w:t xml:space="preserve">. </w:t>
      </w:r>
      <w:r w:rsidR="000D39F3">
        <w:rPr>
          <w:lang w:val="en-US"/>
        </w:rPr>
        <w:t>S</w:t>
      </w:r>
      <w:r w:rsidR="000D39F3" w:rsidRPr="00AE1357">
        <w:t>everal</w:t>
      </w:r>
      <w:r w:rsidRPr="00AE1357">
        <w:t xml:space="preserve"> rows of column headings </w:t>
      </w:r>
      <w:r>
        <w:rPr>
          <w:lang w:val="en-US"/>
        </w:rPr>
        <w:t>required deletion</w:t>
      </w:r>
      <w:r w:rsidRPr="00AE1357">
        <w:t xml:space="preserve">, </w:t>
      </w:r>
      <w:r>
        <w:rPr>
          <w:lang w:val="en-US"/>
        </w:rPr>
        <w:t>and</w:t>
      </w:r>
      <w:r w:rsidRPr="00AE1357">
        <w:t xml:space="preserve"> non-data row</w:t>
      </w:r>
      <w:r>
        <w:rPr>
          <w:lang w:val="en-US"/>
        </w:rPr>
        <w:t>s</w:t>
      </w:r>
      <w:r w:rsidRPr="00AE1357">
        <w:t xml:space="preserve"> between </w:t>
      </w:r>
      <w:r>
        <w:rPr>
          <w:lang w:val="en-US"/>
        </w:rPr>
        <w:t xml:space="preserve">the </w:t>
      </w:r>
      <w:r w:rsidRPr="00AE1357">
        <w:t>he</w:t>
      </w:r>
      <w:r>
        <w:t xml:space="preserve">adings and the data </w:t>
      </w:r>
      <w:r w:rsidRPr="00D36DD5">
        <w:rPr>
          <w:noProof/>
          <w:lang w:val="en-US"/>
        </w:rPr>
        <w:t>required</w:t>
      </w:r>
      <w:r>
        <w:rPr>
          <w:lang w:val="en-US"/>
        </w:rPr>
        <w:t xml:space="preserve"> removal</w:t>
      </w:r>
      <w:r w:rsidRPr="00AE1357">
        <w:t xml:space="preserve">. Each sector </w:t>
      </w:r>
      <w:r>
        <w:rPr>
          <w:lang w:val="en-US"/>
        </w:rPr>
        <w:t>contains</w:t>
      </w:r>
      <w:r w:rsidRPr="00AE1357">
        <w:t xml:space="preserve"> primary energy consumed and total energy consumed data. The energy dataset spans a period from January 1973 up to July </w:t>
      </w:r>
      <w:r w:rsidRPr="00D36DD5">
        <w:rPr>
          <w:noProof/>
        </w:rPr>
        <w:t>2016</w:t>
      </w:r>
      <w:r w:rsidRPr="00AE1357">
        <w:t xml:space="preserve"> and </w:t>
      </w:r>
      <w:r w:rsidR="00D36DD5">
        <w:rPr>
          <w:noProof/>
          <w:lang w:val="en-US"/>
        </w:rPr>
        <w:t>uses units of</w:t>
      </w:r>
      <w:r w:rsidRPr="00AE1357">
        <w:t xml:space="preserve"> trillion B</w:t>
      </w:r>
      <w:r w:rsidR="00D36DD5">
        <w:rPr>
          <w:lang w:val="en-US"/>
        </w:rPr>
        <w:t>TU</w:t>
      </w:r>
      <w:r w:rsidRPr="00AE1357">
        <w:t xml:space="preserve"> (British thermal units). The datatype for the energy dataset is categorical data since it is “organized” or categorized by sector, which, in other terms, are different consumption categories that will be explored and analyzed. Due to the stru</w:t>
      </w:r>
      <w:r>
        <w:t xml:space="preserve">cture of the </w:t>
      </w:r>
      <w:r w:rsidRPr="00D36DD5">
        <w:rPr>
          <w:noProof/>
        </w:rPr>
        <w:t>complimentary</w:t>
      </w:r>
      <w:r>
        <w:t xml:space="preserve"> data</w:t>
      </w:r>
      <w:r w:rsidRPr="00AE1357">
        <w:t xml:space="preserve">set, the Tableau shaper plugin for </w:t>
      </w:r>
      <w:r>
        <w:rPr>
          <w:lang w:val="en-US"/>
        </w:rPr>
        <w:t>E</w:t>
      </w:r>
      <w:r w:rsidRPr="00AE1357">
        <w:t xml:space="preserve">xcel was used to move all of the columns to rows. </w:t>
      </w:r>
      <w:r w:rsidRPr="00D36DD5">
        <w:rPr>
          <w:noProof/>
        </w:rPr>
        <w:t>This resulted</w:t>
      </w:r>
      <w:r w:rsidRPr="00AE1357">
        <w:t xml:space="preserve"> in a </w:t>
      </w:r>
      <w:r w:rsidR="00D36DD5" w:rsidRPr="00D36DD5">
        <w:rPr>
          <w:noProof/>
        </w:rPr>
        <w:t>data</w:t>
      </w:r>
      <w:r w:rsidRPr="00D36DD5">
        <w:rPr>
          <w:noProof/>
        </w:rPr>
        <w:t>set</w:t>
      </w:r>
      <w:r w:rsidRPr="00AE1357">
        <w:t xml:space="preserve"> with </w:t>
      </w:r>
      <w:r w:rsidR="00D36DD5">
        <w:rPr>
          <w:noProof/>
        </w:rPr>
        <w:t>five</w:t>
      </w:r>
      <w:r w:rsidRPr="00AE1357">
        <w:t xml:space="preserve"> columns, while the original </w:t>
      </w:r>
      <w:r w:rsidR="00D36DD5" w:rsidRPr="00D36DD5">
        <w:rPr>
          <w:noProof/>
        </w:rPr>
        <w:t>data</w:t>
      </w:r>
      <w:r w:rsidRPr="00D36DD5">
        <w:rPr>
          <w:noProof/>
        </w:rPr>
        <w:t>set</w:t>
      </w:r>
      <w:r w:rsidRPr="00AE1357">
        <w:t xml:space="preserve"> had </w:t>
      </w:r>
      <w:r w:rsidR="00D36DD5">
        <w:rPr>
          <w:lang w:val="en-US"/>
        </w:rPr>
        <w:t>thirteen</w:t>
      </w:r>
      <w:r w:rsidRPr="00AE1357">
        <w:t xml:space="preserve"> columns.</w:t>
      </w:r>
    </w:p>
    <w:p w14:paraId="77B62BEE" w14:textId="0A0ED46A" w:rsidR="006377FC" w:rsidRDefault="006377FC" w:rsidP="006377FC">
      <w:pPr>
        <w:pStyle w:val="MyBody"/>
      </w:pPr>
      <w:r w:rsidRPr="00AE1357">
        <w:t xml:space="preserve">The complimentary data set </w:t>
      </w:r>
      <w:r>
        <w:rPr>
          <w:lang w:val="en-US"/>
        </w:rPr>
        <w:t>contains</w:t>
      </w:r>
      <w:r w:rsidRPr="00AE1357">
        <w:t xml:space="preserve"> ener</w:t>
      </w:r>
      <w:r>
        <w:t>gy production by type [</w:t>
      </w:r>
      <w:r>
        <w:rPr>
          <w:lang w:val="en-US"/>
        </w:rPr>
        <w:t>2</w:t>
      </w:r>
      <w:r w:rsidRPr="00AE1357">
        <w:t xml:space="preserve">]. The energy </w:t>
      </w:r>
      <w:r w:rsidRPr="00D36DD5">
        <w:rPr>
          <w:noProof/>
        </w:rPr>
        <w:t>production</w:t>
      </w:r>
      <w:r w:rsidRPr="00AE1357">
        <w:t xml:space="preserve"> types include coal, oil, natural gas, </w:t>
      </w:r>
      <w:r w:rsidR="00D36DD5">
        <w:t xml:space="preserve">the </w:t>
      </w:r>
      <w:r w:rsidRPr="00D36DD5">
        <w:rPr>
          <w:noProof/>
        </w:rPr>
        <w:t>wind</w:t>
      </w:r>
      <w:r w:rsidRPr="00AE1357">
        <w:t xml:space="preserve">, </w:t>
      </w:r>
      <w:r w:rsidRPr="00D36DD5">
        <w:rPr>
          <w:noProof/>
        </w:rPr>
        <w:t>hydroelectric,</w:t>
      </w:r>
      <w:r w:rsidR="00D36DD5">
        <w:rPr>
          <w:noProof/>
        </w:rPr>
        <w:t xml:space="preserve"> </w:t>
      </w:r>
      <w:r w:rsidR="00D36DD5" w:rsidRPr="00D36DD5">
        <w:rPr>
          <w:noProof/>
          <w:lang w:val="en-US"/>
        </w:rPr>
        <w:t>and</w:t>
      </w:r>
      <w:r w:rsidR="00D36DD5">
        <w:rPr>
          <w:lang w:val="en-US"/>
        </w:rPr>
        <w:t xml:space="preserve"> </w:t>
      </w:r>
      <w:r w:rsidR="004A13B7">
        <w:rPr>
          <w:noProof/>
          <w:vanish/>
          <w:sz w:val="16"/>
          <w:szCs w:val="16"/>
          <w:lang w:val="en-US"/>
        </w:rPr>
        <w:t>f</w:t>
      </w:r>
      <w:r>
        <w:t>nuclear. This data</w:t>
      </w:r>
      <w:r>
        <w:rPr>
          <w:lang w:val="en-US"/>
        </w:rPr>
        <w:t xml:space="preserve"> </w:t>
      </w:r>
      <w:r w:rsidRPr="00D36DD5">
        <w:rPr>
          <w:noProof/>
          <w:lang w:val="en-US"/>
        </w:rPr>
        <w:t>use</w:t>
      </w:r>
      <w:r w:rsidR="00D36DD5">
        <w:rPr>
          <w:noProof/>
          <w:lang w:val="en-US"/>
        </w:rPr>
        <w:t>d</w:t>
      </w:r>
      <w:r>
        <w:rPr>
          <w:lang w:val="en-US"/>
        </w:rPr>
        <w:t xml:space="preserve"> </w:t>
      </w:r>
      <w:r w:rsidRPr="00AE1357">
        <w:t>quadrillion BTUs</w:t>
      </w:r>
      <w:r>
        <w:rPr>
          <w:lang w:val="en-US"/>
        </w:rPr>
        <w:t xml:space="preserve"> as a unit of measurement for p</w:t>
      </w:r>
      <w:r w:rsidR="00D36DD5">
        <w:rPr>
          <w:lang w:val="en-US"/>
        </w:rPr>
        <w:t>owe</w:t>
      </w:r>
      <w:r>
        <w:rPr>
          <w:lang w:val="en-US"/>
        </w:rPr>
        <w:t xml:space="preserve">r </w:t>
      </w:r>
      <w:r w:rsidRPr="00D36DD5">
        <w:rPr>
          <w:noProof/>
          <w:lang w:val="en-US"/>
        </w:rPr>
        <w:t>consumed</w:t>
      </w:r>
      <w:r w:rsidR="00D36DD5">
        <w:rPr>
          <w:noProof/>
          <w:lang w:val="en-US"/>
        </w:rPr>
        <w:t xml:space="preserve">.  However, </w:t>
      </w:r>
      <w:r w:rsidR="00D36DD5" w:rsidRPr="00D36DD5">
        <w:rPr>
          <w:noProof/>
          <w:lang w:val="en-US"/>
        </w:rPr>
        <w:t>pre</w:t>
      </w:r>
      <w:r w:rsidR="00D36DD5">
        <w:rPr>
          <w:noProof/>
          <w:lang w:val="en-US"/>
        </w:rPr>
        <w:t>processing</w:t>
      </w:r>
      <w:r w:rsidRPr="00D36DD5">
        <w:rPr>
          <w:noProof/>
        </w:rPr>
        <w:t xml:space="preserve"> converted</w:t>
      </w:r>
      <w:r w:rsidR="00D36DD5">
        <w:rPr>
          <w:noProof/>
          <w:lang w:val="en-US"/>
        </w:rPr>
        <w:t xml:space="preserve"> it</w:t>
      </w:r>
      <w:r w:rsidRPr="00AE1357">
        <w:t xml:space="preserve"> to trillion BTUs by multiplying by a thousand.  This data </w:t>
      </w:r>
      <w:r>
        <w:rPr>
          <w:lang w:val="en-US"/>
        </w:rPr>
        <w:t>listed</w:t>
      </w:r>
      <w:r w:rsidRPr="00AE1357">
        <w:t xml:space="preserve"> all of the </w:t>
      </w:r>
      <w:r w:rsidR="00D36DD5" w:rsidRPr="00D36DD5">
        <w:rPr>
          <w:noProof/>
        </w:rPr>
        <w:t>categories</w:t>
      </w:r>
      <w:r w:rsidRPr="00D36DD5">
        <w:rPr>
          <w:noProof/>
        </w:rPr>
        <w:t xml:space="preserve"> under</w:t>
      </w:r>
      <w:r w:rsidRPr="00AE1357">
        <w:t xml:space="preserve"> a single type column with the corresponding measures </w:t>
      </w:r>
      <w:r>
        <w:rPr>
          <w:lang w:val="en-US"/>
        </w:rPr>
        <w:t>in</w:t>
      </w:r>
      <w:r w:rsidRPr="00AE1357">
        <w:t xml:space="preserve"> a value column instead of each category having its column. </w:t>
      </w:r>
    </w:p>
    <w:p w14:paraId="22C052CE" w14:textId="045D8906" w:rsidR="006377FC" w:rsidRDefault="006377FC" w:rsidP="006377FC">
      <w:pPr>
        <w:pStyle w:val="MyBody"/>
      </w:pPr>
      <w:r>
        <w:rPr>
          <w:lang w:val="en-US"/>
        </w:rPr>
        <w:t>T</w:t>
      </w:r>
      <w:r w:rsidRPr="00AE1357">
        <w:t xml:space="preserve">he original </w:t>
      </w:r>
      <w:r w:rsidRPr="00D36DD5">
        <w:rPr>
          <w:noProof/>
          <w:lang w:val="en-US"/>
        </w:rPr>
        <w:t>complimentary</w:t>
      </w:r>
      <w:r w:rsidR="00D36DD5" w:rsidRPr="00D36DD5">
        <w:rPr>
          <w:noProof/>
          <w:lang w:val="en-US"/>
        </w:rPr>
        <w:t xml:space="preserve"> </w:t>
      </w:r>
      <w:r w:rsidRPr="00D36DD5">
        <w:rPr>
          <w:noProof/>
        </w:rPr>
        <w:t>data</w:t>
      </w:r>
      <w:r w:rsidRPr="00AE1357">
        <w:t xml:space="preserve"> set was transformed this</w:t>
      </w:r>
      <w:r>
        <w:rPr>
          <w:lang w:val="en-US"/>
        </w:rPr>
        <w:t xml:space="preserve"> to mimic prior set</w:t>
      </w:r>
      <w:r w:rsidRPr="00AE1357">
        <w:t xml:space="preserve"> </w:t>
      </w:r>
      <w:r>
        <w:rPr>
          <w:lang w:val="en-US"/>
        </w:rPr>
        <w:t>and</w:t>
      </w:r>
      <w:r>
        <w:t xml:space="preserve"> was simply cop</w:t>
      </w:r>
      <w:r>
        <w:rPr>
          <w:lang w:val="en-US"/>
        </w:rPr>
        <w:t>ied</w:t>
      </w:r>
      <w:r w:rsidRPr="00AE1357">
        <w:t xml:space="preserve"> and pasted to the bottom to form the complete data set. Calculated </w:t>
      </w:r>
      <w:r w:rsidR="00D36DD5">
        <w:rPr>
          <w:noProof/>
        </w:rPr>
        <w:t>F</w:t>
      </w:r>
      <w:r w:rsidRPr="00D36DD5">
        <w:rPr>
          <w:noProof/>
        </w:rPr>
        <w:t>ield</w:t>
      </w:r>
      <w:r w:rsidRPr="00D36DD5">
        <w:rPr>
          <w:noProof/>
          <w:lang w:val="en-US"/>
        </w:rPr>
        <w:t>s</w:t>
      </w:r>
      <w:r w:rsidR="00D36DD5">
        <w:rPr>
          <w:lang w:val="en-US"/>
        </w:rPr>
        <w:t xml:space="preserve"> in Tableau</w:t>
      </w:r>
      <w:r w:rsidRPr="00AE1357">
        <w:t xml:space="preserve"> were then used to get the specific </w:t>
      </w:r>
      <w:r w:rsidR="00D36DD5">
        <w:rPr>
          <w:noProof/>
          <w:lang w:val="en-US"/>
        </w:rPr>
        <w:t>information</w:t>
      </w:r>
      <w:r w:rsidRPr="00AE1357">
        <w:t xml:space="preserve"> for each visualization.  </w:t>
      </w:r>
    </w:p>
    <w:p w14:paraId="473580BA" w14:textId="77777777" w:rsidR="006377FC" w:rsidRDefault="006377FC" w:rsidP="006377FC">
      <w:pPr>
        <w:pStyle w:val="Heading1"/>
      </w:pPr>
      <w:r>
        <w:t>Raw Dataset Schemas</w:t>
      </w:r>
    </w:p>
    <w:p w14:paraId="6A983BE1" w14:textId="77777777" w:rsidR="006377FC" w:rsidRDefault="006377FC" w:rsidP="006377FC">
      <w:pPr>
        <w:pStyle w:val="MyBody"/>
      </w:pPr>
      <w:r>
        <w:t>Table 1 represents the original, untransformed dataset for Data Table 2.1 – Energy Consumption by Sector.  The order of the schema matches the order of the columns in the raw dataset.</w:t>
      </w:r>
    </w:p>
    <w:p w14:paraId="6D3E1E8C" w14:textId="77777777" w:rsidR="006377FC" w:rsidRDefault="006377FC" w:rsidP="006377FC">
      <w:pPr>
        <w:pStyle w:val="MyBody"/>
      </w:pPr>
      <w:r>
        <w:t xml:space="preserve">Table 2 represents the original, untransformed dataset for Data Table 1.2 – Primary Energy Production by Source.  The order of the schema matches the order of the columns in the raw dataset.  </w:t>
      </w:r>
    </w:p>
    <w:p w14:paraId="0326CBB6" w14:textId="77777777" w:rsidR="006377FC" w:rsidRPr="00E944D9" w:rsidRDefault="006377FC" w:rsidP="006377FC">
      <w:pPr>
        <w:pStyle w:val="MyBody"/>
        <w:rPr>
          <w:lang w:val="en-US"/>
        </w:rPr>
      </w:pPr>
      <w:r>
        <w:t>Table 3 shows the classification of the sources</w:t>
      </w:r>
      <w:r>
        <w:rPr>
          <w:lang w:val="en-US"/>
        </w:rPr>
        <w:t xml:space="preserve"> in Data Table 1.3 – Primary Energy Production by Source.</w:t>
      </w:r>
    </w:p>
    <w:p w14:paraId="34B1F8CF" w14:textId="77777777" w:rsidR="00153C5A" w:rsidRDefault="00153C5A" w:rsidP="006377FC">
      <w:pPr>
        <w:jc w:val="both"/>
        <w:rPr>
          <w:rStyle w:val="Strong"/>
        </w:rPr>
      </w:pPr>
    </w:p>
    <w:p w14:paraId="275EB8CA" w14:textId="60DA606C" w:rsidR="006377FC" w:rsidRPr="001D0FF6" w:rsidRDefault="006377FC" w:rsidP="006377FC">
      <w:pPr>
        <w:jc w:val="both"/>
        <w:rPr>
          <w:rStyle w:val="Strong"/>
        </w:rPr>
      </w:pPr>
      <w:r w:rsidRPr="001D0FF6">
        <w:rPr>
          <w:rStyle w:val="Strong"/>
        </w:rPr>
        <w:lastRenderedPageBreak/>
        <w:t>Table 1 – Dataset Table 2.1 –</w:t>
      </w:r>
      <w:r w:rsidR="00CC4DAB">
        <w:rPr>
          <w:rStyle w:val="Strong"/>
        </w:rPr>
        <w:t xml:space="preserve"> </w:t>
      </w:r>
      <w:r w:rsidRPr="001D0FF6">
        <w:rPr>
          <w:rStyle w:val="Strong"/>
        </w:rPr>
        <w:t>Sector Ene</w:t>
      </w:r>
      <w:r w:rsidR="00CC4DAB">
        <w:rPr>
          <w:rStyle w:val="Strong"/>
        </w:rPr>
        <w:t>rgy Consumption</w:t>
      </w:r>
      <w:r w:rsidRPr="001D0FF6">
        <w:rPr>
          <w:rStyle w:val="Strong"/>
        </w:rPr>
        <w:t xml:space="preserve">. </w:t>
      </w:r>
    </w:p>
    <w:tbl>
      <w:tblPr>
        <w:tblpPr w:leftFromText="180" w:rightFromText="180" w:vertAnchor="text" w:horzAnchor="margin" w:tblpXSpec="center" w:tblpY="21"/>
        <w:tblW w:w="105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36"/>
        <w:gridCol w:w="2639"/>
        <w:gridCol w:w="1522"/>
        <w:gridCol w:w="3758"/>
      </w:tblGrid>
      <w:tr w:rsidR="006377FC" w:rsidRPr="00DD08AB" w14:paraId="3C4A5D20" w14:textId="77777777" w:rsidTr="00D57A49">
        <w:trPr>
          <w:cantSplit/>
          <w:trHeight w:val="226"/>
          <w:tblHeader/>
        </w:trPr>
        <w:tc>
          <w:tcPr>
            <w:tcW w:w="2636" w:type="dxa"/>
            <w:vMerge w:val="restart"/>
            <w:vAlign w:val="center"/>
          </w:tcPr>
          <w:p w14:paraId="77E3F63F" w14:textId="77777777" w:rsidR="006377FC" w:rsidRPr="001D0FF6" w:rsidRDefault="006377FC" w:rsidP="001D0FF6">
            <w:pPr>
              <w:pStyle w:val="MyBody"/>
              <w:rPr>
                <w:b/>
              </w:rPr>
            </w:pPr>
            <w:r w:rsidRPr="001D0FF6">
              <w:rPr>
                <w:b/>
              </w:rPr>
              <w:t>Field Name</w:t>
            </w:r>
          </w:p>
        </w:tc>
        <w:tc>
          <w:tcPr>
            <w:tcW w:w="7919" w:type="dxa"/>
            <w:gridSpan w:val="3"/>
            <w:vAlign w:val="center"/>
          </w:tcPr>
          <w:p w14:paraId="7F6AB90E" w14:textId="77777777" w:rsidR="006377FC" w:rsidRPr="001D0FF6" w:rsidRDefault="006377FC" w:rsidP="001D0FF6">
            <w:pPr>
              <w:pStyle w:val="MyBody"/>
              <w:jc w:val="center"/>
              <w:rPr>
                <w:b/>
              </w:rPr>
            </w:pPr>
            <w:r w:rsidRPr="001D0FF6">
              <w:rPr>
                <w:b/>
              </w:rPr>
              <w:t>Schema Metadata</w:t>
            </w:r>
          </w:p>
        </w:tc>
      </w:tr>
      <w:tr w:rsidR="006377FC" w:rsidRPr="00DD08AB" w14:paraId="45A95E5B" w14:textId="77777777" w:rsidTr="00D57A49">
        <w:trPr>
          <w:cantSplit/>
          <w:trHeight w:val="226"/>
          <w:tblHeader/>
        </w:trPr>
        <w:tc>
          <w:tcPr>
            <w:tcW w:w="2636" w:type="dxa"/>
            <w:vMerge/>
          </w:tcPr>
          <w:p w14:paraId="0BE36507" w14:textId="77777777" w:rsidR="006377FC" w:rsidRPr="00DD08AB" w:rsidRDefault="006377FC" w:rsidP="001D0FF6">
            <w:pPr>
              <w:pStyle w:val="MyBody"/>
            </w:pPr>
          </w:p>
        </w:tc>
        <w:tc>
          <w:tcPr>
            <w:tcW w:w="2639" w:type="dxa"/>
            <w:vAlign w:val="center"/>
          </w:tcPr>
          <w:p w14:paraId="2DA76D33" w14:textId="77777777" w:rsidR="006377FC" w:rsidRPr="001D0FF6" w:rsidRDefault="006377FC" w:rsidP="000D39F3">
            <w:pPr>
              <w:pStyle w:val="MyBody"/>
              <w:jc w:val="center"/>
              <w:rPr>
                <w:b/>
                <w:i/>
                <w:iCs/>
              </w:rPr>
            </w:pPr>
            <w:r w:rsidRPr="001D0FF6">
              <w:rPr>
                <w:b/>
                <w:i/>
                <w:iCs/>
              </w:rPr>
              <w:t>Type</w:t>
            </w:r>
          </w:p>
        </w:tc>
        <w:tc>
          <w:tcPr>
            <w:tcW w:w="1522" w:type="dxa"/>
            <w:vAlign w:val="center"/>
          </w:tcPr>
          <w:p w14:paraId="0B150516" w14:textId="77777777" w:rsidR="006377FC" w:rsidRPr="001D0FF6" w:rsidRDefault="006377FC" w:rsidP="000D39F3">
            <w:pPr>
              <w:pStyle w:val="MyBody"/>
              <w:jc w:val="center"/>
              <w:rPr>
                <w:b/>
                <w:i/>
                <w:iCs/>
              </w:rPr>
            </w:pPr>
            <w:r w:rsidRPr="001D0FF6">
              <w:rPr>
                <w:b/>
                <w:i/>
                <w:iCs/>
              </w:rPr>
              <w:t>Category</w:t>
            </w:r>
          </w:p>
        </w:tc>
        <w:tc>
          <w:tcPr>
            <w:tcW w:w="3758" w:type="dxa"/>
          </w:tcPr>
          <w:p w14:paraId="4070E260" w14:textId="77777777" w:rsidR="006377FC" w:rsidRPr="001D0FF6" w:rsidRDefault="006377FC" w:rsidP="000D39F3">
            <w:pPr>
              <w:pStyle w:val="MyBody"/>
              <w:jc w:val="center"/>
              <w:rPr>
                <w:b/>
                <w:i/>
                <w:iCs/>
              </w:rPr>
            </w:pPr>
            <w:r w:rsidRPr="001D0FF6">
              <w:rPr>
                <w:b/>
                <w:i/>
                <w:iCs/>
              </w:rPr>
              <w:t>Purpose</w:t>
            </w:r>
          </w:p>
        </w:tc>
      </w:tr>
      <w:tr w:rsidR="006377FC" w:rsidRPr="00DD08AB" w14:paraId="76F048E0" w14:textId="77777777" w:rsidTr="00D57A49">
        <w:trPr>
          <w:trHeight w:val="301"/>
        </w:trPr>
        <w:tc>
          <w:tcPr>
            <w:tcW w:w="2636" w:type="dxa"/>
          </w:tcPr>
          <w:p w14:paraId="0D95AEF7" w14:textId="77777777" w:rsidR="006377FC" w:rsidRPr="00B850F9" w:rsidRDefault="006377FC" w:rsidP="00B850F9">
            <w:pPr>
              <w:pStyle w:val="ListStyle"/>
              <w:framePr w:hSpace="0" w:wrap="auto" w:vAnchor="margin" w:hAnchor="text" w:xAlign="left" w:yAlign="inline"/>
            </w:pPr>
            <w:r w:rsidRPr="00B850F9">
              <w:t>Month</w:t>
            </w:r>
          </w:p>
        </w:tc>
        <w:tc>
          <w:tcPr>
            <w:tcW w:w="2639" w:type="dxa"/>
          </w:tcPr>
          <w:p w14:paraId="4265EE68" w14:textId="77777777" w:rsidR="006377FC" w:rsidRPr="00B850F9" w:rsidRDefault="006377FC" w:rsidP="00B850F9">
            <w:pPr>
              <w:pStyle w:val="ListStyle"/>
              <w:framePr w:hSpace="0" w:wrap="auto" w:vAnchor="margin" w:hAnchor="text" w:xAlign="left" w:yAlign="inline"/>
            </w:pPr>
            <w:r w:rsidRPr="00B850F9">
              <w:t>Date - DDMMYYYY</w:t>
            </w:r>
          </w:p>
        </w:tc>
        <w:tc>
          <w:tcPr>
            <w:tcW w:w="1522" w:type="dxa"/>
          </w:tcPr>
          <w:p w14:paraId="5B77D9DB" w14:textId="77777777" w:rsidR="006377FC" w:rsidRPr="00B850F9" w:rsidRDefault="006377FC" w:rsidP="00B850F9">
            <w:pPr>
              <w:pStyle w:val="ListStyle"/>
              <w:framePr w:hSpace="0" w:wrap="auto" w:vAnchor="margin" w:hAnchor="text" w:xAlign="left" w:yAlign="inline"/>
            </w:pPr>
            <w:r w:rsidRPr="00B850F9">
              <w:t>Dimension</w:t>
            </w:r>
          </w:p>
        </w:tc>
        <w:tc>
          <w:tcPr>
            <w:tcW w:w="3758" w:type="dxa"/>
          </w:tcPr>
          <w:p w14:paraId="1FED8ABD" w14:textId="77777777" w:rsidR="006377FC" w:rsidRPr="00B850F9" w:rsidRDefault="006377FC" w:rsidP="00B850F9">
            <w:pPr>
              <w:pStyle w:val="ListStyle"/>
              <w:framePr w:hSpace="0" w:wrap="auto" w:vAnchor="margin" w:hAnchor="text" w:xAlign="left" w:yAlign="inline"/>
            </w:pPr>
            <w:r w:rsidRPr="00B850F9">
              <w:t>First Day of Data and Month for which the observation applies, Unique</w:t>
            </w:r>
          </w:p>
        </w:tc>
      </w:tr>
      <w:tr w:rsidR="006377FC" w:rsidRPr="00DD08AB" w14:paraId="0A17C19E" w14:textId="77777777" w:rsidTr="00D57A49">
        <w:trPr>
          <w:trHeight w:val="301"/>
        </w:trPr>
        <w:tc>
          <w:tcPr>
            <w:tcW w:w="2636" w:type="dxa"/>
          </w:tcPr>
          <w:p w14:paraId="7B28BFDE" w14:textId="77777777" w:rsidR="006377FC" w:rsidRPr="00DD08AB" w:rsidRDefault="006377FC" w:rsidP="00B850F9">
            <w:pPr>
              <w:pStyle w:val="ListStyle"/>
              <w:framePr w:hSpace="0" w:wrap="auto" w:vAnchor="margin" w:hAnchor="text" w:xAlign="left" w:yAlign="inline"/>
            </w:pPr>
            <w:r>
              <w:t>Energy Consumption Balancing Item (Trillion BTU)</w:t>
            </w:r>
          </w:p>
        </w:tc>
        <w:tc>
          <w:tcPr>
            <w:tcW w:w="2639" w:type="dxa"/>
          </w:tcPr>
          <w:p w14:paraId="6555A9A6" w14:textId="77777777" w:rsidR="006377FC" w:rsidRPr="00DD08AB" w:rsidRDefault="006377FC" w:rsidP="00B850F9">
            <w:pPr>
              <w:pStyle w:val="ListStyle"/>
              <w:framePr w:hSpace="0" w:wrap="auto" w:vAnchor="margin" w:hAnchor="text" w:xAlign="left" w:yAlign="inline"/>
            </w:pPr>
            <w:r w:rsidRPr="00DD08AB">
              <w:t>Numeric</w:t>
            </w:r>
            <w:r>
              <w:t xml:space="preserve"> – </w:t>
            </w:r>
            <w:r w:rsidRPr="00DD08AB">
              <w:t>Continuous</w:t>
            </w:r>
          </w:p>
        </w:tc>
        <w:tc>
          <w:tcPr>
            <w:tcW w:w="1522" w:type="dxa"/>
          </w:tcPr>
          <w:p w14:paraId="225A24D7" w14:textId="77777777" w:rsidR="006377FC" w:rsidRPr="00DD08AB" w:rsidRDefault="006377FC" w:rsidP="00B850F9">
            <w:pPr>
              <w:pStyle w:val="ListStyle"/>
              <w:framePr w:hSpace="0" w:wrap="auto" w:vAnchor="margin" w:hAnchor="text" w:xAlign="left" w:yAlign="inline"/>
            </w:pPr>
            <w:r>
              <w:t>Measure</w:t>
            </w:r>
          </w:p>
        </w:tc>
        <w:tc>
          <w:tcPr>
            <w:tcW w:w="3758" w:type="dxa"/>
          </w:tcPr>
          <w:p w14:paraId="77441648" w14:textId="77777777" w:rsidR="006377FC" w:rsidRPr="00DD08AB" w:rsidRDefault="006377FC" w:rsidP="00B850F9">
            <w:pPr>
              <w:pStyle w:val="ListStyle"/>
              <w:framePr w:hSpace="0" w:wrap="auto" w:vAnchor="margin" w:hAnchor="text" w:xAlign="left" w:yAlign="inline"/>
            </w:pPr>
            <w:r>
              <w:t xml:space="preserve">Primary energy consumption less the total </w:t>
            </w:r>
            <w:r w:rsidRPr="00D36DD5">
              <w:rPr>
                <w:noProof/>
              </w:rPr>
              <w:t>energy</w:t>
            </w:r>
            <w:r>
              <w:t xml:space="preserve"> consumption for the observation period.</w:t>
            </w:r>
          </w:p>
        </w:tc>
      </w:tr>
      <w:tr w:rsidR="006377FC" w:rsidRPr="00DD08AB" w14:paraId="4CB6B34B" w14:textId="77777777" w:rsidTr="00D57A49">
        <w:trPr>
          <w:trHeight w:val="301"/>
        </w:trPr>
        <w:tc>
          <w:tcPr>
            <w:tcW w:w="2636" w:type="dxa"/>
          </w:tcPr>
          <w:p w14:paraId="4C6B8ECF" w14:textId="77777777" w:rsidR="006377FC" w:rsidRPr="00DD08AB" w:rsidRDefault="006377FC" w:rsidP="00B850F9">
            <w:pPr>
              <w:pStyle w:val="ListStyle"/>
              <w:framePr w:hSpace="0" w:wrap="auto" w:vAnchor="margin" w:hAnchor="text" w:xAlign="left" w:yAlign="inline"/>
            </w:pPr>
            <w:r>
              <w:t>Primary Energy Consumed by the Commercial Sector (Trillion BTU)</w:t>
            </w:r>
          </w:p>
        </w:tc>
        <w:tc>
          <w:tcPr>
            <w:tcW w:w="2639" w:type="dxa"/>
          </w:tcPr>
          <w:p w14:paraId="55526ED1" w14:textId="77777777" w:rsidR="006377FC" w:rsidRPr="00DD08AB" w:rsidRDefault="006377FC" w:rsidP="00B850F9">
            <w:pPr>
              <w:pStyle w:val="ListStyle"/>
              <w:framePr w:hSpace="0" w:wrap="auto" w:vAnchor="margin" w:hAnchor="text" w:xAlign="left" w:yAlign="inline"/>
            </w:pPr>
            <w:r>
              <w:t>Numeric – Continuous</w:t>
            </w:r>
          </w:p>
        </w:tc>
        <w:tc>
          <w:tcPr>
            <w:tcW w:w="1522" w:type="dxa"/>
          </w:tcPr>
          <w:p w14:paraId="56723D0A" w14:textId="77777777" w:rsidR="006377FC" w:rsidRPr="00DD08AB" w:rsidRDefault="006377FC" w:rsidP="00B850F9">
            <w:pPr>
              <w:pStyle w:val="ListStyle"/>
              <w:framePr w:hSpace="0" w:wrap="auto" w:vAnchor="margin" w:hAnchor="text" w:xAlign="left" w:yAlign="inline"/>
            </w:pPr>
            <w:r>
              <w:t>Measure</w:t>
            </w:r>
          </w:p>
        </w:tc>
        <w:tc>
          <w:tcPr>
            <w:tcW w:w="3758" w:type="dxa"/>
          </w:tcPr>
          <w:p w14:paraId="779C7ECC" w14:textId="77777777" w:rsidR="006377FC" w:rsidRDefault="006377FC" w:rsidP="00B850F9">
            <w:pPr>
              <w:pStyle w:val="ListStyle"/>
              <w:framePr w:hSpace="0" w:wrap="auto" w:vAnchor="margin" w:hAnchor="text" w:xAlign="left" w:yAlign="inline"/>
            </w:pPr>
            <w:r>
              <w:t>Primary energy consumed by the Commercial Sector for the observation period.</w:t>
            </w:r>
          </w:p>
          <w:p w14:paraId="49B953F7" w14:textId="77777777" w:rsidR="006377FC" w:rsidRDefault="006377FC" w:rsidP="00B850F9">
            <w:pPr>
              <w:pStyle w:val="ListStyle"/>
              <w:framePr w:hSpace="0" w:wrap="auto" w:vAnchor="margin" w:hAnchor="text" w:xAlign="left" w:yAlign="inline"/>
            </w:pPr>
          </w:p>
          <w:p w14:paraId="65D70E4F" w14:textId="77777777" w:rsidR="006377FC" w:rsidRDefault="006377FC" w:rsidP="00B850F9">
            <w:pPr>
              <w:pStyle w:val="ListStyle"/>
              <w:framePr w:hSpace="0" w:wrap="auto" w:vAnchor="margin" w:hAnchor="text" w:xAlign="left" w:yAlign="inline"/>
            </w:pPr>
            <w:r>
              <w:t>Primary energy is the energy consumed in Trillions of BTUs to generate the energy consumed at the point of generation [3].</w:t>
            </w:r>
          </w:p>
          <w:p w14:paraId="064CD5E7" w14:textId="77777777" w:rsidR="006377FC" w:rsidRPr="00DD08AB" w:rsidRDefault="006377FC" w:rsidP="00B850F9">
            <w:pPr>
              <w:pStyle w:val="ListStyle"/>
              <w:framePr w:hSpace="0" w:wrap="auto" w:vAnchor="margin" w:hAnchor="text" w:xAlign="left" w:yAlign="inline"/>
            </w:pPr>
          </w:p>
        </w:tc>
      </w:tr>
      <w:tr w:rsidR="006377FC" w:rsidRPr="00DD08AB" w14:paraId="0A1165D6" w14:textId="77777777" w:rsidTr="00D57A49">
        <w:trPr>
          <w:trHeight w:val="301"/>
        </w:trPr>
        <w:tc>
          <w:tcPr>
            <w:tcW w:w="2636" w:type="dxa"/>
          </w:tcPr>
          <w:p w14:paraId="18091CD0" w14:textId="77777777" w:rsidR="006377FC" w:rsidRPr="00DD08AB" w:rsidRDefault="006377FC" w:rsidP="00B850F9">
            <w:pPr>
              <w:pStyle w:val="ListStyle"/>
              <w:framePr w:hSpace="0" w:wrap="auto" w:vAnchor="margin" w:hAnchor="text" w:xAlign="left" w:yAlign="inline"/>
            </w:pPr>
            <w:r w:rsidRPr="00D36DD5">
              <w:rPr>
                <w:noProof/>
              </w:rPr>
              <w:t>Primary Energy Consumed by the Electric Power Sector</w:t>
            </w:r>
            <w:r>
              <w:t xml:space="preserve"> (Trillion BTU)</w:t>
            </w:r>
          </w:p>
        </w:tc>
        <w:tc>
          <w:tcPr>
            <w:tcW w:w="2639" w:type="dxa"/>
          </w:tcPr>
          <w:p w14:paraId="30A325DD" w14:textId="77777777" w:rsidR="006377FC" w:rsidRPr="00DD08AB" w:rsidRDefault="006377FC" w:rsidP="00B850F9">
            <w:pPr>
              <w:pStyle w:val="ListStyle"/>
              <w:framePr w:hSpace="0" w:wrap="auto" w:vAnchor="margin" w:hAnchor="text" w:xAlign="left" w:yAlign="inline"/>
            </w:pPr>
            <w:r>
              <w:t>Numeric – Continuous</w:t>
            </w:r>
          </w:p>
        </w:tc>
        <w:tc>
          <w:tcPr>
            <w:tcW w:w="1522" w:type="dxa"/>
          </w:tcPr>
          <w:p w14:paraId="7DF06201" w14:textId="77777777" w:rsidR="006377FC" w:rsidRPr="00DD08AB" w:rsidRDefault="006377FC" w:rsidP="00B850F9">
            <w:pPr>
              <w:pStyle w:val="ListStyle"/>
              <w:framePr w:hSpace="0" w:wrap="auto" w:vAnchor="margin" w:hAnchor="text" w:xAlign="left" w:yAlign="inline"/>
            </w:pPr>
            <w:r>
              <w:t>Measure</w:t>
            </w:r>
          </w:p>
        </w:tc>
        <w:tc>
          <w:tcPr>
            <w:tcW w:w="3758" w:type="dxa"/>
          </w:tcPr>
          <w:p w14:paraId="09ECAE96" w14:textId="77777777" w:rsidR="006377FC" w:rsidRDefault="006377FC" w:rsidP="00B850F9">
            <w:pPr>
              <w:pStyle w:val="ListStyle"/>
              <w:framePr w:hSpace="0" w:wrap="auto" w:vAnchor="margin" w:hAnchor="text" w:xAlign="left" w:yAlign="inline"/>
            </w:pPr>
            <w:r>
              <w:t>Primary energy consumed by the Electric Power Sector for the observation period.</w:t>
            </w:r>
          </w:p>
          <w:p w14:paraId="57F26B76" w14:textId="77777777" w:rsidR="006377FC" w:rsidRPr="00DD08AB" w:rsidRDefault="006377FC" w:rsidP="00B850F9">
            <w:pPr>
              <w:pStyle w:val="ListStyle"/>
              <w:framePr w:hSpace="0" w:wrap="auto" w:vAnchor="margin" w:hAnchor="text" w:xAlign="left" w:yAlign="inline"/>
            </w:pPr>
          </w:p>
        </w:tc>
      </w:tr>
      <w:tr w:rsidR="006377FC" w:rsidRPr="00DD08AB" w14:paraId="63CB7522" w14:textId="77777777" w:rsidTr="00D57A49">
        <w:trPr>
          <w:trHeight w:val="301"/>
        </w:trPr>
        <w:tc>
          <w:tcPr>
            <w:tcW w:w="2636" w:type="dxa"/>
          </w:tcPr>
          <w:p w14:paraId="587C7FA8" w14:textId="77777777" w:rsidR="006377FC" w:rsidRDefault="006377FC" w:rsidP="00B850F9">
            <w:pPr>
              <w:pStyle w:val="ListStyle"/>
              <w:framePr w:hSpace="0" w:wrap="auto" w:vAnchor="margin" w:hAnchor="text" w:xAlign="left" w:yAlign="inline"/>
            </w:pPr>
            <w:r>
              <w:t>Primary Energy Consumed by the Industrial Sector (Trillion BTU)</w:t>
            </w:r>
          </w:p>
        </w:tc>
        <w:tc>
          <w:tcPr>
            <w:tcW w:w="2639" w:type="dxa"/>
          </w:tcPr>
          <w:p w14:paraId="3B3A43B9" w14:textId="77777777" w:rsidR="006377FC" w:rsidRDefault="006377FC" w:rsidP="00B850F9">
            <w:pPr>
              <w:pStyle w:val="ListStyle"/>
              <w:framePr w:hSpace="0" w:wrap="auto" w:vAnchor="margin" w:hAnchor="text" w:xAlign="left" w:yAlign="inline"/>
            </w:pPr>
            <w:r>
              <w:t>Numeric – Continuous</w:t>
            </w:r>
          </w:p>
        </w:tc>
        <w:tc>
          <w:tcPr>
            <w:tcW w:w="1522" w:type="dxa"/>
          </w:tcPr>
          <w:p w14:paraId="4544D511" w14:textId="77777777" w:rsidR="006377FC" w:rsidRPr="00DD08AB" w:rsidRDefault="006377FC" w:rsidP="00B850F9">
            <w:pPr>
              <w:pStyle w:val="ListStyle"/>
              <w:framePr w:hSpace="0" w:wrap="auto" w:vAnchor="margin" w:hAnchor="text" w:xAlign="left" w:yAlign="inline"/>
            </w:pPr>
            <w:r>
              <w:t>Measure</w:t>
            </w:r>
          </w:p>
        </w:tc>
        <w:tc>
          <w:tcPr>
            <w:tcW w:w="3758" w:type="dxa"/>
          </w:tcPr>
          <w:p w14:paraId="7CAEC43D" w14:textId="77777777" w:rsidR="006377FC" w:rsidRDefault="006377FC" w:rsidP="00B850F9">
            <w:pPr>
              <w:pStyle w:val="ListStyle"/>
              <w:framePr w:hSpace="0" w:wrap="auto" w:vAnchor="margin" w:hAnchor="text" w:xAlign="left" w:yAlign="inline"/>
            </w:pPr>
            <w:r>
              <w:t>Primary energy consumed by the Industrial Sector for the observation period.</w:t>
            </w:r>
          </w:p>
          <w:p w14:paraId="57AB5AE9" w14:textId="77777777" w:rsidR="006377FC" w:rsidRDefault="006377FC" w:rsidP="00B850F9">
            <w:pPr>
              <w:pStyle w:val="ListStyle"/>
              <w:framePr w:hSpace="0" w:wrap="auto" w:vAnchor="margin" w:hAnchor="text" w:xAlign="left" w:yAlign="inline"/>
            </w:pPr>
          </w:p>
        </w:tc>
      </w:tr>
      <w:tr w:rsidR="006377FC" w:rsidRPr="00DD08AB" w14:paraId="4E7C8B3A" w14:textId="77777777" w:rsidTr="00D57A49">
        <w:trPr>
          <w:trHeight w:val="301"/>
        </w:trPr>
        <w:tc>
          <w:tcPr>
            <w:tcW w:w="2636" w:type="dxa"/>
          </w:tcPr>
          <w:p w14:paraId="0F59870D" w14:textId="77777777" w:rsidR="006377FC" w:rsidRDefault="006377FC" w:rsidP="00B850F9">
            <w:pPr>
              <w:pStyle w:val="ListStyle"/>
              <w:framePr w:hSpace="0" w:wrap="auto" w:vAnchor="margin" w:hAnchor="text" w:xAlign="left" w:yAlign="inline"/>
            </w:pPr>
            <w:r>
              <w:t>Primary Energy Consumed by the Residential Sector (Trillion BTU)</w:t>
            </w:r>
          </w:p>
        </w:tc>
        <w:tc>
          <w:tcPr>
            <w:tcW w:w="2639" w:type="dxa"/>
          </w:tcPr>
          <w:p w14:paraId="789EAE33" w14:textId="77777777" w:rsidR="006377FC" w:rsidRDefault="006377FC" w:rsidP="00B850F9">
            <w:pPr>
              <w:pStyle w:val="ListStyle"/>
              <w:framePr w:hSpace="0" w:wrap="auto" w:vAnchor="margin" w:hAnchor="text" w:xAlign="left" w:yAlign="inline"/>
            </w:pPr>
            <w:r>
              <w:t>Numeric – Continuous</w:t>
            </w:r>
          </w:p>
        </w:tc>
        <w:tc>
          <w:tcPr>
            <w:tcW w:w="1522" w:type="dxa"/>
          </w:tcPr>
          <w:p w14:paraId="7A8DC85E" w14:textId="77777777" w:rsidR="006377FC" w:rsidRPr="00DD08AB" w:rsidRDefault="006377FC" w:rsidP="00B850F9">
            <w:pPr>
              <w:pStyle w:val="ListStyle"/>
              <w:framePr w:hSpace="0" w:wrap="auto" w:vAnchor="margin" w:hAnchor="text" w:xAlign="left" w:yAlign="inline"/>
            </w:pPr>
            <w:r>
              <w:t>Measure</w:t>
            </w:r>
          </w:p>
        </w:tc>
        <w:tc>
          <w:tcPr>
            <w:tcW w:w="3758" w:type="dxa"/>
          </w:tcPr>
          <w:p w14:paraId="2C4CC971" w14:textId="77777777" w:rsidR="006377FC" w:rsidRDefault="006377FC" w:rsidP="00B850F9">
            <w:pPr>
              <w:pStyle w:val="ListStyle"/>
              <w:framePr w:hSpace="0" w:wrap="auto" w:vAnchor="margin" w:hAnchor="text" w:xAlign="left" w:yAlign="inline"/>
            </w:pPr>
            <w:r>
              <w:t>Primary energy consumed by the Residential Sector for the observation period.</w:t>
            </w:r>
          </w:p>
          <w:p w14:paraId="18D8C14E" w14:textId="77777777" w:rsidR="006377FC" w:rsidRDefault="006377FC" w:rsidP="00B850F9">
            <w:pPr>
              <w:pStyle w:val="ListStyle"/>
              <w:framePr w:hSpace="0" w:wrap="auto" w:vAnchor="margin" w:hAnchor="text" w:xAlign="left" w:yAlign="inline"/>
            </w:pPr>
          </w:p>
        </w:tc>
      </w:tr>
      <w:tr w:rsidR="006377FC" w:rsidRPr="00DD08AB" w14:paraId="6D3F5BEA" w14:textId="77777777" w:rsidTr="00D57A49">
        <w:trPr>
          <w:trHeight w:val="301"/>
        </w:trPr>
        <w:tc>
          <w:tcPr>
            <w:tcW w:w="2636" w:type="dxa"/>
          </w:tcPr>
          <w:p w14:paraId="1AF60B43" w14:textId="77777777" w:rsidR="006377FC" w:rsidRDefault="006377FC" w:rsidP="00B850F9">
            <w:pPr>
              <w:pStyle w:val="ListStyle"/>
              <w:framePr w:hSpace="0" w:wrap="auto" w:vAnchor="margin" w:hAnchor="text" w:xAlign="left" w:yAlign="inline"/>
            </w:pPr>
            <w:r>
              <w:t>Primary Energy Consumed by the Transportation Sector (Trillion BTU)</w:t>
            </w:r>
          </w:p>
        </w:tc>
        <w:tc>
          <w:tcPr>
            <w:tcW w:w="2639" w:type="dxa"/>
          </w:tcPr>
          <w:p w14:paraId="6C1ABEFC" w14:textId="77777777" w:rsidR="006377FC" w:rsidRDefault="006377FC" w:rsidP="00B850F9">
            <w:pPr>
              <w:pStyle w:val="ListStyle"/>
              <w:framePr w:hSpace="0" w:wrap="auto" w:vAnchor="margin" w:hAnchor="text" w:xAlign="left" w:yAlign="inline"/>
            </w:pPr>
            <w:r>
              <w:t>Numeric – Continuous</w:t>
            </w:r>
          </w:p>
        </w:tc>
        <w:tc>
          <w:tcPr>
            <w:tcW w:w="1522" w:type="dxa"/>
          </w:tcPr>
          <w:p w14:paraId="591DCBD9" w14:textId="77777777" w:rsidR="006377FC" w:rsidRPr="00DD08AB" w:rsidRDefault="006377FC" w:rsidP="00B850F9">
            <w:pPr>
              <w:pStyle w:val="ListStyle"/>
              <w:framePr w:hSpace="0" w:wrap="auto" w:vAnchor="margin" w:hAnchor="text" w:xAlign="left" w:yAlign="inline"/>
            </w:pPr>
            <w:r>
              <w:t>Measure</w:t>
            </w:r>
          </w:p>
        </w:tc>
        <w:tc>
          <w:tcPr>
            <w:tcW w:w="3758" w:type="dxa"/>
          </w:tcPr>
          <w:p w14:paraId="672218E0" w14:textId="77777777" w:rsidR="006377FC" w:rsidRDefault="006377FC" w:rsidP="00B850F9">
            <w:pPr>
              <w:pStyle w:val="ListStyle"/>
              <w:framePr w:hSpace="0" w:wrap="auto" w:vAnchor="margin" w:hAnchor="text" w:xAlign="left" w:yAlign="inline"/>
            </w:pPr>
            <w:r>
              <w:t>Primary energy consumed by the Transportation Sector for the observation period.</w:t>
            </w:r>
          </w:p>
          <w:p w14:paraId="2221296F" w14:textId="77777777" w:rsidR="006377FC" w:rsidRDefault="006377FC" w:rsidP="00B850F9">
            <w:pPr>
              <w:pStyle w:val="ListStyle"/>
              <w:framePr w:hSpace="0" w:wrap="auto" w:vAnchor="margin" w:hAnchor="text" w:xAlign="left" w:yAlign="inline"/>
            </w:pPr>
          </w:p>
        </w:tc>
      </w:tr>
      <w:tr w:rsidR="006377FC" w:rsidRPr="00DD08AB" w14:paraId="211B1A8A" w14:textId="77777777" w:rsidTr="00D57A49">
        <w:trPr>
          <w:trHeight w:val="301"/>
        </w:trPr>
        <w:tc>
          <w:tcPr>
            <w:tcW w:w="2636" w:type="dxa"/>
          </w:tcPr>
          <w:p w14:paraId="32B622FC" w14:textId="77777777" w:rsidR="006377FC" w:rsidRDefault="006377FC" w:rsidP="00B850F9">
            <w:pPr>
              <w:pStyle w:val="ListStyle"/>
              <w:framePr w:hSpace="0" w:wrap="auto" w:vAnchor="margin" w:hAnchor="text" w:xAlign="left" w:yAlign="inline"/>
            </w:pPr>
            <w:r>
              <w:t>Primary Energy Consumption Total (Trillion BTU)</w:t>
            </w:r>
          </w:p>
        </w:tc>
        <w:tc>
          <w:tcPr>
            <w:tcW w:w="2639" w:type="dxa"/>
          </w:tcPr>
          <w:p w14:paraId="1068E482" w14:textId="77777777" w:rsidR="006377FC" w:rsidRDefault="006377FC" w:rsidP="00B850F9">
            <w:pPr>
              <w:pStyle w:val="ListStyle"/>
              <w:framePr w:hSpace="0" w:wrap="auto" w:vAnchor="margin" w:hAnchor="text" w:xAlign="left" w:yAlign="inline"/>
            </w:pPr>
            <w:r>
              <w:t>Numeric – Continuous</w:t>
            </w:r>
          </w:p>
        </w:tc>
        <w:tc>
          <w:tcPr>
            <w:tcW w:w="1522" w:type="dxa"/>
          </w:tcPr>
          <w:p w14:paraId="2313033B" w14:textId="77777777" w:rsidR="006377FC" w:rsidRPr="00DD08AB" w:rsidRDefault="006377FC" w:rsidP="00B850F9">
            <w:pPr>
              <w:pStyle w:val="ListStyle"/>
              <w:framePr w:hSpace="0" w:wrap="auto" w:vAnchor="margin" w:hAnchor="text" w:xAlign="left" w:yAlign="inline"/>
            </w:pPr>
            <w:r>
              <w:t>Measure</w:t>
            </w:r>
          </w:p>
        </w:tc>
        <w:tc>
          <w:tcPr>
            <w:tcW w:w="3758" w:type="dxa"/>
          </w:tcPr>
          <w:p w14:paraId="2B6FA429" w14:textId="77777777" w:rsidR="006377FC" w:rsidRDefault="006377FC" w:rsidP="00B850F9">
            <w:pPr>
              <w:pStyle w:val="ListStyle"/>
              <w:framePr w:hSpace="0" w:wrap="auto" w:vAnchor="margin" w:hAnchor="text" w:xAlign="left" w:yAlign="inline"/>
            </w:pPr>
            <w:r>
              <w:t>Total primary energy consumed across all sectors for the observation period.</w:t>
            </w:r>
          </w:p>
          <w:p w14:paraId="74F9756F" w14:textId="77777777" w:rsidR="006377FC" w:rsidRDefault="006377FC" w:rsidP="00B850F9">
            <w:pPr>
              <w:pStyle w:val="ListStyle"/>
              <w:framePr w:hSpace="0" w:wrap="auto" w:vAnchor="margin" w:hAnchor="text" w:xAlign="left" w:yAlign="inline"/>
            </w:pPr>
          </w:p>
        </w:tc>
      </w:tr>
      <w:tr w:rsidR="006377FC" w:rsidRPr="00DD08AB" w14:paraId="1F5C7204" w14:textId="77777777" w:rsidTr="00D57A49">
        <w:trPr>
          <w:trHeight w:val="301"/>
        </w:trPr>
        <w:tc>
          <w:tcPr>
            <w:tcW w:w="2636" w:type="dxa"/>
          </w:tcPr>
          <w:p w14:paraId="27D5D350" w14:textId="77777777" w:rsidR="006377FC" w:rsidRDefault="006377FC" w:rsidP="00B850F9">
            <w:pPr>
              <w:pStyle w:val="ListStyle"/>
              <w:framePr w:hSpace="0" w:wrap="auto" w:vAnchor="margin" w:hAnchor="text" w:xAlign="left" w:yAlign="inline"/>
            </w:pPr>
            <w:r>
              <w:t>Total Energy Consumed by the Commercial Sector (Trillion BTU)</w:t>
            </w:r>
          </w:p>
        </w:tc>
        <w:tc>
          <w:tcPr>
            <w:tcW w:w="2639" w:type="dxa"/>
          </w:tcPr>
          <w:p w14:paraId="511859DC" w14:textId="77777777" w:rsidR="006377FC" w:rsidRDefault="006377FC" w:rsidP="00B850F9">
            <w:pPr>
              <w:pStyle w:val="ListStyle"/>
              <w:framePr w:hSpace="0" w:wrap="auto" w:vAnchor="margin" w:hAnchor="text" w:xAlign="left" w:yAlign="inline"/>
            </w:pPr>
            <w:r>
              <w:t>Numeric – Continuous</w:t>
            </w:r>
          </w:p>
        </w:tc>
        <w:tc>
          <w:tcPr>
            <w:tcW w:w="1522" w:type="dxa"/>
          </w:tcPr>
          <w:p w14:paraId="2E3C36CC" w14:textId="77777777" w:rsidR="006377FC" w:rsidRPr="00DD08AB" w:rsidRDefault="006377FC" w:rsidP="00B850F9">
            <w:pPr>
              <w:pStyle w:val="ListStyle"/>
              <w:framePr w:hSpace="0" w:wrap="auto" w:vAnchor="margin" w:hAnchor="text" w:xAlign="left" w:yAlign="inline"/>
            </w:pPr>
            <w:r>
              <w:t>Measure</w:t>
            </w:r>
          </w:p>
        </w:tc>
        <w:tc>
          <w:tcPr>
            <w:tcW w:w="3758" w:type="dxa"/>
          </w:tcPr>
          <w:p w14:paraId="570EFCD6" w14:textId="77777777" w:rsidR="006377FC" w:rsidRDefault="006377FC" w:rsidP="00B850F9">
            <w:pPr>
              <w:pStyle w:val="ListStyle"/>
              <w:framePr w:hSpace="0" w:wrap="auto" w:vAnchor="margin" w:hAnchor="text" w:xAlign="left" w:yAlign="inline"/>
            </w:pPr>
            <w:r>
              <w:t>Total energy consumed by the Commercial Sector for the observation period.</w:t>
            </w:r>
          </w:p>
          <w:p w14:paraId="75067794" w14:textId="77777777" w:rsidR="006377FC" w:rsidRDefault="006377FC" w:rsidP="00B850F9">
            <w:pPr>
              <w:pStyle w:val="ListStyle"/>
              <w:framePr w:hSpace="0" w:wrap="auto" w:vAnchor="margin" w:hAnchor="text" w:xAlign="left" w:yAlign="inline"/>
            </w:pPr>
          </w:p>
          <w:p w14:paraId="142660CE" w14:textId="77777777" w:rsidR="006377FC" w:rsidRDefault="006377FC" w:rsidP="00B850F9">
            <w:pPr>
              <w:pStyle w:val="ListStyle"/>
              <w:framePr w:hSpace="0" w:wrap="auto" w:vAnchor="margin" w:hAnchor="text" w:xAlign="left" w:yAlign="inline"/>
            </w:pPr>
            <w:r>
              <w:t>Total energy is the energy consumed in Trillions of BTUs at the point of consumption [3].</w:t>
            </w:r>
          </w:p>
        </w:tc>
      </w:tr>
      <w:tr w:rsidR="006377FC" w:rsidRPr="00DD08AB" w14:paraId="0FF83172" w14:textId="77777777" w:rsidTr="00D57A49">
        <w:trPr>
          <w:trHeight w:val="301"/>
        </w:trPr>
        <w:tc>
          <w:tcPr>
            <w:tcW w:w="2636" w:type="dxa"/>
          </w:tcPr>
          <w:p w14:paraId="388EB941" w14:textId="77777777" w:rsidR="006377FC" w:rsidRDefault="006377FC" w:rsidP="00B850F9">
            <w:pPr>
              <w:pStyle w:val="ListStyle"/>
              <w:framePr w:hSpace="0" w:wrap="auto" w:vAnchor="margin" w:hAnchor="text" w:xAlign="left" w:yAlign="inline"/>
            </w:pPr>
            <w:r w:rsidRPr="00D36DD5">
              <w:rPr>
                <w:noProof/>
              </w:rPr>
              <w:t>Total Energy Consumed by the Electric Power Sector</w:t>
            </w:r>
            <w:r>
              <w:t xml:space="preserve"> (Trillion BTU)</w:t>
            </w:r>
          </w:p>
        </w:tc>
        <w:tc>
          <w:tcPr>
            <w:tcW w:w="2639" w:type="dxa"/>
          </w:tcPr>
          <w:p w14:paraId="5665B61F" w14:textId="77777777" w:rsidR="006377FC" w:rsidRDefault="006377FC" w:rsidP="00B850F9">
            <w:pPr>
              <w:pStyle w:val="ListStyle"/>
              <w:framePr w:hSpace="0" w:wrap="auto" w:vAnchor="margin" w:hAnchor="text" w:xAlign="left" w:yAlign="inline"/>
            </w:pPr>
            <w:r>
              <w:t>Numeric – Continuous</w:t>
            </w:r>
          </w:p>
        </w:tc>
        <w:tc>
          <w:tcPr>
            <w:tcW w:w="1522" w:type="dxa"/>
          </w:tcPr>
          <w:p w14:paraId="1708B65B" w14:textId="77777777" w:rsidR="006377FC" w:rsidRDefault="006377FC" w:rsidP="00B850F9">
            <w:pPr>
              <w:pStyle w:val="ListStyle"/>
              <w:framePr w:hSpace="0" w:wrap="auto" w:vAnchor="margin" w:hAnchor="text" w:xAlign="left" w:yAlign="inline"/>
            </w:pPr>
            <w:r>
              <w:t>Measure</w:t>
            </w:r>
          </w:p>
        </w:tc>
        <w:tc>
          <w:tcPr>
            <w:tcW w:w="3758" w:type="dxa"/>
          </w:tcPr>
          <w:p w14:paraId="44487489" w14:textId="77777777" w:rsidR="006377FC" w:rsidRDefault="006377FC" w:rsidP="00B850F9">
            <w:pPr>
              <w:pStyle w:val="ListStyle"/>
              <w:framePr w:hSpace="0" w:wrap="auto" w:vAnchor="margin" w:hAnchor="text" w:xAlign="left" w:yAlign="inline"/>
            </w:pPr>
            <w:r>
              <w:t>Total energy consumed by the Electric Power Sector for the observation period.</w:t>
            </w:r>
          </w:p>
          <w:p w14:paraId="2AAB7D71" w14:textId="77777777" w:rsidR="006377FC" w:rsidRDefault="006377FC" w:rsidP="00B850F9">
            <w:pPr>
              <w:pStyle w:val="ListStyle"/>
              <w:framePr w:hSpace="0" w:wrap="auto" w:vAnchor="margin" w:hAnchor="text" w:xAlign="left" w:yAlign="inline"/>
            </w:pPr>
          </w:p>
        </w:tc>
      </w:tr>
      <w:tr w:rsidR="006377FC" w:rsidRPr="00DD08AB" w14:paraId="1C90A696" w14:textId="77777777" w:rsidTr="00D57A49">
        <w:trPr>
          <w:trHeight w:val="301"/>
        </w:trPr>
        <w:tc>
          <w:tcPr>
            <w:tcW w:w="2636" w:type="dxa"/>
          </w:tcPr>
          <w:p w14:paraId="3F8D8A47" w14:textId="77777777" w:rsidR="006377FC" w:rsidRDefault="006377FC" w:rsidP="00B850F9">
            <w:pPr>
              <w:pStyle w:val="ListStyle"/>
              <w:framePr w:hSpace="0" w:wrap="auto" w:vAnchor="margin" w:hAnchor="text" w:xAlign="left" w:yAlign="inline"/>
            </w:pPr>
            <w:r>
              <w:lastRenderedPageBreak/>
              <w:t>Total Energy Consumed by the Industrial Sector (Trillion BTU)</w:t>
            </w:r>
          </w:p>
        </w:tc>
        <w:tc>
          <w:tcPr>
            <w:tcW w:w="2639" w:type="dxa"/>
          </w:tcPr>
          <w:p w14:paraId="33FE918C" w14:textId="77777777" w:rsidR="006377FC" w:rsidRDefault="006377FC" w:rsidP="00B850F9">
            <w:pPr>
              <w:pStyle w:val="ListStyle"/>
              <w:framePr w:hSpace="0" w:wrap="auto" w:vAnchor="margin" w:hAnchor="text" w:xAlign="left" w:yAlign="inline"/>
            </w:pPr>
            <w:r>
              <w:t>Numeric – Continuous</w:t>
            </w:r>
          </w:p>
        </w:tc>
        <w:tc>
          <w:tcPr>
            <w:tcW w:w="1522" w:type="dxa"/>
          </w:tcPr>
          <w:p w14:paraId="482273D6" w14:textId="77777777" w:rsidR="006377FC" w:rsidRPr="00DD08AB" w:rsidRDefault="006377FC" w:rsidP="00B850F9">
            <w:pPr>
              <w:pStyle w:val="ListStyle"/>
              <w:framePr w:hSpace="0" w:wrap="auto" w:vAnchor="margin" w:hAnchor="text" w:xAlign="left" w:yAlign="inline"/>
            </w:pPr>
            <w:r>
              <w:t>Measure</w:t>
            </w:r>
          </w:p>
        </w:tc>
        <w:tc>
          <w:tcPr>
            <w:tcW w:w="3758" w:type="dxa"/>
          </w:tcPr>
          <w:p w14:paraId="6CC2B99F" w14:textId="77777777" w:rsidR="006377FC" w:rsidRDefault="006377FC" w:rsidP="00B850F9">
            <w:pPr>
              <w:pStyle w:val="ListStyle"/>
              <w:framePr w:hSpace="0" w:wrap="auto" w:vAnchor="margin" w:hAnchor="text" w:xAlign="left" w:yAlign="inline"/>
            </w:pPr>
            <w:r>
              <w:t>Total energy consumed by the Industrial Sector for the observation period.</w:t>
            </w:r>
          </w:p>
          <w:p w14:paraId="055803A6" w14:textId="77777777" w:rsidR="006377FC" w:rsidRDefault="006377FC" w:rsidP="00B850F9">
            <w:pPr>
              <w:pStyle w:val="ListStyle"/>
              <w:framePr w:hSpace="0" w:wrap="auto" w:vAnchor="margin" w:hAnchor="text" w:xAlign="left" w:yAlign="inline"/>
            </w:pPr>
          </w:p>
        </w:tc>
      </w:tr>
      <w:tr w:rsidR="006377FC" w:rsidRPr="00DD08AB" w14:paraId="31607D55" w14:textId="77777777" w:rsidTr="00D57A49">
        <w:trPr>
          <w:trHeight w:val="301"/>
        </w:trPr>
        <w:tc>
          <w:tcPr>
            <w:tcW w:w="2636" w:type="dxa"/>
          </w:tcPr>
          <w:p w14:paraId="74539391" w14:textId="77777777" w:rsidR="006377FC" w:rsidRDefault="006377FC" w:rsidP="00B850F9">
            <w:pPr>
              <w:pStyle w:val="ListStyle"/>
              <w:framePr w:hSpace="0" w:wrap="auto" w:vAnchor="margin" w:hAnchor="text" w:xAlign="left" w:yAlign="inline"/>
            </w:pPr>
            <w:r>
              <w:t>Total Energy Consumed by the Residential Sector (Trillion BTU)</w:t>
            </w:r>
          </w:p>
        </w:tc>
        <w:tc>
          <w:tcPr>
            <w:tcW w:w="2639" w:type="dxa"/>
          </w:tcPr>
          <w:p w14:paraId="45512207" w14:textId="77777777" w:rsidR="006377FC" w:rsidRDefault="006377FC" w:rsidP="00B850F9">
            <w:pPr>
              <w:pStyle w:val="ListStyle"/>
              <w:framePr w:hSpace="0" w:wrap="auto" w:vAnchor="margin" w:hAnchor="text" w:xAlign="left" w:yAlign="inline"/>
            </w:pPr>
            <w:r>
              <w:t>Numeric – Continuous</w:t>
            </w:r>
          </w:p>
        </w:tc>
        <w:tc>
          <w:tcPr>
            <w:tcW w:w="1522" w:type="dxa"/>
          </w:tcPr>
          <w:p w14:paraId="5493463A" w14:textId="77777777" w:rsidR="006377FC" w:rsidRPr="00DD08AB" w:rsidRDefault="006377FC" w:rsidP="00B850F9">
            <w:pPr>
              <w:pStyle w:val="ListStyle"/>
              <w:framePr w:hSpace="0" w:wrap="auto" w:vAnchor="margin" w:hAnchor="text" w:xAlign="left" w:yAlign="inline"/>
            </w:pPr>
            <w:r>
              <w:t>Measure</w:t>
            </w:r>
          </w:p>
        </w:tc>
        <w:tc>
          <w:tcPr>
            <w:tcW w:w="3758" w:type="dxa"/>
          </w:tcPr>
          <w:p w14:paraId="30F9F730" w14:textId="77777777" w:rsidR="006377FC" w:rsidRDefault="006377FC" w:rsidP="00B850F9">
            <w:pPr>
              <w:pStyle w:val="ListStyle"/>
              <w:framePr w:hSpace="0" w:wrap="auto" w:vAnchor="margin" w:hAnchor="text" w:xAlign="left" w:yAlign="inline"/>
            </w:pPr>
            <w:r>
              <w:t>Total energy consumed by the Residential Sector for the observation period.</w:t>
            </w:r>
          </w:p>
          <w:p w14:paraId="008CB74C" w14:textId="77777777" w:rsidR="006377FC" w:rsidRDefault="006377FC" w:rsidP="00B850F9">
            <w:pPr>
              <w:pStyle w:val="ListStyle"/>
              <w:framePr w:hSpace="0" w:wrap="auto" w:vAnchor="margin" w:hAnchor="text" w:xAlign="left" w:yAlign="inline"/>
            </w:pPr>
          </w:p>
        </w:tc>
      </w:tr>
      <w:tr w:rsidR="006377FC" w:rsidRPr="00DD08AB" w14:paraId="6E7178CB" w14:textId="77777777" w:rsidTr="00D57A49">
        <w:trPr>
          <w:trHeight w:val="301"/>
        </w:trPr>
        <w:tc>
          <w:tcPr>
            <w:tcW w:w="2636" w:type="dxa"/>
          </w:tcPr>
          <w:p w14:paraId="5DB4EB7D" w14:textId="77777777" w:rsidR="006377FC" w:rsidRDefault="006377FC" w:rsidP="00B850F9">
            <w:pPr>
              <w:pStyle w:val="ListStyle"/>
              <w:framePr w:hSpace="0" w:wrap="auto" w:vAnchor="margin" w:hAnchor="text" w:xAlign="left" w:yAlign="inline"/>
            </w:pPr>
            <w:r>
              <w:t>Total Energy Consumed by the Transportation Sector (Trillion BTU)</w:t>
            </w:r>
          </w:p>
        </w:tc>
        <w:tc>
          <w:tcPr>
            <w:tcW w:w="2639" w:type="dxa"/>
          </w:tcPr>
          <w:p w14:paraId="00BAF5F0" w14:textId="77777777" w:rsidR="006377FC" w:rsidRDefault="006377FC" w:rsidP="00B850F9">
            <w:pPr>
              <w:pStyle w:val="ListStyle"/>
              <w:framePr w:hSpace="0" w:wrap="auto" w:vAnchor="margin" w:hAnchor="text" w:xAlign="left" w:yAlign="inline"/>
            </w:pPr>
            <w:r>
              <w:t>Numeric – Continuous</w:t>
            </w:r>
          </w:p>
        </w:tc>
        <w:tc>
          <w:tcPr>
            <w:tcW w:w="1522" w:type="dxa"/>
          </w:tcPr>
          <w:p w14:paraId="1F79B9FA" w14:textId="77777777" w:rsidR="006377FC" w:rsidRPr="00DD08AB" w:rsidRDefault="006377FC" w:rsidP="00B850F9">
            <w:pPr>
              <w:pStyle w:val="ListStyle"/>
              <w:framePr w:hSpace="0" w:wrap="auto" w:vAnchor="margin" w:hAnchor="text" w:xAlign="left" w:yAlign="inline"/>
            </w:pPr>
            <w:r>
              <w:t>Measure</w:t>
            </w:r>
          </w:p>
        </w:tc>
        <w:tc>
          <w:tcPr>
            <w:tcW w:w="3758" w:type="dxa"/>
          </w:tcPr>
          <w:p w14:paraId="1BE071BB" w14:textId="77777777" w:rsidR="006377FC" w:rsidRDefault="006377FC" w:rsidP="00B850F9">
            <w:pPr>
              <w:pStyle w:val="ListStyle"/>
              <w:framePr w:hSpace="0" w:wrap="auto" w:vAnchor="margin" w:hAnchor="text" w:xAlign="left" w:yAlign="inline"/>
            </w:pPr>
            <w:r>
              <w:t>Total energy consumed by the Transportation Sector for the observation period.</w:t>
            </w:r>
          </w:p>
          <w:p w14:paraId="0C77E3F9" w14:textId="77777777" w:rsidR="006377FC" w:rsidRDefault="006377FC" w:rsidP="00B850F9">
            <w:pPr>
              <w:pStyle w:val="ListStyle"/>
              <w:framePr w:hSpace="0" w:wrap="auto" w:vAnchor="margin" w:hAnchor="text" w:xAlign="left" w:yAlign="inline"/>
            </w:pPr>
          </w:p>
        </w:tc>
      </w:tr>
      <w:tr w:rsidR="006377FC" w:rsidRPr="00DD08AB" w14:paraId="4A7640DE" w14:textId="77777777" w:rsidTr="00D57A49">
        <w:trPr>
          <w:trHeight w:val="301"/>
        </w:trPr>
        <w:tc>
          <w:tcPr>
            <w:tcW w:w="2636" w:type="dxa"/>
          </w:tcPr>
          <w:p w14:paraId="1234082F" w14:textId="77777777" w:rsidR="006377FC" w:rsidRDefault="006377FC" w:rsidP="00B850F9">
            <w:pPr>
              <w:pStyle w:val="ListStyle"/>
              <w:framePr w:hSpace="0" w:wrap="auto" w:vAnchor="margin" w:hAnchor="text" w:xAlign="left" w:yAlign="inline"/>
            </w:pPr>
            <w:r>
              <w:t>Total Energy Consumption Total (Trillion BTU)</w:t>
            </w:r>
          </w:p>
        </w:tc>
        <w:tc>
          <w:tcPr>
            <w:tcW w:w="2639" w:type="dxa"/>
          </w:tcPr>
          <w:p w14:paraId="712ABBAD" w14:textId="77777777" w:rsidR="006377FC" w:rsidRDefault="006377FC" w:rsidP="00B850F9">
            <w:pPr>
              <w:pStyle w:val="ListStyle"/>
              <w:framePr w:hSpace="0" w:wrap="auto" w:vAnchor="margin" w:hAnchor="text" w:xAlign="left" w:yAlign="inline"/>
            </w:pPr>
            <w:r>
              <w:t>Numeric – Continuous</w:t>
            </w:r>
          </w:p>
        </w:tc>
        <w:tc>
          <w:tcPr>
            <w:tcW w:w="1522" w:type="dxa"/>
          </w:tcPr>
          <w:p w14:paraId="0F6EDC6E" w14:textId="77777777" w:rsidR="006377FC" w:rsidRPr="00DD08AB" w:rsidRDefault="006377FC" w:rsidP="00B850F9">
            <w:pPr>
              <w:pStyle w:val="ListStyle"/>
              <w:framePr w:hSpace="0" w:wrap="auto" w:vAnchor="margin" w:hAnchor="text" w:xAlign="left" w:yAlign="inline"/>
            </w:pPr>
            <w:r>
              <w:t>Measure</w:t>
            </w:r>
          </w:p>
        </w:tc>
        <w:tc>
          <w:tcPr>
            <w:tcW w:w="3758" w:type="dxa"/>
          </w:tcPr>
          <w:p w14:paraId="2B0B0FC0" w14:textId="77777777" w:rsidR="006377FC" w:rsidRDefault="006377FC" w:rsidP="00B850F9">
            <w:pPr>
              <w:pStyle w:val="ListStyle"/>
              <w:framePr w:hSpace="0" w:wrap="auto" w:vAnchor="margin" w:hAnchor="text" w:xAlign="left" w:yAlign="inline"/>
            </w:pPr>
            <w:r>
              <w:t>The sum of all Total energy consumed across all sectors for the observation period.</w:t>
            </w:r>
          </w:p>
          <w:p w14:paraId="6267FD88" w14:textId="77777777" w:rsidR="006377FC" w:rsidRDefault="006377FC" w:rsidP="00B850F9">
            <w:pPr>
              <w:pStyle w:val="ListStyle"/>
              <w:framePr w:hSpace="0" w:wrap="auto" w:vAnchor="margin" w:hAnchor="text" w:xAlign="left" w:yAlign="inline"/>
            </w:pPr>
          </w:p>
        </w:tc>
      </w:tr>
    </w:tbl>
    <w:p w14:paraId="35A36528" w14:textId="77777777" w:rsidR="006377FC" w:rsidRDefault="006377FC" w:rsidP="001D0FF6">
      <w:pPr>
        <w:pStyle w:val="MyBody"/>
      </w:pPr>
    </w:p>
    <w:p w14:paraId="586C8792" w14:textId="77777777" w:rsidR="006377FC" w:rsidRPr="001D0FF6" w:rsidRDefault="006377FC" w:rsidP="001D0FF6">
      <w:pPr>
        <w:pStyle w:val="MyBody"/>
        <w:rPr>
          <w:rStyle w:val="Strong"/>
        </w:rPr>
      </w:pPr>
      <w:r w:rsidRPr="001D0FF6">
        <w:rPr>
          <w:rStyle w:val="Strong"/>
        </w:rPr>
        <w:t>Table 2 – Dataset Table 1.2 – Primary Energy Production</w:t>
      </w:r>
    </w:p>
    <w:tbl>
      <w:tblPr>
        <w:tblpPr w:leftFromText="180" w:rightFromText="180" w:vertAnchor="text" w:horzAnchor="margin" w:tblpXSpec="center" w:tblpY="21"/>
        <w:tblW w:w="105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36"/>
        <w:gridCol w:w="2639"/>
        <w:gridCol w:w="1522"/>
        <w:gridCol w:w="3758"/>
      </w:tblGrid>
      <w:tr w:rsidR="006377FC" w:rsidRPr="00DD08AB" w14:paraId="39C39D97" w14:textId="77777777" w:rsidTr="00D57A49">
        <w:trPr>
          <w:cantSplit/>
          <w:trHeight w:val="226"/>
          <w:tblHeader/>
        </w:trPr>
        <w:tc>
          <w:tcPr>
            <w:tcW w:w="2636" w:type="dxa"/>
            <w:vMerge w:val="restart"/>
            <w:vAlign w:val="center"/>
          </w:tcPr>
          <w:p w14:paraId="5699D649" w14:textId="77777777" w:rsidR="006377FC" w:rsidRPr="001D0FF6" w:rsidRDefault="006377FC" w:rsidP="001D0FF6">
            <w:pPr>
              <w:pStyle w:val="MyBody"/>
              <w:rPr>
                <w:b/>
              </w:rPr>
            </w:pPr>
            <w:r w:rsidRPr="001D0FF6">
              <w:rPr>
                <w:b/>
              </w:rPr>
              <w:t>Field Name</w:t>
            </w:r>
          </w:p>
        </w:tc>
        <w:tc>
          <w:tcPr>
            <w:tcW w:w="7919" w:type="dxa"/>
            <w:gridSpan w:val="3"/>
            <w:vAlign w:val="center"/>
          </w:tcPr>
          <w:p w14:paraId="66BE9E16" w14:textId="77777777" w:rsidR="006377FC" w:rsidRPr="001D0FF6" w:rsidRDefault="006377FC" w:rsidP="001D0FF6">
            <w:pPr>
              <w:pStyle w:val="MyBody"/>
              <w:jc w:val="center"/>
              <w:rPr>
                <w:b/>
              </w:rPr>
            </w:pPr>
            <w:r w:rsidRPr="001D0FF6">
              <w:rPr>
                <w:b/>
              </w:rPr>
              <w:t>Schema Metadata</w:t>
            </w:r>
          </w:p>
        </w:tc>
      </w:tr>
      <w:tr w:rsidR="006377FC" w:rsidRPr="00DD08AB" w14:paraId="1886C606" w14:textId="77777777" w:rsidTr="00D57A49">
        <w:trPr>
          <w:cantSplit/>
          <w:trHeight w:val="226"/>
          <w:tblHeader/>
        </w:trPr>
        <w:tc>
          <w:tcPr>
            <w:tcW w:w="2636" w:type="dxa"/>
            <w:vMerge/>
          </w:tcPr>
          <w:p w14:paraId="20817D67" w14:textId="77777777" w:rsidR="006377FC" w:rsidRPr="001D0FF6" w:rsidRDefault="006377FC" w:rsidP="001D0FF6">
            <w:pPr>
              <w:pStyle w:val="MyBody"/>
              <w:rPr>
                <w:b/>
              </w:rPr>
            </w:pPr>
          </w:p>
        </w:tc>
        <w:tc>
          <w:tcPr>
            <w:tcW w:w="2639" w:type="dxa"/>
            <w:vAlign w:val="center"/>
          </w:tcPr>
          <w:p w14:paraId="22B4A034" w14:textId="77777777" w:rsidR="006377FC" w:rsidRPr="001D0FF6" w:rsidRDefault="006377FC" w:rsidP="001D0FF6">
            <w:pPr>
              <w:pStyle w:val="MyBody"/>
              <w:rPr>
                <w:b/>
                <w:i/>
                <w:iCs/>
              </w:rPr>
            </w:pPr>
            <w:r w:rsidRPr="001D0FF6">
              <w:rPr>
                <w:b/>
                <w:i/>
                <w:iCs/>
              </w:rPr>
              <w:t>Type</w:t>
            </w:r>
          </w:p>
        </w:tc>
        <w:tc>
          <w:tcPr>
            <w:tcW w:w="1522" w:type="dxa"/>
            <w:vAlign w:val="center"/>
          </w:tcPr>
          <w:p w14:paraId="06729ED2" w14:textId="77777777" w:rsidR="006377FC" w:rsidRPr="001D0FF6" w:rsidRDefault="006377FC" w:rsidP="001D0FF6">
            <w:pPr>
              <w:pStyle w:val="MyBody"/>
              <w:rPr>
                <w:b/>
                <w:i/>
                <w:iCs/>
              </w:rPr>
            </w:pPr>
            <w:r w:rsidRPr="001D0FF6">
              <w:rPr>
                <w:b/>
                <w:i/>
                <w:iCs/>
              </w:rPr>
              <w:t>Category</w:t>
            </w:r>
          </w:p>
        </w:tc>
        <w:tc>
          <w:tcPr>
            <w:tcW w:w="3758" w:type="dxa"/>
          </w:tcPr>
          <w:p w14:paraId="76438D0B" w14:textId="77777777" w:rsidR="006377FC" w:rsidRPr="001D0FF6" w:rsidRDefault="006377FC" w:rsidP="001D0FF6">
            <w:pPr>
              <w:pStyle w:val="MyBody"/>
              <w:rPr>
                <w:b/>
                <w:i/>
                <w:iCs/>
              </w:rPr>
            </w:pPr>
            <w:r w:rsidRPr="001D0FF6">
              <w:rPr>
                <w:b/>
                <w:i/>
                <w:iCs/>
              </w:rPr>
              <w:t>Purpose</w:t>
            </w:r>
          </w:p>
        </w:tc>
      </w:tr>
      <w:tr w:rsidR="006377FC" w:rsidRPr="00DD08AB" w14:paraId="4637F1E5" w14:textId="77777777" w:rsidTr="00D57A49">
        <w:trPr>
          <w:trHeight w:val="301"/>
        </w:trPr>
        <w:tc>
          <w:tcPr>
            <w:tcW w:w="2636" w:type="dxa"/>
          </w:tcPr>
          <w:p w14:paraId="0567A4BB" w14:textId="77777777" w:rsidR="006377FC" w:rsidRPr="00DD08AB" w:rsidRDefault="006377FC" w:rsidP="00B850F9">
            <w:pPr>
              <w:pStyle w:val="ListStyle"/>
              <w:framePr w:hSpace="0" w:wrap="auto" w:vAnchor="margin" w:hAnchor="text" w:xAlign="left" w:yAlign="inline"/>
            </w:pPr>
            <w:r>
              <w:t>MSN</w:t>
            </w:r>
          </w:p>
        </w:tc>
        <w:tc>
          <w:tcPr>
            <w:tcW w:w="2639" w:type="dxa"/>
          </w:tcPr>
          <w:p w14:paraId="74275786" w14:textId="77777777" w:rsidR="006377FC" w:rsidRPr="00DD08AB" w:rsidRDefault="006377FC" w:rsidP="00B850F9">
            <w:pPr>
              <w:pStyle w:val="ListStyle"/>
              <w:framePr w:hSpace="0" w:wrap="auto" w:vAnchor="margin" w:hAnchor="text" w:xAlign="left" w:yAlign="inline"/>
            </w:pPr>
            <w:r>
              <w:t>String – Classifier</w:t>
            </w:r>
          </w:p>
        </w:tc>
        <w:tc>
          <w:tcPr>
            <w:tcW w:w="1522" w:type="dxa"/>
          </w:tcPr>
          <w:p w14:paraId="2455955C" w14:textId="77777777" w:rsidR="006377FC" w:rsidRPr="00DD08AB" w:rsidRDefault="006377FC" w:rsidP="00B850F9">
            <w:pPr>
              <w:pStyle w:val="ListStyle"/>
              <w:framePr w:hSpace="0" w:wrap="auto" w:vAnchor="margin" w:hAnchor="text" w:xAlign="left" w:yAlign="inline"/>
            </w:pPr>
            <w:r>
              <w:t>Dimension</w:t>
            </w:r>
          </w:p>
        </w:tc>
        <w:tc>
          <w:tcPr>
            <w:tcW w:w="3758" w:type="dxa"/>
          </w:tcPr>
          <w:p w14:paraId="024FB0A2" w14:textId="1F3CB3AF" w:rsidR="006377FC" w:rsidRPr="00DD08AB" w:rsidRDefault="00153C5A" w:rsidP="00B850F9">
            <w:pPr>
              <w:pStyle w:val="ListStyle"/>
              <w:framePr w:hSpace="0" w:wrap="auto" w:vAnchor="margin" w:hAnchor="text" w:xAlign="left" w:yAlign="inline"/>
            </w:pPr>
            <w:r>
              <w:rPr>
                <w:noProof/>
              </w:rPr>
              <w:t>The c</w:t>
            </w:r>
            <w:r w:rsidR="006377FC" w:rsidRPr="00153C5A">
              <w:rPr>
                <w:noProof/>
              </w:rPr>
              <w:t>ode</w:t>
            </w:r>
            <w:r w:rsidR="00D36DD5">
              <w:rPr>
                <w:noProof/>
              </w:rPr>
              <w:t xml:space="preserve"> </w:t>
            </w:r>
            <w:r w:rsidR="00D36DD5">
              <w:rPr>
                <w:noProof/>
                <w:lang w:val="en-US"/>
              </w:rPr>
              <w:t>indicates the</w:t>
            </w:r>
            <w:r w:rsidR="006377FC">
              <w:t xml:space="preserve"> value classification. Not used.</w:t>
            </w:r>
          </w:p>
        </w:tc>
      </w:tr>
      <w:tr w:rsidR="006377FC" w:rsidRPr="00DD08AB" w14:paraId="7B709275" w14:textId="77777777" w:rsidTr="00D57A49">
        <w:trPr>
          <w:trHeight w:val="301"/>
        </w:trPr>
        <w:tc>
          <w:tcPr>
            <w:tcW w:w="2636" w:type="dxa"/>
          </w:tcPr>
          <w:p w14:paraId="6B47BD20" w14:textId="77777777" w:rsidR="006377FC" w:rsidRPr="00DD08AB" w:rsidRDefault="006377FC" w:rsidP="00B850F9">
            <w:pPr>
              <w:pStyle w:val="ListStyle"/>
              <w:framePr w:hSpace="0" w:wrap="auto" w:vAnchor="margin" w:hAnchor="text" w:xAlign="left" w:yAlign="inline"/>
            </w:pPr>
            <w:r>
              <w:t>YYYYMM</w:t>
            </w:r>
          </w:p>
        </w:tc>
        <w:tc>
          <w:tcPr>
            <w:tcW w:w="2639" w:type="dxa"/>
          </w:tcPr>
          <w:p w14:paraId="3A2F6ACA" w14:textId="77777777" w:rsidR="006377FC" w:rsidRPr="00DD08AB" w:rsidRDefault="006377FC" w:rsidP="00B850F9">
            <w:pPr>
              <w:pStyle w:val="ListStyle"/>
              <w:framePr w:hSpace="0" w:wrap="auto" w:vAnchor="margin" w:hAnchor="text" w:xAlign="left" w:yAlign="inline"/>
            </w:pPr>
            <w:r>
              <w:t>String – Classifier</w:t>
            </w:r>
          </w:p>
        </w:tc>
        <w:tc>
          <w:tcPr>
            <w:tcW w:w="1522" w:type="dxa"/>
          </w:tcPr>
          <w:p w14:paraId="48208C18" w14:textId="77777777" w:rsidR="006377FC" w:rsidRPr="00DD08AB" w:rsidRDefault="006377FC" w:rsidP="00B850F9">
            <w:pPr>
              <w:pStyle w:val="ListStyle"/>
              <w:framePr w:hSpace="0" w:wrap="auto" w:vAnchor="margin" w:hAnchor="text" w:xAlign="left" w:yAlign="inline"/>
            </w:pPr>
            <w:r>
              <w:t>Dimension</w:t>
            </w:r>
          </w:p>
        </w:tc>
        <w:tc>
          <w:tcPr>
            <w:tcW w:w="3758" w:type="dxa"/>
          </w:tcPr>
          <w:p w14:paraId="23AB3DDA" w14:textId="77777777" w:rsidR="006377FC" w:rsidRPr="00DD08AB" w:rsidRDefault="006377FC" w:rsidP="00B850F9">
            <w:pPr>
              <w:pStyle w:val="ListStyle"/>
              <w:framePr w:hSpace="0" w:wrap="auto" w:vAnchor="margin" w:hAnchor="text" w:xAlign="left" w:yAlign="inline"/>
            </w:pPr>
            <w:r>
              <w:t>Year and Month of the observation stored as a string YYYYMM.</w:t>
            </w:r>
          </w:p>
        </w:tc>
      </w:tr>
      <w:tr w:rsidR="006377FC" w:rsidRPr="00DD08AB" w14:paraId="59E2A0CD" w14:textId="77777777" w:rsidTr="00D57A49">
        <w:trPr>
          <w:trHeight w:val="301"/>
        </w:trPr>
        <w:tc>
          <w:tcPr>
            <w:tcW w:w="2636" w:type="dxa"/>
          </w:tcPr>
          <w:p w14:paraId="28AF9089" w14:textId="77777777" w:rsidR="006377FC" w:rsidRPr="00DD08AB" w:rsidRDefault="006377FC" w:rsidP="00B850F9">
            <w:pPr>
              <w:pStyle w:val="ListStyle"/>
              <w:framePr w:hSpace="0" w:wrap="auto" w:vAnchor="margin" w:hAnchor="text" w:xAlign="left" w:yAlign="inline"/>
            </w:pPr>
            <w:r>
              <w:t>Value</w:t>
            </w:r>
          </w:p>
        </w:tc>
        <w:tc>
          <w:tcPr>
            <w:tcW w:w="2639" w:type="dxa"/>
          </w:tcPr>
          <w:p w14:paraId="72489F53" w14:textId="77777777" w:rsidR="006377FC" w:rsidRPr="00DD08AB" w:rsidRDefault="006377FC" w:rsidP="00B850F9">
            <w:pPr>
              <w:pStyle w:val="ListStyle"/>
              <w:framePr w:hSpace="0" w:wrap="auto" w:vAnchor="margin" w:hAnchor="text" w:xAlign="left" w:yAlign="inline"/>
            </w:pPr>
            <w:r>
              <w:t>Numeric – Continuous</w:t>
            </w:r>
          </w:p>
        </w:tc>
        <w:tc>
          <w:tcPr>
            <w:tcW w:w="1522" w:type="dxa"/>
          </w:tcPr>
          <w:p w14:paraId="67151EE6" w14:textId="77777777" w:rsidR="006377FC" w:rsidRPr="00DD08AB" w:rsidRDefault="006377FC" w:rsidP="00B850F9">
            <w:pPr>
              <w:pStyle w:val="ListStyle"/>
              <w:framePr w:hSpace="0" w:wrap="auto" w:vAnchor="margin" w:hAnchor="text" w:xAlign="left" w:yAlign="inline"/>
            </w:pPr>
            <w:r>
              <w:t>Measure</w:t>
            </w:r>
          </w:p>
        </w:tc>
        <w:tc>
          <w:tcPr>
            <w:tcW w:w="3758" w:type="dxa"/>
          </w:tcPr>
          <w:p w14:paraId="304F3F30" w14:textId="77777777" w:rsidR="006377FC" w:rsidRDefault="006377FC" w:rsidP="00B850F9">
            <w:pPr>
              <w:pStyle w:val="ListStyle"/>
              <w:framePr w:hSpace="0" w:wrap="auto" w:vAnchor="margin" w:hAnchor="text" w:xAlign="left" w:yAlign="inline"/>
            </w:pPr>
            <w:r>
              <w:t xml:space="preserve">Primary energy (point of generation) produced for the </w:t>
            </w:r>
            <w:r w:rsidRPr="00153C5A">
              <w:rPr>
                <w:noProof/>
              </w:rPr>
              <w:t>observation</w:t>
            </w:r>
            <w:r>
              <w:t>.</w:t>
            </w:r>
          </w:p>
          <w:p w14:paraId="6B37E1E9" w14:textId="77777777" w:rsidR="006377FC" w:rsidRPr="00DD08AB" w:rsidRDefault="006377FC" w:rsidP="00B850F9">
            <w:pPr>
              <w:pStyle w:val="ListStyle"/>
              <w:framePr w:hSpace="0" w:wrap="auto" w:vAnchor="margin" w:hAnchor="text" w:xAlign="left" w:yAlign="inline"/>
            </w:pPr>
          </w:p>
        </w:tc>
      </w:tr>
      <w:tr w:rsidR="006377FC" w:rsidRPr="00DD08AB" w14:paraId="2706FB11" w14:textId="77777777" w:rsidTr="00D57A49">
        <w:trPr>
          <w:trHeight w:val="301"/>
        </w:trPr>
        <w:tc>
          <w:tcPr>
            <w:tcW w:w="2636" w:type="dxa"/>
          </w:tcPr>
          <w:p w14:paraId="663FCDBC" w14:textId="77777777" w:rsidR="006377FC" w:rsidRDefault="006377FC" w:rsidP="00B850F9">
            <w:pPr>
              <w:pStyle w:val="ListStyle"/>
              <w:framePr w:hSpace="0" w:wrap="auto" w:vAnchor="margin" w:hAnchor="text" w:xAlign="left" w:yAlign="inline"/>
            </w:pPr>
            <w:r>
              <w:t>Description</w:t>
            </w:r>
          </w:p>
        </w:tc>
        <w:tc>
          <w:tcPr>
            <w:tcW w:w="2639" w:type="dxa"/>
          </w:tcPr>
          <w:p w14:paraId="38C48967" w14:textId="77777777" w:rsidR="006377FC" w:rsidRDefault="006377FC" w:rsidP="00B850F9">
            <w:pPr>
              <w:pStyle w:val="ListStyle"/>
              <w:framePr w:hSpace="0" w:wrap="auto" w:vAnchor="margin" w:hAnchor="text" w:xAlign="left" w:yAlign="inline"/>
            </w:pPr>
            <w:r>
              <w:t>String – Classifier</w:t>
            </w:r>
          </w:p>
        </w:tc>
        <w:tc>
          <w:tcPr>
            <w:tcW w:w="1522" w:type="dxa"/>
          </w:tcPr>
          <w:p w14:paraId="66D801AB" w14:textId="77777777" w:rsidR="006377FC" w:rsidRDefault="006377FC" w:rsidP="00B850F9">
            <w:pPr>
              <w:pStyle w:val="ListStyle"/>
              <w:framePr w:hSpace="0" w:wrap="auto" w:vAnchor="margin" w:hAnchor="text" w:xAlign="left" w:yAlign="inline"/>
            </w:pPr>
            <w:r>
              <w:t>Dimension</w:t>
            </w:r>
          </w:p>
        </w:tc>
        <w:tc>
          <w:tcPr>
            <w:tcW w:w="3758" w:type="dxa"/>
          </w:tcPr>
          <w:p w14:paraId="07C4E161" w14:textId="77777777" w:rsidR="006377FC" w:rsidRDefault="006377FC" w:rsidP="00B850F9">
            <w:pPr>
              <w:pStyle w:val="ListStyle"/>
              <w:framePr w:hSpace="0" w:wrap="auto" w:vAnchor="margin" w:hAnchor="text" w:xAlign="left" w:yAlign="inline"/>
            </w:pPr>
            <w:r>
              <w:t>Description of the generation method, primary classifier – see Table 3 for additional detail.</w:t>
            </w:r>
          </w:p>
        </w:tc>
      </w:tr>
      <w:tr w:rsidR="006377FC" w:rsidRPr="00DD08AB" w14:paraId="66C63BBD" w14:textId="77777777" w:rsidTr="00D57A49">
        <w:trPr>
          <w:trHeight w:val="301"/>
        </w:trPr>
        <w:tc>
          <w:tcPr>
            <w:tcW w:w="2636" w:type="dxa"/>
          </w:tcPr>
          <w:p w14:paraId="51DA70D3" w14:textId="77777777" w:rsidR="006377FC" w:rsidRDefault="006377FC" w:rsidP="00B850F9">
            <w:pPr>
              <w:pStyle w:val="ListStyle"/>
              <w:framePr w:hSpace="0" w:wrap="auto" w:vAnchor="margin" w:hAnchor="text" w:xAlign="left" w:yAlign="inline"/>
            </w:pPr>
            <w:r>
              <w:t>Unit</w:t>
            </w:r>
          </w:p>
        </w:tc>
        <w:tc>
          <w:tcPr>
            <w:tcW w:w="2639" w:type="dxa"/>
          </w:tcPr>
          <w:p w14:paraId="44272A97" w14:textId="77777777" w:rsidR="006377FC" w:rsidRDefault="006377FC" w:rsidP="00B850F9">
            <w:pPr>
              <w:pStyle w:val="ListStyle"/>
              <w:framePr w:hSpace="0" w:wrap="auto" w:vAnchor="margin" w:hAnchor="text" w:xAlign="left" w:yAlign="inline"/>
            </w:pPr>
            <w:r>
              <w:t>String – Classifier</w:t>
            </w:r>
          </w:p>
        </w:tc>
        <w:tc>
          <w:tcPr>
            <w:tcW w:w="1522" w:type="dxa"/>
          </w:tcPr>
          <w:p w14:paraId="2D99B7D3" w14:textId="77777777" w:rsidR="006377FC" w:rsidRDefault="006377FC" w:rsidP="00B850F9">
            <w:pPr>
              <w:pStyle w:val="ListStyle"/>
              <w:framePr w:hSpace="0" w:wrap="auto" w:vAnchor="margin" w:hAnchor="text" w:xAlign="left" w:yAlign="inline"/>
            </w:pPr>
            <w:r>
              <w:t>Dimension</w:t>
            </w:r>
          </w:p>
        </w:tc>
        <w:tc>
          <w:tcPr>
            <w:tcW w:w="3758" w:type="dxa"/>
          </w:tcPr>
          <w:p w14:paraId="7D2DF2BD" w14:textId="77777777" w:rsidR="006377FC" w:rsidRDefault="006377FC" w:rsidP="00B850F9">
            <w:pPr>
              <w:pStyle w:val="ListStyle"/>
              <w:framePr w:hSpace="0" w:wrap="auto" w:vAnchor="margin" w:hAnchor="text" w:xAlign="left" w:yAlign="inline"/>
            </w:pPr>
            <w:r>
              <w:t>Unit of measure for the Value.</w:t>
            </w:r>
          </w:p>
        </w:tc>
      </w:tr>
    </w:tbl>
    <w:p w14:paraId="5DEE9DE5" w14:textId="77777777" w:rsidR="006377FC" w:rsidRPr="00033D4C" w:rsidRDefault="006377FC" w:rsidP="001D0FF6">
      <w:pPr>
        <w:pStyle w:val="MyBody"/>
      </w:pPr>
    </w:p>
    <w:p w14:paraId="262C4B09" w14:textId="77777777" w:rsidR="006377FC" w:rsidRPr="001D0FF6" w:rsidRDefault="006377FC" w:rsidP="001D0FF6">
      <w:pPr>
        <w:pStyle w:val="MyBody"/>
        <w:rPr>
          <w:rStyle w:val="Strong"/>
        </w:rPr>
      </w:pPr>
      <w:r w:rsidRPr="001D0FF6">
        <w:rPr>
          <w:rStyle w:val="Strong"/>
        </w:rPr>
        <w:t>Table 3 – Dataset Table 1.2 – Primary Energy Production – Description Classifiers</w:t>
      </w:r>
    </w:p>
    <w:tbl>
      <w:tblPr>
        <w:tblpPr w:leftFromText="180" w:rightFromText="180" w:vertAnchor="text" w:horzAnchor="margin" w:tblpXSpec="center" w:tblpY="21"/>
        <w:tblW w:w="105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36"/>
        <w:gridCol w:w="2639"/>
        <w:gridCol w:w="5280"/>
      </w:tblGrid>
      <w:tr w:rsidR="006377FC" w:rsidRPr="00DD08AB" w14:paraId="54CCAE01" w14:textId="77777777" w:rsidTr="00D57A49">
        <w:trPr>
          <w:cantSplit/>
          <w:trHeight w:val="226"/>
          <w:tblHeader/>
        </w:trPr>
        <w:tc>
          <w:tcPr>
            <w:tcW w:w="2636" w:type="dxa"/>
            <w:vMerge w:val="restart"/>
            <w:vAlign w:val="center"/>
          </w:tcPr>
          <w:p w14:paraId="0C4760E1" w14:textId="77777777" w:rsidR="006377FC" w:rsidRPr="001D0FF6" w:rsidRDefault="006377FC" w:rsidP="001D0FF6">
            <w:pPr>
              <w:pStyle w:val="MyBody"/>
              <w:rPr>
                <w:b/>
              </w:rPr>
            </w:pPr>
            <w:r w:rsidRPr="001D0FF6">
              <w:rPr>
                <w:b/>
              </w:rPr>
              <w:t>Classifier</w:t>
            </w:r>
          </w:p>
        </w:tc>
        <w:tc>
          <w:tcPr>
            <w:tcW w:w="7919" w:type="dxa"/>
            <w:gridSpan w:val="2"/>
            <w:vAlign w:val="center"/>
          </w:tcPr>
          <w:p w14:paraId="295C4B97" w14:textId="77777777" w:rsidR="006377FC" w:rsidRPr="001D0FF6" w:rsidRDefault="006377FC" w:rsidP="001D0FF6">
            <w:pPr>
              <w:pStyle w:val="MyBody"/>
              <w:jc w:val="center"/>
              <w:rPr>
                <w:b/>
              </w:rPr>
            </w:pPr>
            <w:r w:rsidRPr="001D0FF6">
              <w:rPr>
                <w:b/>
              </w:rPr>
              <w:t>Classifier Description</w:t>
            </w:r>
          </w:p>
        </w:tc>
      </w:tr>
      <w:tr w:rsidR="006377FC" w:rsidRPr="00DD08AB" w14:paraId="6F6B4974" w14:textId="77777777" w:rsidTr="00D57A49">
        <w:trPr>
          <w:cantSplit/>
          <w:trHeight w:val="226"/>
          <w:tblHeader/>
        </w:trPr>
        <w:tc>
          <w:tcPr>
            <w:tcW w:w="2636" w:type="dxa"/>
            <w:vMerge/>
          </w:tcPr>
          <w:p w14:paraId="4B3C4783" w14:textId="77777777" w:rsidR="006377FC" w:rsidRPr="001D0FF6" w:rsidRDefault="006377FC" w:rsidP="001D0FF6">
            <w:pPr>
              <w:pStyle w:val="MyBody"/>
              <w:rPr>
                <w:b/>
              </w:rPr>
            </w:pPr>
          </w:p>
        </w:tc>
        <w:tc>
          <w:tcPr>
            <w:tcW w:w="2639" w:type="dxa"/>
            <w:vAlign w:val="center"/>
          </w:tcPr>
          <w:p w14:paraId="62903CB0" w14:textId="77777777" w:rsidR="006377FC" w:rsidRPr="001D0FF6" w:rsidRDefault="006377FC" w:rsidP="000D39F3">
            <w:pPr>
              <w:pStyle w:val="MyBody"/>
              <w:jc w:val="center"/>
              <w:rPr>
                <w:b/>
                <w:i/>
                <w:iCs/>
              </w:rPr>
            </w:pPr>
            <w:r w:rsidRPr="001D0FF6">
              <w:rPr>
                <w:b/>
                <w:i/>
                <w:iCs/>
              </w:rPr>
              <w:t>Component of</w:t>
            </w:r>
          </w:p>
        </w:tc>
        <w:tc>
          <w:tcPr>
            <w:tcW w:w="5280" w:type="dxa"/>
            <w:vAlign w:val="center"/>
          </w:tcPr>
          <w:p w14:paraId="52750C72" w14:textId="77777777" w:rsidR="006377FC" w:rsidRPr="001D0FF6" w:rsidRDefault="006377FC" w:rsidP="000D39F3">
            <w:pPr>
              <w:pStyle w:val="MyBody"/>
              <w:jc w:val="center"/>
              <w:rPr>
                <w:b/>
                <w:i/>
                <w:iCs/>
              </w:rPr>
            </w:pPr>
            <w:r w:rsidRPr="001D0FF6">
              <w:rPr>
                <w:b/>
                <w:i/>
                <w:iCs/>
              </w:rPr>
              <w:t>Category</w:t>
            </w:r>
          </w:p>
        </w:tc>
      </w:tr>
      <w:tr w:rsidR="006377FC" w:rsidRPr="00DD08AB" w14:paraId="204C9FB2" w14:textId="77777777" w:rsidTr="00D57A49">
        <w:trPr>
          <w:trHeight w:val="301"/>
        </w:trPr>
        <w:tc>
          <w:tcPr>
            <w:tcW w:w="2636" w:type="dxa"/>
          </w:tcPr>
          <w:p w14:paraId="01EDD165" w14:textId="77777777" w:rsidR="006377FC" w:rsidRPr="00DD08AB" w:rsidRDefault="006377FC" w:rsidP="00B850F9">
            <w:pPr>
              <w:pStyle w:val="ListStyle"/>
              <w:framePr w:hSpace="0" w:wrap="auto" w:vAnchor="margin" w:hAnchor="text" w:xAlign="left" w:yAlign="inline"/>
            </w:pPr>
            <w:r>
              <w:t>Biomass Energy Production</w:t>
            </w:r>
          </w:p>
        </w:tc>
        <w:tc>
          <w:tcPr>
            <w:tcW w:w="2639" w:type="dxa"/>
          </w:tcPr>
          <w:p w14:paraId="1B86B2AF" w14:textId="77777777" w:rsidR="006377FC" w:rsidRPr="00DD08AB" w:rsidRDefault="006377FC" w:rsidP="00B850F9">
            <w:pPr>
              <w:pStyle w:val="ListStyle"/>
              <w:framePr w:hSpace="0" w:wrap="auto" w:vAnchor="margin" w:hAnchor="text" w:xAlign="left" w:yAlign="inline"/>
            </w:pPr>
            <w:r>
              <w:t>Renewable</w:t>
            </w:r>
          </w:p>
        </w:tc>
        <w:tc>
          <w:tcPr>
            <w:tcW w:w="5280" w:type="dxa"/>
          </w:tcPr>
          <w:p w14:paraId="1981B6C0" w14:textId="77777777" w:rsidR="006377FC" w:rsidRPr="00DD08AB" w:rsidRDefault="006377FC" w:rsidP="00B850F9">
            <w:pPr>
              <w:pStyle w:val="ListStyle"/>
              <w:framePr w:hSpace="0" w:wrap="auto" w:vAnchor="margin" w:hAnchor="text" w:xAlign="left" w:yAlign="inline"/>
            </w:pPr>
            <w:r>
              <w:t>Energy produced from biomass (i.e., biofuels).</w:t>
            </w:r>
          </w:p>
        </w:tc>
      </w:tr>
      <w:tr w:rsidR="006377FC" w:rsidRPr="00DD08AB" w14:paraId="30F32BBF" w14:textId="77777777" w:rsidTr="00D57A49">
        <w:trPr>
          <w:trHeight w:val="301"/>
        </w:trPr>
        <w:tc>
          <w:tcPr>
            <w:tcW w:w="2636" w:type="dxa"/>
          </w:tcPr>
          <w:p w14:paraId="36972F21" w14:textId="77777777" w:rsidR="006377FC" w:rsidRDefault="006377FC" w:rsidP="00B850F9">
            <w:pPr>
              <w:pStyle w:val="ListStyle"/>
              <w:framePr w:hSpace="0" w:wrap="auto" w:vAnchor="margin" w:hAnchor="text" w:xAlign="left" w:yAlign="inline"/>
            </w:pPr>
            <w:r>
              <w:t>Coal Production</w:t>
            </w:r>
          </w:p>
        </w:tc>
        <w:tc>
          <w:tcPr>
            <w:tcW w:w="2639" w:type="dxa"/>
          </w:tcPr>
          <w:p w14:paraId="60F7D90E" w14:textId="77777777" w:rsidR="006377FC" w:rsidRDefault="006377FC" w:rsidP="00B850F9">
            <w:pPr>
              <w:pStyle w:val="ListStyle"/>
              <w:framePr w:hSpace="0" w:wrap="auto" w:vAnchor="margin" w:hAnchor="text" w:xAlign="left" w:yAlign="inline"/>
            </w:pPr>
            <w:r>
              <w:t>Fossil Fuel</w:t>
            </w:r>
          </w:p>
        </w:tc>
        <w:tc>
          <w:tcPr>
            <w:tcW w:w="5280" w:type="dxa"/>
          </w:tcPr>
          <w:p w14:paraId="1F4EE6A6" w14:textId="77777777" w:rsidR="006377FC" w:rsidRDefault="006377FC" w:rsidP="00B850F9">
            <w:pPr>
              <w:pStyle w:val="ListStyle"/>
              <w:framePr w:hSpace="0" w:wrap="auto" w:vAnchor="margin" w:hAnchor="text" w:xAlign="left" w:yAlign="inline"/>
            </w:pPr>
            <w:r>
              <w:t>Energy produced from coal sources.</w:t>
            </w:r>
          </w:p>
        </w:tc>
      </w:tr>
      <w:tr w:rsidR="006377FC" w:rsidRPr="00DD08AB" w14:paraId="37FFFECC" w14:textId="77777777" w:rsidTr="00D57A49">
        <w:trPr>
          <w:trHeight w:val="301"/>
        </w:trPr>
        <w:tc>
          <w:tcPr>
            <w:tcW w:w="2636" w:type="dxa"/>
          </w:tcPr>
          <w:p w14:paraId="7BE21620" w14:textId="77777777" w:rsidR="006377FC" w:rsidRDefault="006377FC" w:rsidP="00B850F9">
            <w:pPr>
              <w:pStyle w:val="ListStyle"/>
              <w:framePr w:hSpace="0" w:wrap="auto" w:vAnchor="margin" w:hAnchor="text" w:xAlign="left" w:yAlign="inline"/>
            </w:pPr>
            <w:r>
              <w:t>Crude Oil Production</w:t>
            </w:r>
          </w:p>
        </w:tc>
        <w:tc>
          <w:tcPr>
            <w:tcW w:w="2639" w:type="dxa"/>
          </w:tcPr>
          <w:p w14:paraId="2B77BE5D" w14:textId="77777777" w:rsidR="006377FC" w:rsidRDefault="006377FC" w:rsidP="00B850F9">
            <w:pPr>
              <w:pStyle w:val="ListStyle"/>
              <w:framePr w:hSpace="0" w:wrap="auto" w:vAnchor="margin" w:hAnchor="text" w:xAlign="left" w:yAlign="inline"/>
            </w:pPr>
            <w:r>
              <w:t>Fossil Fuel</w:t>
            </w:r>
          </w:p>
        </w:tc>
        <w:tc>
          <w:tcPr>
            <w:tcW w:w="5280" w:type="dxa"/>
          </w:tcPr>
          <w:p w14:paraId="2BCECFA0" w14:textId="77777777" w:rsidR="006377FC" w:rsidRDefault="006377FC" w:rsidP="00B850F9">
            <w:pPr>
              <w:pStyle w:val="ListStyle"/>
              <w:framePr w:hSpace="0" w:wrap="auto" w:vAnchor="margin" w:hAnchor="text" w:xAlign="left" w:yAlign="inline"/>
            </w:pPr>
            <w:r>
              <w:t>Energy produced because of crude oil production.</w:t>
            </w:r>
          </w:p>
        </w:tc>
      </w:tr>
      <w:tr w:rsidR="006377FC" w:rsidRPr="00DD08AB" w14:paraId="0B0BAC22" w14:textId="77777777" w:rsidTr="00D57A49">
        <w:trPr>
          <w:trHeight w:val="301"/>
        </w:trPr>
        <w:tc>
          <w:tcPr>
            <w:tcW w:w="2636" w:type="dxa"/>
          </w:tcPr>
          <w:p w14:paraId="72DEB17F" w14:textId="77777777" w:rsidR="006377FC" w:rsidRDefault="006377FC" w:rsidP="00B850F9">
            <w:pPr>
              <w:pStyle w:val="ListStyle"/>
              <w:framePr w:hSpace="0" w:wrap="auto" w:vAnchor="margin" w:hAnchor="text" w:xAlign="left" w:yAlign="inline"/>
            </w:pPr>
            <w:r>
              <w:t>Geothermic Energy Production</w:t>
            </w:r>
          </w:p>
        </w:tc>
        <w:tc>
          <w:tcPr>
            <w:tcW w:w="2639" w:type="dxa"/>
          </w:tcPr>
          <w:p w14:paraId="644C49B9" w14:textId="77777777" w:rsidR="006377FC" w:rsidRDefault="006377FC" w:rsidP="00B850F9">
            <w:pPr>
              <w:pStyle w:val="ListStyle"/>
              <w:framePr w:hSpace="0" w:wrap="auto" w:vAnchor="margin" w:hAnchor="text" w:xAlign="left" w:yAlign="inline"/>
            </w:pPr>
            <w:r>
              <w:t>Renewable</w:t>
            </w:r>
          </w:p>
        </w:tc>
        <w:tc>
          <w:tcPr>
            <w:tcW w:w="5280" w:type="dxa"/>
          </w:tcPr>
          <w:p w14:paraId="5DB53052" w14:textId="77777777" w:rsidR="006377FC" w:rsidRDefault="006377FC" w:rsidP="00B850F9">
            <w:pPr>
              <w:pStyle w:val="ListStyle"/>
              <w:framePr w:hSpace="0" w:wrap="auto" w:vAnchor="margin" w:hAnchor="text" w:xAlign="left" w:yAlign="inline"/>
            </w:pPr>
            <w:r>
              <w:t>Energy produced from geothermal sources.</w:t>
            </w:r>
          </w:p>
        </w:tc>
      </w:tr>
      <w:tr w:rsidR="006377FC" w:rsidRPr="00DD08AB" w14:paraId="2140B5CE" w14:textId="77777777" w:rsidTr="00D57A49">
        <w:trPr>
          <w:trHeight w:val="301"/>
        </w:trPr>
        <w:tc>
          <w:tcPr>
            <w:tcW w:w="2636" w:type="dxa"/>
          </w:tcPr>
          <w:p w14:paraId="59D74EDF" w14:textId="77777777" w:rsidR="006377FC" w:rsidRDefault="006377FC" w:rsidP="00B850F9">
            <w:pPr>
              <w:pStyle w:val="ListStyle"/>
              <w:framePr w:hSpace="0" w:wrap="auto" w:vAnchor="margin" w:hAnchor="text" w:xAlign="left" w:yAlign="inline"/>
            </w:pPr>
            <w:r>
              <w:t>Hydroelectric Power Production</w:t>
            </w:r>
          </w:p>
        </w:tc>
        <w:tc>
          <w:tcPr>
            <w:tcW w:w="2639" w:type="dxa"/>
          </w:tcPr>
          <w:p w14:paraId="33F99588" w14:textId="77777777" w:rsidR="006377FC" w:rsidRDefault="006377FC" w:rsidP="00B850F9">
            <w:pPr>
              <w:pStyle w:val="ListStyle"/>
              <w:framePr w:hSpace="0" w:wrap="auto" w:vAnchor="margin" w:hAnchor="text" w:xAlign="left" w:yAlign="inline"/>
            </w:pPr>
            <w:r>
              <w:t>Renewable</w:t>
            </w:r>
          </w:p>
        </w:tc>
        <w:tc>
          <w:tcPr>
            <w:tcW w:w="5280" w:type="dxa"/>
          </w:tcPr>
          <w:p w14:paraId="08EA580E" w14:textId="0D394BB5" w:rsidR="006377FC" w:rsidRDefault="006377FC" w:rsidP="00B850F9">
            <w:pPr>
              <w:pStyle w:val="ListStyle"/>
              <w:framePr w:hSpace="0" w:wrap="auto" w:vAnchor="margin" w:hAnchor="text" w:xAlign="left" w:yAlign="inline"/>
            </w:pPr>
            <w:r>
              <w:t xml:space="preserve">Energy </w:t>
            </w:r>
            <w:r w:rsidRPr="00D36DD5">
              <w:rPr>
                <w:noProof/>
              </w:rPr>
              <w:t>produced</w:t>
            </w:r>
            <w:r>
              <w:t xml:space="preserve"> by hydroelectric power </w:t>
            </w:r>
            <w:r w:rsidRPr="00D36DD5">
              <w:rPr>
                <w:noProof/>
              </w:rPr>
              <w:t>plan</w:t>
            </w:r>
            <w:r w:rsidR="00D36DD5" w:rsidRPr="00D36DD5">
              <w:rPr>
                <w:noProof/>
                <w:lang w:val="en-US"/>
              </w:rPr>
              <w:t>t</w:t>
            </w:r>
            <w:r w:rsidRPr="00D36DD5">
              <w:rPr>
                <w:noProof/>
              </w:rPr>
              <w:t>s</w:t>
            </w:r>
            <w:r>
              <w:t>.</w:t>
            </w:r>
          </w:p>
        </w:tc>
      </w:tr>
      <w:tr w:rsidR="006377FC" w:rsidRPr="00DD08AB" w14:paraId="1584FC92" w14:textId="77777777" w:rsidTr="00D57A49">
        <w:trPr>
          <w:trHeight w:val="301"/>
        </w:trPr>
        <w:tc>
          <w:tcPr>
            <w:tcW w:w="2636" w:type="dxa"/>
          </w:tcPr>
          <w:p w14:paraId="4A8B5376" w14:textId="77777777" w:rsidR="006377FC" w:rsidRDefault="006377FC" w:rsidP="00B850F9">
            <w:pPr>
              <w:pStyle w:val="ListStyle"/>
              <w:framePr w:hSpace="0" w:wrap="auto" w:vAnchor="margin" w:hAnchor="text" w:xAlign="left" w:yAlign="inline"/>
            </w:pPr>
            <w:r>
              <w:t>Natural Gas (Dry) Production</w:t>
            </w:r>
          </w:p>
        </w:tc>
        <w:tc>
          <w:tcPr>
            <w:tcW w:w="2639" w:type="dxa"/>
          </w:tcPr>
          <w:p w14:paraId="5E0DB579" w14:textId="77777777" w:rsidR="006377FC" w:rsidRDefault="006377FC" w:rsidP="00B850F9">
            <w:pPr>
              <w:pStyle w:val="ListStyle"/>
              <w:framePr w:hSpace="0" w:wrap="auto" w:vAnchor="margin" w:hAnchor="text" w:xAlign="left" w:yAlign="inline"/>
            </w:pPr>
            <w:r>
              <w:t>Fossil Fuel</w:t>
            </w:r>
          </w:p>
        </w:tc>
        <w:tc>
          <w:tcPr>
            <w:tcW w:w="5280" w:type="dxa"/>
          </w:tcPr>
          <w:p w14:paraId="4EF7DA78" w14:textId="77777777" w:rsidR="006377FC" w:rsidRDefault="006377FC" w:rsidP="00B850F9">
            <w:pPr>
              <w:pStyle w:val="ListStyle"/>
              <w:framePr w:hSpace="0" w:wrap="auto" w:vAnchor="margin" w:hAnchor="text" w:xAlign="left" w:yAlign="inline"/>
            </w:pPr>
            <w:r>
              <w:t>Energy produced from Natural gas in dry form.</w:t>
            </w:r>
          </w:p>
        </w:tc>
      </w:tr>
      <w:tr w:rsidR="006377FC" w:rsidRPr="00DD08AB" w14:paraId="04330CD2" w14:textId="77777777" w:rsidTr="00D57A49">
        <w:trPr>
          <w:trHeight w:val="301"/>
        </w:trPr>
        <w:tc>
          <w:tcPr>
            <w:tcW w:w="2636" w:type="dxa"/>
          </w:tcPr>
          <w:p w14:paraId="29DA31C0" w14:textId="77777777" w:rsidR="006377FC" w:rsidRDefault="006377FC" w:rsidP="00B850F9">
            <w:pPr>
              <w:pStyle w:val="ListStyle"/>
              <w:framePr w:hSpace="0" w:wrap="auto" w:vAnchor="margin" w:hAnchor="text" w:xAlign="left" w:yAlign="inline"/>
            </w:pPr>
            <w:r>
              <w:t>Natural Gas Plan Liquids Production</w:t>
            </w:r>
          </w:p>
        </w:tc>
        <w:tc>
          <w:tcPr>
            <w:tcW w:w="2639" w:type="dxa"/>
          </w:tcPr>
          <w:p w14:paraId="32B35BE2" w14:textId="77777777" w:rsidR="006377FC" w:rsidRDefault="006377FC" w:rsidP="00B850F9">
            <w:pPr>
              <w:pStyle w:val="ListStyle"/>
              <w:framePr w:hSpace="0" w:wrap="auto" w:vAnchor="margin" w:hAnchor="text" w:xAlign="left" w:yAlign="inline"/>
            </w:pPr>
            <w:r>
              <w:t>Fossil Fuel</w:t>
            </w:r>
          </w:p>
        </w:tc>
        <w:tc>
          <w:tcPr>
            <w:tcW w:w="5280" w:type="dxa"/>
          </w:tcPr>
          <w:p w14:paraId="25D8AB5E" w14:textId="77777777" w:rsidR="006377FC" w:rsidRDefault="006377FC" w:rsidP="00B850F9">
            <w:pPr>
              <w:pStyle w:val="ListStyle"/>
              <w:framePr w:hSpace="0" w:wrap="auto" w:vAnchor="margin" w:hAnchor="text" w:xAlign="left" w:yAlign="inline"/>
            </w:pPr>
            <w:r>
              <w:t>Energy produced form liquid natural gas.</w:t>
            </w:r>
          </w:p>
        </w:tc>
      </w:tr>
      <w:tr w:rsidR="006377FC" w:rsidRPr="00DD08AB" w14:paraId="6EF2F09F" w14:textId="77777777" w:rsidTr="00D57A49">
        <w:trPr>
          <w:trHeight w:val="301"/>
        </w:trPr>
        <w:tc>
          <w:tcPr>
            <w:tcW w:w="2636" w:type="dxa"/>
          </w:tcPr>
          <w:p w14:paraId="357F7555" w14:textId="77777777" w:rsidR="006377FC" w:rsidRDefault="006377FC" w:rsidP="00B850F9">
            <w:pPr>
              <w:pStyle w:val="ListStyle"/>
              <w:framePr w:hSpace="0" w:wrap="auto" w:vAnchor="margin" w:hAnchor="text" w:xAlign="left" w:yAlign="inline"/>
            </w:pPr>
            <w:r>
              <w:lastRenderedPageBreak/>
              <w:t>Nuclear Electric Power Production</w:t>
            </w:r>
          </w:p>
        </w:tc>
        <w:tc>
          <w:tcPr>
            <w:tcW w:w="2639" w:type="dxa"/>
          </w:tcPr>
          <w:p w14:paraId="75C51BB0" w14:textId="77777777" w:rsidR="006377FC" w:rsidRDefault="006377FC" w:rsidP="00B850F9">
            <w:pPr>
              <w:pStyle w:val="ListStyle"/>
              <w:framePr w:hSpace="0" w:wrap="auto" w:vAnchor="margin" w:hAnchor="text" w:xAlign="left" w:yAlign="inline"/>
            </w:pPr>
            <w:r>
              <w:t>Nuclear Electric Power Production</w:t>
            </w:r>
          </w:p>
        </w:tc>
        <w:tc>
          <w:tcPr>
            <w:tcW w:w="5280" w:type="dxa"/>
          </w:tcPr>
          <w:p w14:paraId="25C418AA" w14:textId="77777777" w:rsidR="006377FC" w:rsidRDefault="006377FC" w:rsidP="00B850F9">
            <w:pPr>
              <w:pStyle w:val="ListStyle"/>
              <w:framePr w:hSpace="0" w:wrap="auto" w:vAnchor="margin" w:hAnchor="text" w:xAlign="left" w:yAlign="inline"/>
            </w:pPr>
            <w:r>
              <w:t xml:space="preserve">Energy </w:t>
            </w:r>
            <w:r w:rsidRPr="00153C5A">
              <w:rPr>
                <w:noProof/>
              </w:rPr>
              <w:t>produced</w:t>
            </w:r>
            <w:r>
              <w:t xml:space="preserve"> by nuclear power plants using fissionable materials.</w:t>
            </w:r>
          </w:p>
        </w:tc>
      </w:tr>
      <w:tr w:rsidR="006377FC" w:rsidRPr="00DD08AB" w14:paraId="206C2C80" w14:textId="77777777" w:rsidTr="00D57A49">
        <w:trPr>
          <w:trHeight w:val="301"/>
        </w:trPr>
        <w:tc>
          <w:tcPr>
            <w:tcW w:w="2636" w:type="dxa"/>
          </w:tcPr>
          <w:p w14:paraId="7905ECCF" w14:textId="77777777" w:rsidR="006377FC" w:rsidRDefault="006377FC" w:rsidP="00B850F9">
            <w:pPr>
              <w:pStyle w:val="ListStyle"/>
              <w:framePr w:hSpace="0" w:wrap="auto" w:vAnchor="margin" w:hAnchor="text" w:xAlign="left" w:yAlign="inline"/>
            </w:pPr>
            <w:r>
              <w:t>Total Fossil Fuels Production</w:t>
            </w:r>
          </w:p>
        </w:tc>
        <w:tc>
          <w:tcPr>
            <w:tcW w:w="2639" w:type="dxa"/>
          </w:tcPr>
          <w:p w14:paraId="735AB483" w14:textId="77777777" w:rsidR="006377FC" w:rsidRDefault="006377FC" w:rsidP="00B850F9">
            <w:pPr>
              <w:pStyle w:val="ListStyle"/>
              <w:framePr w:hSpace="0" w:wrap="auto" w:vAnchor="margin" w:hAnchor="text" w:xAlign="left" w:yAlign="inline"/>
            </w:pPr>
            <w:r>
              <w:t>Summary</w:t>
            </w:r>
          </w:p>
        </w:tc>
        <w:tc>
          <w:tcPr>
            <w:tcW w:w="5280" w:type="dxa"/>
          </w:tcPr>
          <w:p w14:paraId="79CBF468" w14:textId="71401422" w:rsidR="006377FC" w:rsidRDefault="00D36DD5" w:rsidP="00B850F9">
            <w:pPr>
              <w:pStyle w:val="ListStyle"/>
              <w:framePr w:hSpace="0" w:wrap="auto" w:vAnchor="margin" w:hAnchor="text" w:xAlign="left" w:yAlign="inline"/>
            </w:pPr>
            <w:r>
              <w:rPr>
                <w:noProof/>
              </w:rPr>
              <w:t>The s</w:t>
            </w:r>
            <w:r w:rsidR="006377FC" w:rsidRPr="00D36DD5">
              <w:rPr>
                <w:noProof/>
              </w:rPr>
              <w:t>um</w:t>
            </w:r>
            <w:r w:rsidR="006377FC">
              <w:t xml:space="preserve"> of all values that are a component of fossil fuels.</w:t>
            </w:r>
          </w:p>
        </w:tc>
      </w:tr>
      <w:tr w:rsidR="006377FC" w:rsidRPr="00DD08AB" w14:paraId="5BBEAAF5" w14:textId="77777777" w:rsidTr="00D57A49">
        <w:trPr>
          <w:trHeight w:val="301"/>
        </w:trPr>
        <w:tc>
          <w:tcPr>
            <w:tcW w:w="2636" w:type="dxa"/>
          </w:tcPr>
          <w:p w14:paraId="70F3E192" w14:textId="77777777" w:rsidR="006377FC" w:rsidRDefault="006377FC" w:rsidP="00B850F9">
            <w:pPr>
              <w:pStyle w:val="ListStyle"/>
              <w:framePr w:hSpace="0" w:wrap="auto" w:vAnchor="margin" w:hAnchor="text" w:xAlign="left" w:yAlign="inline"/>
            </w:pPr>
            <w:r>
              <w:t>Total Primary Energy Production</w:t>
            </w:r>
          </w:p>
        </w:tc>
        <w:tc>
          <w:tcPr>
            <w:tcW w:w="2639" w:type="dxa"/>
          </w:tcPr>
          <w:p w14:paraId="57218B49" w14:textId="77777777" w:rsidR="006377FC" w:rsidRDefault="006377FC" w:rsidP="00B850F9">
            <w:pPr>
              <w:pStyle w:val="ListStyle"/>
              <w:framePr w:hSpace="0" w:wrap="auto" w:vAnchor="margin" w:hAnchor="text" w:xAlign="left" w:yAlign="inline"/>
            </w:pPr>
            <w:r>
              <w:t>Summary</w:t>
            </w:r>
          </w:p>
        </w:tc>
        <w:tc>
          <w:tcPr>
            <w:tcW w:w="5280" w:type="dxa"/>
          </w:tcPr>
          <w:p w14:paraId="3CE94311" w14:textId="77777777" w:rsidR="006377FC" w:rsidRDefault="006377FC" w:rsidP="00B850F9">
            <w:pPr>
              <w:pStyle w:val="ListStyle"/>
              <w:framePr w:hSpace="0" w:wrap="auto" w:vAnchor="margin" w:hAnchor="text" w:xAlign="left" w:yAlign="inline"/>
            </w:pPr>
            <w:r>
              <w:t>Sum of Total Fossil Fuels Production, Total Renewable Energy Productions, and Nuclear Electric Power Production</w:t>
            </w:r>
          </w:p>
        </w:tc>
      </w:tr>
      <w:tr w:rsidR="006377FC" w:rsidRPr="00DD08AB" w14:paraId="0A2E7B1D" w14:textId="77777777" w:rsidTr="00D57A49">
        <w:trPr>
          <w:trHeight w:val="301"/>
        </w:trPr>
        <w:tc>
          <w:tcPr>
            <w:tcW w:w="2636" w:type="dxa"/>
          </w:tcPr>
          <w:p w14:paraId="3CB1534B" w14:textId="77777777" w:rsidR="006377FC" w:rsidRDefault="006377FC" w:rsidP="00B850F9">
            <w:pPr>
              <w:pStyle w:val="ListStyle"/>
              <w:framePr w:hSpace="0" w:wrap="auto" w:vAnchor="margin" w:hAnchor="text" w:xAlign="left" w:yAlign="inline"/>
            </w:pPr>
            <w:r>
              <w:t>Total Renewable Energy Production</w:t>
            </w:r>
          </w:p>
        </w:tc>
        <w:tc>
          <w:tcPr>
            <w:tcW w:w="2639" w:type="dxa"/>
          </w:tcPr>
          <w:p w14:paraId="79D5395D" w14:textId="77777777" w:rsidR="006377FC" w:rsidRDefault="006377FC" w:rsidP="00B850F9">
            <w:pPr>
              <w:pStyle w:val="ListStyle"/>
              <w:framePr w:hSpace="0" w:wrap="auto" w:vAnchor="margin" w:hAnchor="text" w:xAlign="left" w:yAlign="inline"/>
            </w:pPr>
            <w:r>
              <w:t>Summary</w:t>
            </w:r>
          </w:p>
        </w:tc>
        <w:tc>
          <w:tcPr>
            <w:tcW w:w="5280" w:type="dxa"/>
          </w:tcPr>
          <w:p w14:paraId="04068BD1" w14:textId="3E977CBC" w:rsidR="006377FC" w:rsidRDefault="00D36DD5" w:rsidP="00B850F9">
            <w:pPr>
              <w:pStyle w:val="ListStyle"/>
              <w:framePr w:hSpace="0" w:wrap="auto" w:vAnchor="margin" w:hAnchor="text" w:xAlign="left" w:yAlign="inline"/>
            </w:pPr>
            <w:r>
              <w:rPr>
                <w:noProof/>
              </w:rPr>
              <w:t>The s</w:t>
            </w:r>
            <w:r w:rsidR="006377FC" w:rsidRPr="00D36DD5">
              <w:rPr>
                <w:noProof/>
              </w:rPr>
              <w:t>um</w:t>
            </w:r>
            <w:r w:rsidR="006377FC">
              <w:t xml:space="preserve"> of all values that are a component of renewable sources.</w:t>
            </w:r>
          </w:p>
        </w:tc>
      </w:tr>
      <w:tr w:rsidR="006377FC" w:rsidRPr="00DD08AB" w14:paraId="5A0B8608" w14:textId="77777777" w:rsidTr="00D57A49">
        <w:trPr>
          <w:trHeight w:val="301"/>
        </w:trPr>
        <w:tc>
          <w:tcPr>
            <w:tcW w:w="2636" w:type="dxa"/>
          </w:tcPr>
          <w:p w14:paraId="3435C521" w14:textId="77777777" w:rsidR="006377FC" w:rsidRDefault="006377FC" w:rsidP="00B850F9">
            <w:pPr>
              <w:pStyle w:val="ListStyle"/>
              <w:framePr w:hSpace="0" w:wrap="auto" w:vAnchor="margin" w:hAnchor="text" w:xAlign="left" w:yAlign="inline"/>
            </w:pPr>
            <w:r>
              <w:t>Wind Energy Production</w:t>
            </w:r>
          </w:p>
        </w:tc>
        <w:tc>
          <w:tcPr>
            <w:tcW w:w="2639" w:type="dxa"/>
          </w:tcPr>
          <w:p w14:paraId="0DD8424E" w14:textId="77777777" w:rsidR="006377FC" w:rsidRDefault="006377FC" w:rsidP="00B850F9">
            <w:pPr>
              <w:pStyle w:val="ListStyle"/>
              <w:framePr w:hSpace="0" w:wrap="auto" w:vAnchor="margin" w:hAnchor="text" w:xAlign="left" w:yAlign="inline"/>
            </w:pPr>
            <w:r>
              <w:t>Renewable</w:t>
            </w:r>
          </w:p>
        </w:tc>
        <w:tc>
          <w:tcPr>
            <w:tcW w:w="5280" w:type="dxa"/>
          </w:tcPr>
          <w:p w14:paraId="3C747078" w14:textId="77777777" w:rsidR="006377FC" w:rsidRDefault="006377FC" w:rsidP="00B850F9">
            <w:pPr>
              <w:pStyle w:val="ListStyle"/>
              <w:framePr w:hSpace="0" w:wrap="auto" w:vAnchor="margin" w:hAnchor="text" w:xAlign="left" w:yAlign="inline"/>
            </w:pPr>
            <w:r>
              <w:t>Energy produced by from geothermal resources.</w:t>
            </w:r>
          </w:p>
        </w:tc>
      </w:tr>
    </w:tbl>
    <w:p w14:paraId="6B800268" w14:textId="4EBFB3A0" w:rsidR="000D39F3" w:rsidRDefault="000D39F3" w:rsidP="000D39F3">
      <w:pPr>
        <w:pStyle w:val="Heading1"/>
      </w:pPr>
      <w:r w:rsidRPr="00D36DD5">
        <w:t>Visualizat</w:t>
      </w:r>
      <w:r w:rsidR="00D36DD5">
        <w:t>ion</w:t>
      </w:r>
      <w:r>
        <w:t xml:space="preserve"> and Descriptions</w:t>
      </w:r>
    </w:p>
    <w:p w14:paraId="10EC0537" w14:textId="466280BE" w:rsidR="000D39F3" w:rsidRDefault="000D39F3" w:rsidP="000D39F3">
      <w:pPr>
        <w:pStyle w:val="Heading2"/>
      </w:pPr>
      <w:r>
        <w:t>Background for Figures and Descriptions</w:t>
      </w:r>
    </w:p>
    <w:p w14:paraId="1F40699E" w14:textId="43DD01E3" w:rsidR="000D39F3" w:rsidRDefault="000D39F3" w:rsidP="000D39F3">
      <w:pPr>
        <w:pStyle w:val="MyBody"/>
        <w:rPr>
          <w:lang w:val="en-US"/>
        </w:rPr>
      </w:pPr>
      <w:r>
        <w:t>This report presents a series of data visualizations based on the raw datasets described above and subject to the transformations previously described.  This report uses</w:t>
      </w:r>
      <w:r w:rsidR="00D36DD5">
        <w:t xml:space="preserve"> the</w:t>
      </w:r>
      <w:r>
        <w:t xml:space="preserve"> </w:t>
      </w:r>
      <w:r w:rsidRPr="00D36DD5">
        <w:rPr>
          <w:noProof/>
        </w:rPr>
        <w:t>following</w:t>
      </w:r>
      <w:r>
        <w:t xml:space="preserve"> convention for </w:t>
      </w:r>
      <w:r w:rsidRPr="00D36DD5">
        <w:rPr>
          <w:noProof/>
          <w:lang w:val="en-US"/>
        </w:rPr>
        <w:t>presenting</w:t>
      </w:r>
      <w:r>
        <w:rPr>
          <w:lang w:val="en-US"/>
        </w:rPr>
        <w:t xml:space="preserve"> these visualizations:</w:t>
      </w:r>
    </w:p>
    <w:p w14:paraId="65CFE456" w14:textId="6F0B2C2F" w:rsidR="000D39F3" w:rsidRPr="000D39F3" w:rsidRDefault="000D39F3" w:rsidP="000D39F3">
      <w:pPr>
        <w:pStyle w:val="MyBody"/>
        <w:numPr>
          <w:ilvl w:val="0"/>
          <w:numId w:val="2"/>
        </w:numPr>
      </w:pPr>
      <w:r>
        <w:rPr>
          <w:lang w:val="en-US"/>
        </w:rPr>
        <w:t xml:space="preserve">The report assigns each visualization to its section </w:t>
      </w:r>
    </w:p>
    <w:p w14:paraId="198BEC62" w14:textId="05C3ECF7" w:rsidR="000D39F3" w:rsidRPr="000D39F3" w:rsidRDefault="000D39F3" w:rsidP="000D39F3">
      <w:pPr>
        <w:pStyle w:val="MyBody"/>
        <w:numPr>
          <w:ilvl w:val="0"/>
          <w:numId w:val="2"/>
        </w:numPr>
      </w:pPr>
      <w:r>
        <w:rPr>
          <w:lang w:val="en-US"/>
        </w:rPr>
        <w:t xml:space="preserve">Each </w:t>
      </w:r>
      <w:r w:rsidRPr="00D36DD5">
        <w:rPr>
          <w:noProof/>
          <w:lang w:val="en-US"/>
        </w:rPr>
        <w:t>section</w:t>
      </w:r>
      <w:r>
        <w:rPr>
          <w:lang w:val="en-US"/>
        </w:rPr>
        <w:t xml:space="preserve"> starts on a new page.</w:t>
      </w:r>
    </w:p>
    <w:p w14:paraId="4BF1DF73" w14:textId="73AE6EA2" w:rsidR="000D39F3" w:rsidRPr="000D39F3" w:rsidRDefault="000D39F3" w:rsidP="000D39F3">
      <w:pPr>
        <w:pStyle w:val="MyBody"/>
        <w:numPr>
          <w:ilvl w:val="0"/>
          <w:numId w:val="2"/>
        </w:numPr>
      </w:pPr>
      <w:r>
        <w:rPr>
          <w:lang w:val="en-US"/>
        </w:rPr>
        <w:t>The report visualization displays the figure at the start of the section</w:t>
      </w:r>
    </w:p>
    <w:p w14:paraId="718CDAAE" w14:textId="678A6A78" w:rsidR="000D39F3" w:rsidRPr="000D39F3" w:rsidRDefault="000D39F3" w:rsidP="000D39F3">
      <w:pPr>
        <w:pStyle w:val="MyBody"/>
        <w:numPr>
          <w:ilvl w:val="0"/>
          <w:numId w:val="2"/>
        </w:numPr>
      </w:pPr>
      <w:r>
        <w:rPr>
          <w:lang w:val="en-US"/>
        </w:rPr>
        <w:t>The first section of text describes the findings illustrated by the visualization.</w:t>
      </w:r>
    </w:p>
    <w:p w14:paraId="44237182" w14:textId="045D787A" w:rsidR="000D39F3" w:rsidRPr="000D39F3" w:rsidRDefault="000D39F3" w:rsidP="000D39F3">
      <w:pPr>
        <w:pStyle w:val="MyBody"/>
        <w:numPr>
          <w:ilvl w:val="0"/>
          <w:numId w:val="2"/>
        </w:numPr>
      </w:pPr>
      <w:r w:rsidRPr="00D36DD5">
        <w:rPr>
          <w:noProof/>
          <w:lang w:val="en-US"/>
        </w:rPr>
        <w:t xml:space="preserve">The next </w:t>
      </w:r>
      <w:r w:rsidR="00D36DD5">
        <w:rPr>
          <w:noProof/>
          <w:lang w:val="en-US"/>
        </w:rPr>
        <w:t>section describes the purpose</w:t>
      </w:r>
      <w:r w:rsidRPr="00D36DD5">
        <w:rPr>
          <w:noProof/>
          <w:lang w:val="en-US"/>
        </w:rPr>
        <w:t xml:space="preserve"> behind the</w:t>
      </w:r>
      <w:r>
        <w:rPr>
          <w:lang w:val="en-US"/>
        </w:rPr>
        <w:t xml:space="preserve"> selection of the visualization and the encodings considered when producing the visualization.</w:t>
      </w:r>
    </w:p>
    <w:p w14:paraId="0808FBEC" w14:textId="1FB5DE62" w:rsidR="000D39F3" w:rsidRDefault="000D39F3" w:rsidP="000D39F3">
      <w:pPr>
        <w:pStyle w:val="Heading2"/>
      </w:pPr>
      <w:r>
        <w:t>Correspondence between the Tableau Report [4] and The Energy Consumption Review</w:t>
      </w:r>
    </w:p>
    <w:p w14:paraId="5FBDABF7" w14:textId="7D2147EF" w:rsidR="000D39F3" w:rsidRDefault="000D39F3" w:rsidP="000D39F3">
      <w:pPr>
        <w:pStyle w:val="MyBody"/>
        <w:rPr>
          <w:lang w:val="en-US"/>
        </w:rPr>
      </w:pPr>
      <w:r>
        <w:rPr>
          <w:lang w:val="en-US"/>
        </w:rPr>
        <w:t xml:space="preserve">This data used in this report consists of time-series data.  </w:t>
      </w:r>
      <w:r w:rsidRPr="00D36DD5">
        <w:rPr>
          <w:noProof/>
          <w:lang w:val="en-US"/>
        </w:rPr>
        <w:t xml:space="preserve">Because the nature of the dataset is driven by time, the selection of graphics supports time-series analysis and </w:t>
      </w:r>
      <w:r w:rsidR="00E70752" w:rsidRPr="00D36DD5">
        <w:rPr>
          <w:noProof/>
          <w:lang w:val="en-US"/>
        </w:rPr>
        <w:t>explanation</w:t>
      </w:r>
      <w:r w:rsidRPr="00D36DD5">
        <w:rPr>
          <w:noProof/>
          <w:lang w:val="en-US"/>
        </w:rPr>
        <w:t>.</w:t>
      </w:r>
    </w:p>
    <w:p w14:paraId="14492606" w14:textId="4A3B4B1E" w:rsidR="000D39F3" w:rsidRDefault="000D39F3" w:rsidP="000D39F3">
      <w:pPr>
        <w:pStyle w:val="MyBody"/>
        <w:rPr>
          <w:lang w:val="en-US"/>
        </w:rPr>
      </w:pPr>
      <w:r>
        <w:rPr>
          <w:lang w:val="en-US"/>
        </w:rPr>
        <w:t xml:space="preserve">The Tableau Report contains visualizations not present in this document.  The Tableau Report contains all generated visuals and exists as a superset of the visualizations in this document.  </w:t>
      </w:r>
      <w:r w:rsidRPr="00D36DD5">
        <w:rPr>
          <w:noProof/>
          <w:lang w:val="en-US"/>
        </w:rPr>
        <w:t>This is</w:t>
      </w:r>
      <w:r>
        <w:rPr>
          <w:lang w:val="en-US"/>
        </w:rPr>
        <w:t xml:space="preserve"> intentional.  </w:t>
      </w:r>
    </w:p>
    <w:p w14:paraId="16590EC9" w14:textId="0FCA90A1" w:rsidR="000D39F3" w:rsidRDefault="000D39F3" w:rsidP="000D39F3">
      <w:pPr>
        <w:pStyle w:val="MyBody"/>
        <w:rPr>
          <w:lang w:val="en-US"/>
        </w:rPr>
      </w:pPr>
      <w:r>
        <w:rPr>
          <w:lang w:val="en-US"/>
        </w:rPr>
        <w:t>The Energy Consumption Review contains a selection of static visualizations developed from the exploratory visualizations created by the team.  Based on these observations, the team constructed this report.</w:t>
      </w:r>
    </w:p>
    <w:p w14:paraId="691B290F" w14:textId="25E82A6A" w:rsidR="000D39F3" w:rsidRDefault="000D39F3" w:rsidP="000D39F3">
      <w:pPr>
        <w:pStyle w:val="Heading2"/>
      </w:pPr>
      <w:r>
        <w:t>Visualizations Selected</w:t>
      </w:r>
    </w:p>
    <w:p w14:paraId="7B13FE87" w14:textId="6CC75EE9" w:rsidR="000D39F3" w:rsidRPr="000D39F3" w:rsidRDefault="000D39F3" w:rsidP="000D39F3">
      <w:pPr>
        <w:pStyle w:val="MyBody"/>
        <w:rPr>
          <w:rStyle w:val="Strong"/>
          <w:lang w:val="en-US"/>
        </w:rPr>
      </w:pPr>
      <w:r w:rsidRPr="001D0FF6">
        <w:rPr>
          <w:rStyle w:val="Strong"/>
        </w:rPr>
        <w:t xml:space="preserve">Table </w:t>
      </w:r>
      <w:r>
        <w:rPr>
          <w:rStyle w:val="Strong"/>
          <w:lang w:val="en-US"/>
        </w:rPr>
        <w:t>4</w:t>
      </w:r>
      <w:r w:rsidRPr="001D0FF6">
        <w:rPr>
          <w:rStyle w:val="Strong"/>
        </w:rPr>
        <w:t xml:space="preserve"> – </w:t>
      </w:r>
      <w:r>
        <w:rPr>
          <w:rStyle w:val="Strong"/>
          <w:lang w:val="en-US"/>
        </w:rPr>
        <w:t>Visualizations Selected for the Static Report</w:t>
      </w:r>
    </w:p>
    <w:tbl>
      <w:tblPr>
        <w:tblpPr w:leftFromText="180" w:rightFromText="180" w:vertAnchor="text" w:horzAnchor="margin" w:tblpXSpec="center" w:tblpY="21"/>
        <w:tblW w:w="105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36"/>
        <w:gridCol w:w="1771"/>
        <w:gridCol w:w="6148"/>
      </w:tblGrid>
      <w:tr w:rsidR="000D39F3" w:rsidRPr="001D0FF6" w14:paraId="1A8E2CB1" w14:textId="77777777" w:rsidTr="00D57A49">
        <w:trPr>
          <w:cantSplit/>
          <w:trHeight w:val="226"/>
          <w:tblHeader/>
        </w:trPr>
        <w:tc>
          <w:tcPr>
            <w:tcW w:w="2636" w:type="dxa"/>
            <w:vMerge w:val="restart"/>
            <w:vAlign w:val="center"/>
          </w:tcPr>
          <w:p w14:paraId="3B75B51C" w14:textId="383FEEDE" w:rsidR="000D39F3" w:rsidRPr="000D39F3" w:rsidRDefault="000D39F3" w:rsidP="00D57A49">
            <w:pPr>
              <w:pStyle w:val="MyBody"/>
              <w:rPr>
                <w:b/>
                <w:lang w:val="en-US"/>
              </w:rPr>
            </w:pPr>
            <w:r>
              <w:rPr>
                <w:b/>
                <w:lang w:val="en-US"/>
              </w:rPr>
              <w:t>Visualization</w:t>
            </w:r>
          </w:p>
        </w:tc>
        <w:tc>
          <w:tcPr>
            <w:tcW w:w="7919" w:type="dxa"/>
            <w:gridSpan w:val="2"/>
            <w:vAlign w:val="center"/>
          </w:tcPr>
          <w:p w14:paraId="2DB1D6E7" w14:textId="02177ED5" w:rsidR="000D39F3" w:rsidRPr="001D0FF6" w:rsidRDefault="000D39F3" w:rsidP="00D57A49">
            <w:pPr>
              <w:pStyle w:val="MyBody"/>
              <w:jc w:val="center"/>
              <w:rPr>
                <w:b/>
              </w:rPr>
            </w:pPr>
            <w:r w:rsidRPr="001D0FF6">
              <w:rPr>
                <w:b/>
              </w:rPr>
              <w:t>Description</w:t>
            </w:r>
          </w:p>
        </w:tc>
      </w:tr>
      <w:tr w:rsidR="000D39F3" w:rsidRPr="001D0FF6" w14:paraId="2D497482" w14:textId="77777777" w:rsidTr="000D39F3">
        <w:trPr>
          <w:cantSplit/>
          <w:trHeight w:val="226"/>
          <w:tblHeader/>
        </w:trPr>
        <w:tc>
          <w:tcPr>
            <w:tcW w:w="2636" w:type="dxa"/>
            <w:vMerge/>
          </w:tcPr>
          <w:p w14:paraId="5B5554CC" w14:textId="77777777" w:rsidR="000D39F3" w:rsidRPr="001D0FF6" w:rsidRDefault="000D39F3" w:rsidP="00D57A49">
            <w:pPr>
              <w:pStyle w:val="MyBody"/>
              <w:rPr>
                <w:b/>
              </w:rPr>
            </w:pPr>
          </w:p>
        </w:tc>
        <w:tc>
          <w:tcPr>
            <w:tcW w:w="1771" w:type="dxa"/>
            <w:vAlign w:val="center"/>
          </w:tcPr>
          <w:p w14:paraId="73A2EF6C" w14:textId="2C009539" w:rsidR="000D39F3" w:rsidRPr="000D39F3" w:rsidRDefault="000D39F3" w:rsidP="000D39F3">
            <w:pPr>
              <w:pStyle w:val="MyBody"/>
              <w:jc w:val="center"/>
              <w:rPr>
                <w:b/>
                <w:i/>
                <w:iCs/>
                <w:lang w:val="en-US"/>
              </w:rPr>
            </w:pPr>
            <w:r>
              <w:rPr>
                <w:b/>
                <w:i/>
                <w:iCs/>
                <w:lang w:val="en-US"/>
              </w:rPr>
              <w:t>Type</w:t>
            </w:r>
          </w:p>
        </w:tc>
        <w:tc>
          <w:tcPr>
            <w:tcW w:w="6148" w:type="dxa"/>
            <w:vAlign w:val="center"/>
          </w:tcPr>
          <w:p w14:paraId="4CC7EFDB" w14:textId="7244B5B5" w:rsidR="000D39F3" w:rsidRPr="000D39F3" w:rsidRDefault="000D39F3" w:rsidP="000D39F3">
            <w:pPr>
              <w:pStyle w:val="MyBody"/>
              <w:jc w:val="center"/>
              <w:rPr>
                <w:b/>
                <w:i/>
                <w:iCs/>
                <w:lang w:val="en-US"/>
              </w:rPr>
            </w:pPr>
            <w:r>
              <w:rPr>
                <w:b/>
                <w:i/>
                <w:iCs/>
                <w:lang w:val="en-US"/>
              </w:rPr>
              <w:t>Purpose</w:t>
            </w:r>
          </w:p>
        </w:tc>
      </w:tr>
      <w:tr w:rsidR="000D39F3" w:rsidRPr="00DD08AB" w14:paraId="50035D22" w14:textId="77777777" w:rsidTr="000D39F3">
        <w:trPr>
          <w:trHeight w:val="301"/>
        </w:trPr>
        <w:tc>
          <w:tcPr>
            <w:tcW w:w="2636" w:type="dxa"/>
          </w:tcPr>
          <w:p w14:paraId="760771CB" w14:textId="10BBAA96" w:rsidR="000D39F3" w:rsidRPr="000D39F3" w:rsidRDefault="000D39F3" w:rsidP="000D39F3">
            <w:pPr>
              <w:pStyle w:val="ListStyle"/>
              <w:framePr w:hSpace="0" w:wrap="auto" w:vAnchor="margin" w:hAnchor="text" w:xAlign="left" w:yAlign="inline"/>
            </w:pPr>
            <w:r>
              <w:t>Yearly Total Energy Consumption</w:t>
            </w:r>
          </w:p>
        </w:tc>
        <w:tc>
          <w:tcPr>
            <w:tcW w:w="1771" w:type="dxa"/>
          </w:tcPr>
          <w:p w14:paraId="16A57F65" w14:textId="66651944" w:rsidR="000D39F3" w:rsidRPr="000D39F3" w:rsidRDefault="000D39F3" w:rsidP="000D39F3">
            <w:pPr>
              <w:pStyle w:val="ListStyle"/>
              <w:framePr w:hSpace="0" w:wrap="auto" w:vAnchor="margin" w:hAnchor="text" w:xAlign="left" w:yAlign="inline"/>
              <w:jc w:val="center"/>
              <w:rPr>
                <w:lang w:val="en-US"/>
              </w:rPr>
            </w:pPr>
            <w:r w:rsidRPr="000D39F3">
              <w:t>Line</w:t>
            </w:r>
          </w:p>
        </w:tc>
        <w:tc>
          <w:tcPr>
            <w:tcW w:w="6148" w:type="dxa"/>
          </w:tcPr>
          <w:p w14:paraId="661508E6" w14:textId="6629C31A" w:rsidR="000D39F3" w:rsidRPr="000D39F3" w:rsidRDefault="000D39F3" w:rsidP="000D39F3">
            <w:pPr>
              <w:pStyle w:val="ListStyle"/>
              <w:framePr w:hSpace="0" w:wrap="auto" w:vAnchor="margin" w:hAnchor="text" w:xAlign="left" w:yAlign="inline"/>
              <w:rPr>
                <w:lang w:val="en-US"/>
              </w:rPr>
            </w:pPr>
            <w:r>
              <w:rPr>
                <w:lang w:val="en-US"/>
              </w:rPr>
              <w:t>Demonstrates the growth of total energy consumption with some marked declines.</w:t>
            </w:r>
          </w:p>
        </w:tc>
      </w:tr>
      <w:tr w:rsidR="000D39F3" w:rsidRPr="00DD08AB" w14:paraId="049EF7B8" w14:textId="77777777" w:rsidTr="000D39F3">
        <w:trPr>
          <w:trHeight w:val="301"/>
        </w:trPr>
        <w:tc>
          <w:tcPr>
            <w:tcW w:w="2636" w:type="dxa"/>
          </w:tcPr>
          <w:p w14:paraId="48036E4A" w14:textId="2DECABFA" w:rsidR="000D39F3" w:rsidRPr="000D39F3" w:rsidRDefault="000D39F3" w:rsidP="000D39F3">
            <w:pPr>
              <w:pStyle w:val="ListStyle"/>
              <w:framePr w:hSpace="0" w:wrap="auto" w:vAnchor="margin" w:hAnchor="text" w:xAlign="left" w:yAlign="inline"/>
              <w:rPr>
                <w:lang w:val="en-US"/>
              </w:rPr>
            </w:pPr>
            <w:r>
              <w:rPr>
                <w:lang w:val="en-US"/>
              </w:rPr>
              <w:t>Energy Consumption 1997-2015</w:t>
            </w:r>
          </w:p>
        </w:tc>
        <w:tc>
          <w:tcPr>
            <w:tcW w:w="1771" w:type="dxa"/>
          </w:tcPr>
          <w:p w14:paraId="46AAD9FC" w14:textId="2A567986" w:rsidR="000D39F3" w:rsidRPr="000D39F3" w:rsidRDefault="000D39F3" w:rsidP="000D39F3">
            <w:pPr>
              <w:pStyle w:val="ListStyle"/>
              <w:framePr w:hSpace="0" w:wrap="auto" w:vAnchor="margin" w:hAnchor="text" w:xAlign="left" w:yAlign="inline"/>
              <w:jc w:val="center"/>
              <w:rPr>
                <w:lang w:val="en-US"/>
              </w:rPr>
            </w:pPr>
            <w:r>
              <w:rPr>
                <w:lang w:val="en-US"/>
              </w:rPr>
              <w:t>Line</w:t>
            </w:r>
          </w:p>
        </w:tc>
        <w:tc>
          <w:tcPr>
            <w:tcW w:w="6148" w:type="dxa"/>
          </w:tcPr>
          <w:p w14:paraId="23796EDE" w14:textId="6EF7F0B2" w:rsidR="000D39F3" w:rsidRPr="000D39F3" w:rsidRDefault="004A13B7" w:rsidP="000D39F3">
            <w:pPr>
              <w:pStyle w:val="ListStyle"/>
              <w:framePr w:hSpace="0" w:wrap="auto" w:vAnchor="margin" w:hAnchor="text" w:xAlign="left" w:yAlign="inline"/>
              <w:rPr>
                <w:lang w:val="en-US"/>
              </w:rPr>
            </w:pPr>
            <w:r w:rsidRPr="004A13B7">
              <w:rPr>
                <w:noProof/>
                <w:lang w:val="en-US"/>
              </w:rPr>
              <w:t>T</w:t>
            </w:r>
            <w:r>
              <w:rPr>
                <w:noProof/>
                <w:lang w:val="en-US"/>
              </w:rPr>
              <w:t>his visualization d</w:t>
            </w:r>
            <w:r w:rsidR="000D39F3" w:rsidRPr="004A13B7">
              <w:rPr>
                <w:noProof/>
                <w:lang w:val="en-US"/>
              </w:rPr>
              <w:t xml:space="preserve">emonstrates </w:t>
            </w:r>
            <w:r w:rsidR="00D36DD5" w:rsidRPr="004A13B7">
              <w:rPr>
                <w:noProof/>
                <w:lang w:val="en-US"/>
              </w:rPr>
              <w:t xml:space="preserve">the </w:t>
            </w:r>
            <w:r w:rsidR="000D39F3" w:rsidRPr="004A13B7">
              <w:rPr>
                <w:noProof/>
                <w:lang w:val="en-US"/>
              </w:rPr>
              <w:t>leveling and decline</w:t>
            </w:r>
            <w:r w:rsidR="00D36DD5" w:rsidRPr="004A13B7">
              <w:rPr>
                <w:noProof/>
                <w:lang w:val="en-US"/>
              </w:rPr>
              <w:t xml:space="preserve"> in</w:t>
            </w:r>
            <w:r w:rsidR="000D39F3" w:rsidRPr="004A13B7">
              <w:rPr>
                <w:noProof/>
                <w:lang w:val="en-US"/>
              </w:rPr>
              <w:t xml:space="preserve"> energy consumption with annotated economic events.</w:t>
            </w:r>
          </w:p>
        </w:tc>
      </w:tr>
      <w:tr w:rsidR="000D39F3" w:rsidRPr="00DD08AB" w14:paraId="215FAAF5" w14:textId="77777777" w:rsidTr="000D39F3">
        <w:trPr>
          <w:trHeight w:val="301"/>
        </w:trPr>
        <w:tc>
          <w:tcPr>
            <w:tcW w:w="2636" w:type="dxa"/>
          </w:tcPr>
          <w:p w14:paraId="7E0CBA64" w14:textId="2BF22953" w:rsidR="000D39F3" w:rsidRDefault="000D39F3" w:rsidP="000D39F3">
            <w:pPr>
              <w:pStyle w:val="ListStyle"/>
              <w:framePr w:hSpace="0" w:wrap="auto" w:vAnchor="margin" w:hAnchor="text" w:xAlign="left" w:yAlign="inline"/>
              <w:rPr>
                <w:lang w:val="en-US"/>
              </w:rPr>
            </w:pPr>
            <w:r>
              <w:rPr>
                <w:lang w:val="en-US"/>
              </w:rPr>
              <w:t>Energy Consumption by Sector as a Percent of Total</w:t>
            </w:r>
          </w:p>
        </w:tc>
        <w:tc>
          <w:tcPr>
            <w:tcW w:w="1771" w:type="dxa"/>
          </w:tcPr>
          <w:p w14:paraId="49577FD8" w14:textId="1FADDF03" w:rsidR="000D39F3" w:rsidRDefault="000D39F3" w:rsidP="000D39F3">
            <w:pPr>
              <w:pStyle w:val="ListStyle"/>
              <w:framePr w:hSpace="0" w:wrap="auto" w:vAnchor="margin" w:hAnchor="text" w:xAlign="left" w:yAlign="inline"/>
              <w:jc w:val="center"/>
              <w:rPr>
                <w:lang w:val="en-US"/>
              </w:rPr>
            </w:pPr>
            <w:r>
              <w:rPr>
                <w:lang w:val="en-US"/>
              </w:rPr>
              <w:t>Area</w:t>
            </w:r>
          </w:p>
        </w:tc>
        <w:tc>
          <w:tcPr>
            <w:tcW w:w="6148" w:type="dxa"/>
          </w:tcPr>
          <w:p w14:paraId="3CD06280" w14:textId="1E807D88" w:rsidR="000D39F3" w:rsidRDefault="000D39F3" w:rsidP="000D39F3">
            <w:pPr>
              <w:pStyle w:val="ListStyle"/>
              <w:framePr w:hSpace="0" w:wrap="auto" w:vAnchor="margin" w:hAnchor="text" w:xAlign="left" w:yAlign="inline"/>
              <w:rPr>
                <w:lang w:val="en-US"/>
              </w:rPr>
            </w:pPr>
            <w:r w:rsidRPr="00D36DD5">
              <w:rPr>
                <w:noProof/>
                <w:lang w:val="en-US"/>
              </w:rPr>
              <w:t>Demonstrates</w:t>
            </w:r>
            <w:r>
              <w:rPr>
                <w:lang w:val="en-US"/>
              </w:rPr>
              <w:t xml:space="preserve"> the proportion of energy consumption by sectors.</w:t>
            </w:r>
          </w:p>
        </w:tc>
      </w:tr>
      <w:tr w:rsidR="000D39F3" w:rsidRPr="00DD08AB" w14:paraId="075A2023" w14:textId="77777777" w:rsidTr="000D39F3">
        <w:trPr>
          <w:trHeight w:val="301"/>
        </w:trPr>
        <w:tc>
          <w:tcPr>
            <w:tcW w:w="2636" w:type="dxa"/>
          </w:tcPr>
          <w:p w14:paraId="7635E2F0" w14:textId="74827262" w:rsidR="000D39F3" w:rsidRDefault="000D39F3" w:rsidP="000D39F3">
            <w:pPr>
              <w:pStyle w:val="ListStyle"/>
              <w:framePr w:hSpace="0" w:wrap="auto" w:vAnchor="margin" w:hAnchor="text" w:xAlign="left" w:yAlign="inline"/>
              <w:rPr>
                <w:lang w:val="en-US"/>
              </w:rPr>
            </w:pPr>
            <w:r>
              <w:rPr>
                <w:lang w:val="en-US"/>
              </w:rPr>
              <w:t>Yearly Total Energy Consumption by Month</w:t>
            </w:r>
          </w:p>
        </w:tc>
        <w:tc>
          <w:tcPr>
            <w:tcW w:w="1771" w:type="dxa"/>
          </w:tcPr>
          <w:p w14:paraId="0C500C00" w14:textId="2B7B60B5" w:rsidR="000D39F3" w:rsidRDefault="000D39F3" w:rsidP="000D39F3">
            <w:pPr>
              <w:pStyle w:val="ListStyle"/>
              <w:framePr w:hSpace="0" w:wrap="auto" w:vAnchor="margin" w:hAnchor="text" w:xAlign="left" w:yAlign="inline"/>
              <w:jc w:val="center"/>
              <w:rPr>
                <w:lang w:val="en-US"/>
              </w:rPr>
            </w:pPr>
            <w:r>
              <w:rPr>
                <w:lang w:val="en-US"/>
              </w:rPr>
              <w:t>Line</w:t>
            </w:r>
          </w:p>
        </w:tc>
        <w:tc>
          <w:tcPr>
            <w:tcW w:w="6148" w:type="dxa"/>
          </w:tcPr>
          <w:p w14:paraId="75E90462" w14:textId="2144F356" w:rsidR="000D39F3" w:rsidRDefault="000D39F3" w:rsidP="000D39F3">
            <w:pPr>
              <w:pStyle w:val="ListStyle"/>
              <w:framePr w:hSpace="0" w:wrap="auto" w:vAnchor="margin" w:hAnchor="text" w:xAlign="left" w:yAlign="inline"/>
              <w:rPr>
                <w:lang w:val="en-US"/>
              </w:rPr>
            </w:pPr>
            <w:r>
              <w:rPr>
                <w:lang w:val="en-US"/>
              </w:rPr>
              <w:t>Shows the annual seasonal impact on consumption for the two categories Residential and Commercial Usage.</w:t>
            </w:r>
          </w:p>
        </w:tc>
      </w:tr>
      <w:tr w:rsidR="000D39F3" w:rsidRPr="00DD08AB" w14:paraId="5E5787FD" w14:textId="77777777" w:rsidTr="000D39F3">
        <w:trPr>
          <w:trHeight w:val="301"/>
        </w:trPr>
        <w:tc>
          <w:tcPr>
            <w:tcW w:w="2636" w:type="dxa"/>
          </w:tcPr>
          <w:p w14:paraId="1D261E56" w14:textId="7CA96576" w:rsidR="000D39F3" w:rsidRDefault="000D39F3" w:rsidP="000D39F3">
            <w:pPr>
              <w:pStyle w:val="ListStyle"/>
              <w:framePr w:hSpace="0" w:wrap="auto" w:vAnchor="margin" w:hAnchor="text" w:xAlign="left" w:yAlign="inline"/>
              <w:rPr>
                <w:lang w:val="en-US"/>
              </w:rPr>
            </w:pPr>
            <w:r>
              <w:rPr>
                <w:lang w:val="en-US"/>
              </w:rPr>
              <w:t xml:space="preserve">Consumed </w:t>
            </w:r>
            <w:r w:rsidRPr="004A13B7">
              <w:rPr>
                <w:noProof/>
                <w:lang w:val="en-US"/>
              </w:rPr>
              <w:t>vs</w:t>
            </w:r>
            <w:r w:rsidR="004A13B7">
              <w:rPr>
                <w:noProof/>
                <w:lang w:val="en-US"/>
              </w:rPr>
              <w:t>.</w:t>
            </w:r>
            <w:r>
              <w:rPr>
                <w:lang w:val="en-US"/>
              </w:rPr>
              <w:t xml:space="preserve"> Produced Energy</w:t>
            </w:r>
          </w:p>
        </w:tc>
        <w:tc>
          <w:tcPr>
            <w:tcW w:w="1771" w:type="dxa"/>
          </w:tcPr>
          <w:p w14:paraId="5A6689FB" w14:textId="177E519E" w:rsidR="000D39F3" w:rsidRDefault="000D39F3" w:rsidP="000D39F3">
            <w:pPr>
              <w:pStyle w:val="ListStyle"/>
              <w:framePr w:hSpace="0" w:wrap="auto" w:vAnchor="margin" w:hAnchor="text" w:xAlign="left" w:yAlign="inline"/>
              <w:jc w:val="center"/>
              <w:rPr>
                <w:lang w:val="en-US"/>
              </w:rPr>
            </w:pPr>
            <w:r>
              <w:rPr>
                <w:lang w:val="en-US"/>
              </w:rPr>
              <w:t>Line</w:t>
            </w:r>
          </w:p>
        </w:tc>
        <w:tc>
          <w:tcPr>
            <w:tcW w:w="6148" w:type="dxa"/>
          </w:tcPr>
          <w:p w14:paraId="2AC839A0" w14:textId="3CCFDD93" w:rsidR="000D39F3" w:rsidRDefault="000D39F3" w:rsidP="000D39F3">
            <w:pPr>
              <w:pStyle w:val="ListStyle"/>
              <w:framePr w:hSpace="0" w:wrap="auto" w:vAnchor="margin" w:hAnchor="text" w:xAlign="left" w:yAlign="inline"/>
              <w:rPr>
                <w:lang w:val="en-US"/>
              </w:rPr>
            </w:pPr>
            <w:r>
              <w:rPr>
                <w:lang w:val="en-US"/>
              </w:rPr>
              <w:t>Compares the growth of consumed and produced energy, demonstrating core growth trends.</w:t>
            </w:r>
          </w:p>
        </w:tc>
      </w:tr>
      <w:tr w:rsidR="000D39F3" w:rsidRPr="00DD08AB" w14:paraId="1E020F38" w14:textId="77777777" w:rsidTr="000D39F3">
        <w:trPr>
          <w:trHeight w:val="301"/>
        </w:trPr>
        <w:tc>
          <w:tcPr>
            <w:tcW w:w="2636" w:type="dxa"/>
          </w:tcPr>
          <w:p w14:paraId="0F972DDA" w14:textId="33BA4A10" w:rsidR="000D39F3" w:rsidRDefault="000D39F3" w:rsidP="000D39F3">
            <w:pPr>
              <w:pStyle w:val="ListStyle"/>
              <w:framePr w:hSpace="0" w:wrap="auto" w:vAnchor="margin" w:hAnchor="text" w:xAlign="left" w:yAlign="inline"/>
              <w:rPr>
                <w:lang w:val="en-US"/>
              </w:rPr>
            </w:pPr>
            <w:r>
              <w:rPr>
                <w:lang w:val="en-US"/>
              </w:rPr>
              <w:t>Energy Production by Type</w:t>
            </w:r>
          </w:p>
        </w:tc>
        <w:tc>
          <w:tcPr>
            <w:tcW w:w="1771" w:type="dxa"/>
          </w:tcPr>
          <w:p w14:paraId="35C6B619" w14:textId="036EE05A" w:rsidR="000D39F3" w:rsidRDefault="000D39F3" w:rsidP="000D39F3">
            <w:pPr>
              <w:pStyle w:val="ListStyle"/>
              <w:framePr w:hSpace="0" w:wrap="auto" w:vAnchor="margin" w:hAnchor="text" w:xAlign="left" w:yAlign="inline"/>
              <w:jc w:val="center"/>
              <w:rPr>
                <w:lang w:val="en-US"/>
              </w:rPr>
            </w:pPr>
            <w:r>
              <w:rPr>
                <w:lang w:val="en-US"/>
              </w:rPr>
              <w:t>Line</w:t>
            </w:r>
          </w:p>
        </w:tc>
        <w:tc>
          <w:tcPr>
            <w:tcW w:w="6148" w:type="dxa"/>
          </w:tcPr>
          <w:p w14:paraId="2344B5E0" w14:textId="3C121390" w:rsidR="000D39F3" w:rsidRDefault="000D39F3" w:rsidP="000D39F3">
            <w:pPr>
              <w:pStyle w:val="ListStyle"/>
              <w:framePr w:hSpace="0" w:wrap="auto" w:vAnchor="margin" w:hAnchor="text" w:xAlign="left" w:yAlign="inline"/>
              <w:rPr>
                <w:lang w:val="en-US"/>
              </w:rPr>
            </w:pPr>
            <w:r>
              <w:rPr>
                <w:lang w:val="en-US"/>
              </w:rPr>
              <w:t>Shows a broad comparison of Nuclear, Renewable, and Fossil Fuel production over time.</w:t>
            </w:r>
          </w:p>
        </w:tc>
      </w:tr>
      <w:tr w:rsidR="000D39F3" w:rsidRPr="00DD08AB" w14:paraId="14ADB8E7" w14:textId="77777777" w:rsidTr="000D39F3">
        <w:trPr>
          <w:trHeight w:val="301"/>
        </w:trPr>
        <w:tc>
          <w:tcPr>
            <w:tcW w:w="2636" w:type="dxa"/>
          </w:tcPr>
          <w:p w14:paraId="7F1ADD62" w14:textId="09A2CADB" w:rsidR="000D39F3" w:rsidRDefault="000D39F3" w:rsidP="000D39F3">
            <w:pPr>
              <w:pStyle w:val="ListStyle"/>
              <w:framePr w:hSpace="0" w:wrap="auto" w:vAnchor="margin" w:hAnchor="text" w:xAlign="left" w:yAlign="inline"/>
              <w:rPr>
                <w:lang w:val="en-US"/>
              </w:rPr>
            </w:pPr>
            <w:r>
              <w:rPr>
                <w:lang w:val="en-US"/>
              </w:rPr>
              <w:t>Percent of Fossil Fuels Production by Type</w:t>
            </w:r>
          </w:p>
        </w:tc>
        <w:tc>
          <w:tcPr>
            <w:tcW w:w="1771" w:type="dxa"/>
          </w:tcPr>
          <w:p w14:paraId="44ABEED7" w14:textId="5F93EF52" w:rsidR="000D39F3" w:rsidRDefault="000D39F3" w:rsidP="000D39F3">
            <w:pPr>
              <w:pStyle w:val="ListStyle"/>
              <w:framePr w:hSpace="0" w:wrap="auto" w:vAnchor="margin" w:hAnchor="text" w:xAlign="left" w:yAlign="inline"/>
              <w:jc w:val="center"/>
              <w:rPr>
                <w:lang w:val="en-US"/>
              </w:rPr>
            </w:pPr>
            <w:r>
              <w:rPr>
                <w:lang w:val="en-US"/>
              </w:rPr>
              <w:t>Line</w:t>
            </w:r>
          </w:p>
        </w:tc>
        <w:tc>
          <w:tcPr>
            <w:tcW w:w="6148" w:type="dxa"/>
          </w:tcPr>
          <w:p w14:paraId="12F679DC" w14:textId="627EFBC6" w:rsidR="000D39F3" w:rsidRDefault="000D39F3" w:rsidP="000D39F3">
            <w:pPr>
              <w:pStyle w:val="ListStyle"/>
              <w:framePr w:hSpace="0" w:wrap="auto" w:vAnchor="margin" w:hAnchor="text" w:xAlign="left" w:yAlign="inline"/>
              <w:rPr>
                <w:lang w:val="en-US"/>
              </w:rPr>
            </w:pPr>
            <w:r w:rsidRPr="00D36DD5">
              <w:rPr>
                <w:noProof/>
                <w:lang w:val="en-US"/>
              </w:rPr>
              <w:t>Demonstrates the chances in the Fossil Fuel mix over time.</w:t>
            </w:r>
          </w:p>
        </w:tc>
      </w:tr>
      <w:tr w:rsidR="000D39F3" w:rsidRPr="00DD08AB" w14:paraId="4AB08485" w14:textId="77777777" w:rsidTr="000D39F3">
        <w:trPr>
          <w:trHeight w:val="301"/>
        </w:trPr>
        <w:tc>
          <w:tcPr>
            <w:tcW w:w="2636" w:type="dxa"/>
          </w:tcPr>
          <w:p w14:paraId="2F75D1A1" w14:textId="3492C437" w:rsidR="000D39F3" w:rsidRDefault="000D39F3" w:rsidP="000D39F3">
            <w:pPr>
              <w:pStyle w:val="ListStyle"/>
              <w:framePr w:hSpace="0" w:wrap="auto" w:vAnchor="margin" w:hAnchor="text" w:xAlign="left" w:yAlign="inline"/>
              <w:rPr>
                <w:lang w:val="en-US"/>
              </w:rPr>
            </w:pPr>
            <w:r>
              <w:rPr>
                <w:lang w:val="en-US"/>
              </w:rPr>
              <w:lastRenderedPageBreak/>
              <w:t>Average Monthly Production by Type (Trillion BTUs)</w:t>
            </w:r>
          </w:p>
        </w:tc>
        <w:tc>
          <w:tcPr>
            <w:tcW w:w="1771" w:type="dxa"/>
          </w:tcPr>
          <w:p w14:paraId="55F7D0EC" w14:textId="1755C09F" w:rsidR="000D39F3" w:rsidRDefault="000D39F3" w:rsidP="000D39F3">
            <w:pPr>
              <w:pStyle w:val="ListStyle"/>
              <w:framePr w:hSpace="0" w:wrap="auto" w:vAnchor="margin" w:hAnchor="text" w:xAlign="left" w:yAlign="inline"/>
              <w:jc w:val="center"/>
              <w:rPr>
                <w:lang w:val="en-US"/>
              </w:rPr>
            </w:pPr>
            <w:r>
              <w:rPr>
                <w:lang w:val="en-US"/>
              </w:rPr>
              <w:t>Circle</w:t>
            </w:r>
          </w:p>
        </w:tc>
        <w:tc>
          <w:tcPr>
            <w:tcW w:w="6148" w:type="dxa"/>
          </w:tcPr>
          <w:p w14:paraId="1F16D9DC" w14:textId="1DF0145F" w:rsidR="000D39F3" w:rsidRDefault="000D39F3" w:rsidP="000D39F3">
            <w:pPr>
              <w:pStyle w:val="ListStyle"/>
              <w:framePr w:hSpace="0" w:wrap="auto" w:vAnchor="margin" w:hAnchor="text" w:xAlign="left" w:yAlign="inline"/>
              <w:rPr>
                <w:lang w:val="en-US"/>
              </w:rPr>
            </w:pPr>
            <w:r>
              <w:rPr>
                <w:lang w:val="en-US"/>
              </w:rPr>
              <w:t xml:space="preserve">A quick comparison of the total power mix averaged </w:t>
            </w:r>
            <w:r w:rsidRPr="00D36DD5">
              <w:rPr>
                <w:noProof/>
                <w:lang w:val="en-US"/>
              </w:rPr>
              <w:t>over times</w:t>
            </w:r>
            <w:r>
              <w:rPr>
                <w:lang w:val="en-US"/>
              </w:rPr>
              <w:t>.</w:t>
            </w:r>
          </w:p>
        </w:tc>
      </w:tr>
    </w:tbl>
    <w:p w14:paraId="40C3DC64" w14:textId="5FAAB223" w:rsidR="000D39F3" w:rsidRPr="000D39F3" w:rsidRDefault="000D39F3" w:rsidP="000D39F3">
      <w:pPr>
        <w:pStyle w:val="Heading2"/>
      </w:pPr>
      <w:r>
        <w:t>Visualizations (Starts on Next Page)</w:t>
      </w:r>
    </w:p>
    <w:p w14:paraId="31112C47" w14:textId="3CA8B653" w:rsidR="00E70752" w:rsidRDefault="00E70752">
      <w:pPr>
        <w:rPr>
          <w:rFonts w:ascii="Times New Roman" w:eastAsia="SimSun" w:hAnsi="Times New Roman" w:cs="Times New Roman"/>
          <w:spacing w:val="-1"/>
          <w:sz w:val="20"/>
          <w:szCs w:val="20"/>
          <w:lang w:eastAsia="x-none"/>
        </w:rPr>
      </w:pPr>
      <w:r>
        <w:br w:type="page"/>
      </w:r>
    </w:p>
    <w:p w14:paraId="2F6761C6" w14:textId="25B90E76" w:rsidR="000D39F3" w:rsidRDefault="00E70752" w:rsidP="00E70752">
      <w:pPr>
        <w:pStyle w:val="Heading3"/>
      </w:pPr>
      <w:r>
        <w:lastRenderedPageBreak/>
        <w:t>Total Energy Consumption</w:t>
      </w:r>
    </w:p>
    <w:p w14:paraId="476C85C1" w14:textId="77777777" w:rsidR="00E70752" w:rsidRPr="00E70752" w:rsidRDefault="00E70752" w:rsidP="00E70752"/>
    <w:p w14:paraId="0B77C6E2" w14:textId="77777777" w:rsidR="00E70752" w:rsidRDefault="00E70752" w:rsidP="00E70752">
      <w:pPr>
        <w:keepNext/>
      </w:pPr>
      <w:r>
        <w:rPr>
          <w:noProof/>
        </w:rPr>
        <w:drawing>
          <wp:inline distT="0" distB="0" distL="0" distR="0" wp14:anchorId="5553B81C" wp14:editId="0A35D7AC">
            <wp:extent cx="5943600" cy="4735195"/>
            <wp:effectExtent l="19050" t="19050" r="19050" b="2730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943600" cy="4735195"/>
                    </a:xfrm>
                    <a:prstGeom prst="rect">
                      <a:avLst/>
                    </a:prstGeom>
                    <a:ln>
                      <a:solidFill>
                        <a:schemeClr val="tx1"/>
                      </a:solidFill>
                    </a:ln>
                  </pic:spPr>
                </pic:pic>
              </a:graphicData>
            </a:graphic>
          </wp:inline>
        </w:drawing>
      </w:r>
    </w:p>
    <w:p w14:paraId="0D1574CB" w14:textId="0BF880B4" w:rsidR="00E70752" w:rsidRDefault="00E70752" w:rsidP="00E70752">
      <w:pPr>
        <w:pStyle w:val="Caption"/>
      </w:pPr>
      <w:r>
        <w:t xml:space="preserve">Figure </w:t>
      </w:r>
      <w:fldSimple w:instr=" SEQ Figure \* ARABIC ">
        <w:r w:rsidR="00DB6A48">
          <w:rPr>
            <w:noProof/>
          </w:rPr>
          <w:t>1</w:t>
        </w:r>
      </w:fldSimple>
      <w:r>
        <w:t xml:space="preserve"> - Yearly Total Energy Consumption</w:t>
      </w:r>
    </w:p>
    <w:p w14:paraId="203D73F5" w14:textId="173C4A36" w:rsidR="00E70752" w:rsidRDefault="00E70752" w:rsidP="00E70752">
      <w:pPr>
        <w:pStyle w:val="Heading4"/>
      </w:pPr>
      <w:r>
        <w:t>Findings</w:t>
      </w:r>
    </w:p>
    <w:p w14:paraId="7EF7BDA6" w14:textId="2FB4B01F" w:rsidR="00E70752" w:rsidRDefault="00E70752" w:rsidP="00E70752">
      <w:pPr>
        <w:pStyle w:val="MyBody"/>
        <w:rPr>
          <w:lang w:val="en-US"/>
        </w:rPr>
      </w:pPr>
      <w:r>
        <w:t>F</w:t>
      </w:r>
      <w:r>
        <w:rPr>
          <w:lang w:val="en-US"/>
        </w:rPr>
        <w:t>ig. 1 displays a generalized growth for annual energy consumption.  However, marked declines start from highs in 1979 and 2001.  The reader can interpret this graph to show that power consumption grew consistently from 1983 through 2008-2009, where consumption slightly declined and leveled off.</w:t>
      </w:r>
    </w:p>
    <w:p w14:paraId="3477B91C" w14:textId="6ED282CB" w:rsidR="00E70752" w:rsidRDefault="00E70752" w:rsidP="00E70752">
      <w:pPr>
        <w:pStyle w:val="Heading4"/>
      </w:pPr>
      <w:r>
        <w:t xml:space="preserve">Intent of Graph </w:t>
      </w:r>
    </w:p>
    <w:p w14:paraId="18058379" w14:textId="210FE80C" w:rsidR="00E70752" w:rsidRDefault="00E70752" w:rsidP="00E70752">
      <w:pPr>
        <w:pStyle w:val="MyBody"/>
        <w:rPr>
          <w:lang w:val="en-US"/>
        </w:rPr>
      </w:pPr>
      <w:r>
        <w:rPr>
          <w:lang w:val="en-US"/>
        </w:rPr>
        <w:t xml:space="preserve">This visualization sets the starting point for the reader and lays the base assumption for the report.  Consumption of </w:t>
      </w:r>
      <w:r w:rsidRPr="00D36DD5">
        <w:rPr>
          <w:noProof/>
          <w:lang w:val="en-US"/>
        </w:rPr>
        <w:t>power</w:t>
      </w:r>
      <w:r>
        <w:rPr>
          <w:lang w:val="en-US"/>
        </w:rPr>
        <w:t xml:space="preserve"> and growth remains largely consistent with a couple of marked downturns in that growth.  Substantial declines in production started in 1979 and 2007.  The graph asks the reader to answer “why</w:t>
      </w:r>
      <w:r w:rsidR="00D36DD5">
        <w:rPr>
          <w:noProof/>
          <w:lang w:val="en-US"/>
        </w:rPr>
        <w:t>.”</w:t>
      </w:r>
    </w:p>
    <w:p w14:paraId="2ED27328" w14:textId="7C575B80" w:rsidR="00E70752" w:rsidRDefault="00E70752" w:rsidP="00E70752">
      <w:pPr>
        <w:pStyle w:val="Heading4"/>
      </w:pPr>
      <w:r>
        <w:t xml:space="preserve">Design Selections – </w:t>
      </w:r>
    </w:p>
    <w:p w14:paraId="24550ACC" w14:textId="00BF276A" w:rsidR="00E70752" w:rsidRDefault="00E70752" w:rsidP="00E70752">
      <w:pPr>
        <w:pStyle w:val="MyBody"/>
        <w:numPr>
          <w:ilvl w:val="0"/>
          <w:numId w:val="5"/>
        </w:numPr>
      </w:pPr>
      <w:r>
        <w:t xml:space="preserve">The line graph was selected because it provides </w:t>
      </w:r>
      <w:r>
        <w:rPr>
          <w:lang w:val="en-US"/>
        </w:rPr>
        <w:t>a</w:t>
      </w:r>
      <w:r>
        <w:t xml:space="preserve"> mechanism for showing continuous data over a time-series.</w:t>
      </w:r>
    </w:p>
    <w:p w14:paraId="679BD6BE" w14:textId="7B0FF23C" w:rsidR="00E70752" w:rsidRPr="00E70752" w:rsidRDefault="00E70752" w:rsidP="00E70752">
      <w:pPr>
        <w:pStyle w:val="MyBody"/>
        <w:numPr>
          <w:ilvl w:val="0"/>
          <w:numId w:val="5"/>
        </w:numPr>
      </w:pPr>
      <w:r>
        <w:t xml:space="preserve">The </w:t>
      </w:r>
      <w:r>
        <w:rPr>
          <w:lang w:val="en-US"/>
        </w:rPr>
        <w:t xml:space="preserve">blue color is used as the default for the line and the white background provide </w:t>
      </w:r>
      <w:r w:rsidRPr="00D36DD5">
        <w:rPr>
          <w:noProof/>
          <w:lang w:val="en-US"/>
        </w:rPr>
        <w:t>contrast</w:t>
      </w:r>
      <w:r>
        <w:rPr>
          <w:lang w:val="en-US"/>
        </w:rPr>
        <w:t xml:space="preserve"> and are not likely to confound a color-blind reader.</w:t>
      </w:r>
    </w:p>
    <w:p w14:paraId="4AAD755F" w14:textId="3E55F736" w:rsidR="00E70752" w:rsidRPr="00E70752" w:rsidRDefault="00E70752" w:rsidP="00E70752">
      <w:pPr>
        <w:pStyle w:val="MyBody"/>
        <w:numPr>
          <w:ilvl w:val="0"/>
          <w:numId w:val="5"/>
        </w:numPr>
      </w:pPr>
      <w:r>
        <w:rPr>
          <w:lang w:val="en-US"/>
        </w:rPr>
        <w:t xml:space="preserve">Unit information </w:t>
      </w:r>
      <w:r w:rsidRPr="00D36DD5">
        <w:rPr>
          <w:noProof/>
          <w:lang w:val="en-US"/>
        </w:rPr>
        <w:t>is provided</w:t>
      </w:r>
      <w:r>
        <w:rPr>
          <w:lang w:val="en-US"/>
        </w:rPr>
        <w:t xml:space="preserve"> as part of the Y-Axis label </w:t>
      </w:r>
      <w:r w:rsidRPr="00D36DD5">
        <w:rPr>
          <w:noProof/>
          <w:lang w:val="en-US"/>
        </w:rPr>
        <w:t>(proximity)</w:t>
      </w:r>
      <w:r w:rsidR="00D36DD5">
        <w:rPr>
          <w:noProof/>
          <w:lang w:val="en-US"/>
        </w:rPr>
        <w:t>,</w:t>
      </w:r>
      <w:r>
        <w:rPr>
          <w:lang w:val="en-US"/>
        </w:rPr>
        <w:t xml:space="preserve"> so it is clear as to its association with the Y-value.</w:t>
      </w:r>
    </w:p>
    <w:p w14:paraId="2F3986C8" w14:textId="434A6C56" w:rsidR="00E70752" w:rsidRPr="00E70752" w:rsidRDefault="00E70752" w:rsidP="00E70752">
      <w:pPr>
        <w:pStyle w:val="MyBody"/>
        <w:numPr>
          <w:ilvl w:val="0"/>
          <w:numId w:val="5"/>
        </w:numPr>
      </w:pPr>
      <w:r>
        <w:rPr>
          <w:lang w:val="en-US"/>
        </w:rPr>
        <w:lastRenderedPageBreak/>
        <w:t>The labels on the line provide clarity of the values without cluttering the screen with gridlines or prescribing the use of a different style of graph.</w:t>
      </w:r>
    </w:p>
    <w:p w14:paraId="192B02AD" w14:textId="73099F2A" w:rsidR="00E70752" w:rsidRDefault="00E70752">
      <w:pPr>
        <w:rPr>
          <w:rFonts w:ascii="Times New Roman" w:eastAsia="SimSun" w:hAnsi="Times New Roman" w:cs="Times New Roman"/>
          <w:spacing w:val="-1"/>
          <w:sz w:val="20"/>
          <w:szCs w:val="20"/>
          <w:lang w:eastAsia="x-none"/>
        </w:rPr>
      </w:pPr>
      <w:r>
        <w:br w:type="page"/>
      </w:r>
    </w:p>
    <w:p w14:paraId="532BF223" w14:textId="1B1E6E67" w:rsidR="00E70752" w:rsidRDefault="00E70752" w:rsidP="00E70752">
      <w:pPr>
        <w:pStyle w:val="Heading3"/>
      </w:pPr>
      <w:r>
        <w:lastRenderedPageBreak/>
        <w:t>Energy Consumption 1997-2015</w:t>
      </w:r>
    </w:p>
    <w:p w14:paraId="66185848" w14:textId="10CB7530" w:rsidR="00E70752" w:rsidRDefault="00E70752" w:rsidP="00E70752"/>
    <w:p w14:paraId="6F636223" w14:textId="301508A7" w:rsidR="00E70752" w:rsidRDefault="0030667E" w:rsidP="00E70752">
      <w:pPr>
        <w:keepNext/>
      </w:pPr>
      <w:r>
        <w:rPr>
          <w:noProof/>
        </w:rPr>
        <w:drawing>
          <wp:inline distT="0" distB="0" distL="0" distR="0" wp14:anchorId="31F9BBEC" wp14:editId="074064E8">
            <wp:extent cx="5943600" cy="4735195"/>
            <wp:effectExtent l="19050" t="19050" r="19050" b="27305"/>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5943600" cy="4735195"/>
                    </a:xfrm>
                    <a:prstGeom prst="rect">
                      <a:avLst/>
                    </a:prstGeom>
                    <a:ln>
                      <a:solidFill>
                        <a:schemeClr val="tx1"/>
                      </a:solidFill>
                    </a:ln>
                  </pic:spPr>
                </pic:pic>
              </a:graphicData>
            </a:graphic>
          </wp:inline>
        </w:drawing>
      </w:r>
    </w:p>
    <w:p w14:paraId="4EF79635" w14:textId="703DC303" w:rsidR="00E70752" w:rsidRDefault="00E70752" w:rsidP="00E70752">
      <w:pPr>
        <w:pStyle w:val="Caption"/>
      </w:pPr>
      <w:r>
        <w:t xml:space="preserve">Figure </w:t>
      </w:r>
      <w:fldSimple w:instr=" SEQ Figure \* ARABIC ">
        <w:r w:rsidR="00DB6A48">
          <w:rPr>
            <w:noProof/>
          </w:rPr>
          <w:t>2</w:t>
        </w:r>
      </w:fldSimple>
      <w:r>
        <w:t xml:space="preserve"> - Energy Consumption 1997-2015</w:t>
      </w:r>
    </w:p>
    <w:p w14:paraId="6FD5DA21" w14:textId="77777777" w:rsidR="00E70752" w:rsidRDefault="00E70752" w:rsidP="00E70752">
      <w:pPr>
        <w:pStyle w:val="Heading4"/>
      </w:pPr>
      <w:r>
        <w:t>Findings</w:t>
      </w:r>
    </w:p>
    <w:p w14:paraId="7A1E259C" w14:textId="79DF4D47" w:rsidR="00E70752" w:rsidRDefault="00E70752" w:rsidP="00E70752">
      <w:pPr>
        <w:pStyle w:val="MyBody"/>
        <w:rPr>
          <w:lang w:val="en-US"/>
        </w:rPr>
      </w:pPr>
      <w:r>
        <w:t>F</w:t>
      </w:r>
      <w:r>
        <w:rPr>
          <w:lang w:val="en-US"/>
        </w:rPr>
        <w:t>ig.</w:t>
      </w:r>
      <w:r>
        <w:rPr>
          <w:lang w:val="en-US"/>
        </w:rPr>
        <w:t xml:space="preserve"> 2</w:t>
      </w:r>
      <w:r>
        <w:rPr>
          <w:lang w:val="en-US"/>
        </w:rPr>
        <w:t xml:space="preserve"> </w:t>
      </w:r>
      <w:r>
        <w:rPr>
          <w:lang w:val="en-US"/>
        </w:rPr>
        <w:t>reduces the view of the</w:t>
      </w:r>
      <w:r>
        <w:rPr>
          <w:lang w:val="en-US"/>
        </w:rPr>
        <w:t xml:space="preserve"> generalized growth for annual energy consumption</w:t>
      </w:r>
      <w:r>
        <w:rPr>
          <w:lang w:val="en-US"/>
        </w:rPr>
        <w:t xml:space="preserve"> shown in the previous visualization in Fig. 1.</w:t>
      </w:r>
      <w:r>
        <w:rPr>
          <w:lang w:val="en-US"/>
        </w:rPr>
        <w:t xml:space="preserve">  </w:t>
      </w:r>
      <w:r>
        <w:rPr>
          <w:lang w:val="en-US"/>
        </w:rPr>
        <w:t>Overlaid events indicate</w:t>
      </w:r>
      <w:r w:rsidR="00D36DD5">
        <w:rPr>
          <w:lang w:val="en-US"/>
        </w:rPr>
        <w:t xml:space="preserve"> the</w:t>
      </w:r>
      <w:r>
        <w:rPr>
          <w:lang w:val="en-US"/>
        </w:rPr>
        <w:t xml:space="preserve"> </w:t>
      </w:r>
      <w:r w:rsidRPr="00D36DD5">
        <w:rPr>
          <w:noProof/>
          <w:lang w:val="en-US"/>
        </w:rPr>
        <w:t>timing</w:t>
      </w:r>
      <w:r>
        <w:rPr>
          <w:lang w:val="en-US"/>
        </w:rPr>
        <w:t xml:space="preserve"> of the “Great Recession” for the United States</w:t>
      </w:r>
      <w:r>
        <w:rPr>
          <w:lang w:val="en-US"/>
        </w:rPr>
        <w:t>.</w:t>
      </w:r>
    </w:p>
    <w:p w14:paraId="7195DB2A" w14:textId="77777777" w:rsidR="00E70752" w:rsidRDefault="00E70752" w:rsidP="00E70752">
      <w:pPr>
        <w:pStyle w:val="Heading4"/>
      </w:pPr>
      <w:r>
        <w:t xml:space="preserve">Intent of Graph </w:t>
      </w:r>
    </w:p>
    <w:p w14:paraId="0FE7DF35" w14:textId="1844FEA9" w:rsidR="00E70752" w:rsidRDefault="00E70752" w:rsidP="00E70752">
      <w:pPr>
        <w:pStyle w:val="MyBody"/>
        <w:rPr>
          <w:lang w:val="en-US"/>
        </w:rPr>
      </w:pPr>
      <w:r>
        <w:rPr>
          <w:lang w:val="en-US"/>
        </w:rPr>
        <w:t xml:space="preserve">This visualization draws the user to the time series displayed before in the previous visualization and </w:t>
      </w:r>
      <w:r w:rsidRPr="00D36DD5">
        <w:rPr>
          <w:noProof/>
          <w:lang w:val="en-US"/>
        </w:rPr>
        <w:t>extend</w:t>
      </w:r>
      <w:r w:rsidR="00D36DD5">
        <w:rPr>
          <w:noProof/>
          <w:lang w:val="en-US"/>
        </w:rPr>
        <w:t>ed</w:t>
      </w:r>
      <w:r>
        <w:rPr>
          <w:lang w:val="en-US"/>
        </w:rPr>
        <w:t xml:space="preserve"> the narrative that something significant triggered these declines.  The design selections lend continuity to the story, “Something happened” with “This could be what happened</w:t>
      </w:r>
      <w:r w:rsidR="00153C5A">
        <w:rPr>
          <w:noProof/>
          <w:lang w:val="en-US"/>
        </w:rPr>
        <w:t>,”</w:t>
      </w:r>
      <w:r>
        <w:rPr>
          <w:lang w:val="en-US"/>
        </w:rPr>
        <w:t xml:space="preserve"> later visualization that </w:t>
      </w:r>
      <w:r w:rsidRPr="00D36DD5">
        <w:rPr>
          <w:noProof/>
          <w:lang w:val="en-US"/>
        </w:rPr>
        <w:t>reinforce</w:t>
      </w:r>
      <w:r w:rsidR="00D36DD5">
        <w:rPr>
          <w:noProof/>
          <w:lang w:val="en-US"/>
        </w:rPr>
        <w:t>s</w:t>
      </w:r>
      <w:r>
        <w:rPr>
          <w:lang w:val="en-US"/>
        </w:rPr>
        <w:t xml:space="preserve"> the message.</w:t>
      </w:r>
    </w:p>
    <w:p w14:paraId="00A6E024" w14:textId="2AA02FB4" w:rsidR="00E70752" w:rsidRDefault="00E70752" w:rsidP="00E70752">
      <w:pPr>
        <w:pStyle w:val="Heading4"/>
      </w:pPr>
      <w:r>
        <w:t xml:space="preserve">Design Selections – </w:t>
      </w:r>
    </w:p>
    <w:p w14:paraId="5E52D572" w14:textId="422EDEA7" w:rsidR="00E70752" w:rsidRPr="00E70752" w:rsidRDefault="00E70752" w:rsidP="00E70752">
      <w:pPr>
        <w:pStyle w:val="MyBody"/>
        <w:rPr>
          <w:lang w:val="en-US"/>
        </w:rPr>
      </w:pPr>
      <w:r>
        <w:rPr>
          <w:lang w:val="en-US"/>
        </w:rPr>
        <w:t xml:space="preserve">As this visualization extends from the </w:t>
      </w:r>
      <w:r w:rsidRPr="00D36DD5">
        <w:rPr>
          <w:noProof/>
          <w:lang w:val="en-US"/>
        </w:rPr>
        <w:t>original</w:t>
      </w:r>
      <w:r>
        <w:rPr>
          <w:lang w:val="en-US"/>
        </w:rPr>
        <w:t xml:space="preserve"> visualization in Fig 1., the design decision remains the same, with the addition of annotation.  </w:t>
      </w:r>
    </w:p>
    <w:p w14:paraId="7FF8E816" w14:textId="23DA622E" w:rsidR="00E70752" w:rsidRPr="00E70752" w:rsidRDefault="00E70752" w:rsidP="00E70752">
      <w:pPr>
        <w:pStyle w:val="MyBody"/>
        <w:numPr>
          <w:ilvl w:val="0"/>
          <w:numId w:val="5"/>
        </w:numPr>
      </w:pPr>
      <w:r>
        <w:rPr>
          <w:lang w:val="en-US"/>
        </w:rPr>
        <w:t xml:space="preserve">Annotation of events provides a visual description of the </w:t>
      </w:r>
      <w:r w:rsidR="00153C5A">
        <w:rPr>
          <w:noProof/>
          <w:lang w:val="en-US"/>
        </w:rPr>
        <w:t>gener</w:t>
      </w:r>
      <w:r w:rsidRPr="00153C5A">
        <w:rPr>
          <w:noProof/>
          <w:lang w:val="en-US"/>
        </w:rPr>
        <w:t>al</w:t>
      </w:r>
      <w:r>
        <w:rPr>
          <w:lang w:val="en-US"/>
        </w:rPr>
        <w:t xml:space="preserve"> </w:t>
      </w:r>
      <w:r w:rsidRPr="00D36DD5">
        <w:rPr>
          <w:noProof/>
          <w:lang w:val="en-US"/>
        </w:rPr>
        <w:t>caus</w:t>
      </w:r>
      <w:r w:rsidR="00D36DD5" w:rsidRPr="00D36DD5">
        <w:rPr>
          <w:noProof/>
          <w:lang w:val="en-US"/>
        </w:rPr>
        <w:t>es</w:t>
      </w:r>
      <w:r w:rsidR="004A13B7" w:rsidRPr="00D36DD5">
        <w:rPr>
          <w:noProof/>
          <w:vanish/>
          <w:sz w:val="16"/>
          <w:szCs w:val="16"/>
          <w:lang w:val="en-US"/>
        </w:rPr>
        <w:t>f</w:t>
      </w:r>
      <w:r w:rsidR="00D36DD5">
        <w:rPr>
          <w:lang w:val="en-US"/>
        </w:rPr>
        <w:t xml:space="preserve"> of</w:t>
      </w:r>
      <w:r>
        <w:rPr>
          <w:lang w:val="en-US"/>
        </w:rPr>
        <w:t xml:space="preserve"> reduced power consumption.  Because this balances against ample white space, it draws the eye to the message.  </w:t>
      </w:r>
      <w:r w:rsidRPr="00153C5A">
        <w:rPr>
          <w:noProof/>
          <w:lang w:val="en-US"/>
        </w:rPr>
        <w:t xml:space="preserve">This </w:t>
      </w:r>
      <w:r w:rsidR="00153C5A">
        <w:rPr>
          <w:noProof/>
          <w:lang w:val="en-US"/>
        </w:rPr>
        <w:t xml:space="preserve">element </w:t>
      </w:r>
      <w:r w:rsidRPr="00153C5A">
        <w:rPr>
          <w:noProof/>
          <w:lang w:val="en-US"/>
        </w:rPr>
        <w:t>serves</w:t>
      </w:r>
      <w:r>
        <w:rPr>
          <w:lang w:val="en-US"/>
        </w:rPr>
        <w:t xml:space="preserve"> as a replacement for aural information as an annotation.</w:t>
      </w:r>
    </w:p>
    <w:p w14:paraId="5F1FCD92" w14:textId="4A2FC49F" w:rsidR="00E70752" w:rsidRDefault="00E70752" w:rsidP="00E70752">
      <w:pPr>
        <w:pStyle w:val="MyBody"/>
        <w:numPr>
          <w:ilvl w:val="0"/>
          <w:numId w:val="5"/>
        </w:numPr>
      </w:pPr>
      <w:r>
        <w:rPr>
          <w:lang w:val="en-US"/>
        </w:rPr>
        <w:t>Lines from the annotation to the timed event value (not the year) associate and connect the data point with the event.</w:t>
      </w:r>
    </w:p>
    <w:p w14:paraId="16490B6C" w14:textId="5A9CA332" w:rsidR="00E70752" w:rsidRDefault="00E70752" w:rsidP="00E70752">
      <w:pPr>
        <w:pStyle w:val="MyBody"/>
        <w:numPr>
          <w:ilvl w:val="0"/>
          <w:numId w:val="5"/>
        </w:numPr>
      </w:pPr>
      <w:r>
        <w:rPr>
          <w:lang w:val="en-US"/>
        </w:rPr>
        <w:lastRenderedPageBreak/>
        <w:t>The following design selections carry over from the previous figure (Fig. 1).</w:t>
      </w:r>
    </w:p>
    <w:p w14:paraId="1CF177E2" w14:textId="4977DC3E" w:rsidR="00E70752" w:rsidRDefault="00E70752" w:rsidP="00E70752">
      <w:pPr>
        <w:pStyle w:val="MyBody"/>
        <w:numPr>
          <w:ilvl w:val="1"/>
          <w:numId w:val="5"/>
        </w:numPr>
      </w:pPr>
      <w:r>
        <w:t xml:space="preserve">The line graph was selected because it provides </w:t>
      </w:r>
      <w:r>
        <w:rPr>
          <w:lang w:val="en-US"/>
        </w:rPr>
        <w:t>a</w:t>
      </w:r>
      <w:r>
        <w:t xml:space="preserve"> mechanism for showing continuous data over a time-series.</w:t>
      </w:r>
    </w:p>
    <w:p w14:paraId="7690D26B" w14:textId="7126929B" w:rsidR="00E70752" w:rsidRPr="00E70752" w:rsidRDefault="00E70752" w:rsidP="00E70752">
      <w:pPr>
        <w:pStyle w:val="MyBody"/>
        <w:numPr>
          <w:ilvl w:val="1"/>
          <w:numId w:val="5"/>
        </w:numPr>
      </w:pPr>
      <w:r>
        <w:t xml:space="preserve">The </w:t>
      </w:r>
      <w:r>
        <w:rPr>
          <w:lang w:val="en-US"/>
        </w:rPr>
        <w:t xml:space="preserve">blue color is used as the default for the line and the white background provide </w:t>
      </w:r>
      <w:r w:rsidRPr="00153C5A">
        <w:rPr>
          <w:noProof/>
          <w:lang w:val="en-US"/>
        </w:rPr>
        <w:t>contrast</w:t>
      </w:r>
      <w:r>
        <w:rPr>
          <w:lang w:val="en-US"/>
        </w:rPr>
        <w:t xml:space="preserve"> and are not likely to confound a color-blind reader.</w:t>
      </w:r>
    </w:p>
    <w:p w14:paraId="2CE55CDA" w14:textId="0F790A36" w:rsidR="00E70752" w:rsidRPr="00E70752" w:rsidRDefault="00E70752" w:rsidP="00E70752">
      <w:pPr>
        <w:pStyle w:val="MyBody"/>
        <w:numPr>
          <w:ilvl w:val="1"/>
          <w:numId w:val="5"/>
        </w:numPr>
      </w:pPr>
      <w:r>
        <w:rPr>
          <w:lang w:val="en-US"/>
        </w:rPr>
        <w:t xml:space="preserve">Unit information </w:t>
      </w:r>
      <w:r w:rsidRPr="00153C5A">
        <w:rPr>
          <w:noProof/>
          <w:lang w:val="en-US"/>
        </w:rPr>
        <w:t>is provided</w:t>
      </w:r>
      <w:r>
        <w:rPr>
          <w:lang w:val="en-US"/>
        </w:rPr>
        <w:t xml:space="preserve"> as part of the Y-Axis label </w:t>
      </w:r>
      <w:r w:rsidRPr="00153C5A">
        <w:rPr>
          <w:noProof/>
          <w:lang w:val="en-US"/>
        </w:rPr>
        <w:t>(proximity)</w:t>
      </w:r>
      <w:r w:rsidR="00153C5A">
        <w:rPr>
          <w:noProof/>
          <w:lang w:val="en-US"/>
        </w:rPr>
        <w:t>,</w:t>
      </w:r>
      <w:r>
        <w:rPr>
          <w:lang w:val="en-US"/>
        </w:rPr>
        <w:t xml:space="preserve"> so it is clear as to its association with the Y-value.</w:t>
      </w:r>
    </w:p>
    <w:p w14:paraId="7627F0BB" w14:textId="00A022AC" w:rsidR="00E70752" w:rsidRDefault="00E70752" w:rsidP="00E70752">
      <w:pPr>
        <w:pStyle w:val="MyBody"/>
        <w:numPr>
          <w:ilvl w:val="1"/>
          <w:numId w:val="5"/>
        </w:numPr>
        <w:rPr>
          <w:lang w:val="en-US"/>
        </w:rPr>
      </w:pPr>
      <w:r>
        <w:rPr>
          <w:lang w:val="en-US"/>
        </w:rPr>
        <w:t>The labels on the line provide clarity of the values without cluttering the screen with gridlines or prescribing the use of a different style of graph.</w:t>
      </w:r>
    </w:p>
    <w:p w14:paraId="1A5ED2D7" w14:textId="77777777" w:rsidR="00E70752" w:rsidRDefault="00E70752">
      <w:pPr>
        <w:rPr>
          <w:rFonts w:ascii="Times New Roman" w:eastAsia="SimSun" w:hAnsi="Times New Roman" w:cs="Times New Roman"/>
          <w:spacing w:val="-1"/>
          <w:sz w:val="20"/>
          <w:szCs w:val="20"/>
          <w:lang w:eastAsia="x-none"/>
        </w:rPr>
      </w:pPr>
      <w:r>
        <w:br w:type="page"/>
      </w:r>
    </w:p>
    <w:p w14:paraId="038E2EA5" w14:textId="10A3AA6E" w:rsidR="00E70752" w:rsidRDefault="00E70752" w:rsidP="00E70752">
      <w:pPr>
        <w:pStyle w:val="Heading3"/>
      </w:pPr>
      <w:r>
        <w:lastRenderedPageBreak/>
        <w:t>Energy Consumption by Sector as a Percentage of Total</w:t>
      </w:r>
    </w:p>
    <w:p w14:paraId="71CDEDD6" w14:textId="77777777" w:rsidR="00E70752" w:rsidRPr="00E70752" w:rsidRDefault="00E70752" w:rsidP="00E70752"/>
    <w:p w14:paraId="1D929AD3" w14:textId="77777777" w:rsidR="00E70752" w:rsidRDefault="00E70752" w:rsidP="00E70752">
      <w:pPr>
        <w:keepNext/>
      </w:pPr>
      <w:r>
        <w:rPr>
          <w:noProof/>
        </w:rPr>
        <w:drawing>
          <wp:inline distT="0" distB="0" distL="0" distR="0" wp14:anchorId="4A06AC28" wp14:editId="32FE4CCF">
            <wp:extent cx="5943600" cy="4735195"/>
            <wp:effectExtent l="19050" t="19050" r="19050" b="2730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5943600" cy="4735195"/>
                    </a:xfrm>
                    <a:prstGeom prst="rect">
                      <a:avLst/>
                    </a:prstGeom>
                    <a:ln>
                      <a:solidFill>
                        <a:schemeClr val="tx1"/>
                      </a:solidFill>
                    </a:ln>
                  </pic:spPr>
                </pic:pic>
              </a:graphicData>
            </a:graphic>
          </wp:inline>
        </w:drawing>
      </w:r>
    </w:p>
    <w:p w14:paraId="7551FACF" w14:textId="0A670EE5" w:rsidR="00E70752" w:rsidRDefault="00E70752" w:rsidP="00E70752">
      <w:pPr>
        <w:pStyle w:val="Caption"/>
      </w:pPr>
      <w:r>
        <w:t xml:space="preserve">Figure </w:t>
      </w:r>
      <w:fldSimple w:instr=" SEQ Figure \* ARABIC ">
        <w:r w:rsidR="00DB6A48">
          <w:rPr>
            <w:noProof/>
          </w:rPr>
          <w:t>3</w:t>
        </w:r>
      </w:fldSimple>
      <w:r>
        <w:t xml:space="preserve"> - Energy Consumption by Sector as a Percentage of Total</w:t>
      </w:r>
    </w:p>
    <w:p w14:paraId="7FEA865B" w14:textId="77777777" w:rsidR="00E70752" w:rsidRDefault="00E70752" w:rsidP="00E70752">
      <w:pPr>
        <w:pStyle w:val="Heading4"/>
      </w:pPr>
      <w:r>
        <w:t>Findings</w:t>
      </w:r>
    </w:p>
    <w:p w14:paraId="62198B08" w14:textId="7D2AE57A" w:rsidR="00E70752" w:rsidRDefault="00E70752" w:rsidP="00E70752">
      <w:pPr>
        <w:pStyle w:val="MyBody"/>
        <w:rPr>
          <w:lang w:val="en-US"/>
        </w:rPr>
      </w:pPr>
      <w:r>
        <w:t>F</w:t>
      </w:r>
      <w:r>
        <w:rPr>
          <w:lang w:val="en-US"/>
        </w:rPr>
        <w:t xml:space="preserve">ig. </w:t>
      </w:r>
      <w:r>
        <w:rPr>
          <w:lang w:val="en-US"/>
        </w:rPr>
        <w:t>3</w:t>
      </w:r>
      <w:r>
        <w:rPr>
          <w:lang w:val="en-US"/>
        </w:rPr>
        <w:t xml:space="preserve"> </w:t>
      </w:r>
      <w:r>
        <w:rPr>
          <w:lang w:val="en-US"/>
        </w:rPr>
        <w:t xml:space="preserve">provides a striking view of consumption trends in two key consumption sectors:  Power Generation and Industrial Consumption.  Industrial consumption declined over the time series.  </w:t>
      </w:r>
    </w:p>
    <w:p w14:paraId="6331499E" w14:textId="7587FF13" w:rsidR="00E70752" w:rsidRDefault="00E70752" w:rsidP="00E70752">
      <w:pPr>
        <w:pStyle w:val="MyBody"/>
        <w:rPr>
          <w:lang w:val="en-US"/>
        </w:rPr>
      </w:pPr>
      <w:r>
        <w:rPr>
          <w:lang w:val="en-US"/>
        </w:rPr>
        <w:t xml:space="preserve">One should not assume that this is simply a result </w:t>
      </w:r>
      <w:r w:rsidR="00D36DD5">
        <w:rPr>
          <w:noProof/>
          <w:lang w:val="en-US"/>
        </w:rPr>
        <w:t>of</w:t>
      </w:r>
      <w:r>
        <w:rPr>
          <w:lang w:val="en-US"/>
        </w:rPr>
        <w:t xml:space="preserve"> declining industrial economic activity.  It requires further investigation to analyze the impact of technological improvements in the manufacturing process, improved technologies for managing peak demand, and conversion from traditional high-power industries (i.e., steel refineries) to lower power consumers (such as IC chip manufacturing).</w:t>
      </w:r>
    </w:p>
    <w:p w14:paraId="74E21646" w14:textId="77777777" w:rsidR="00E70752" w:rsidRDefault="00E70752" w:rsidP="00E70752">
      <w:pPr>
        <w:pStyle w:val="Heading4"/>
      </w:pPr>
      <w:r>
        <w:t xml:space="preserve">Intent of Graph </w:t>
      </w:r>
    </w:p>
    <w:p w14:paraId="207D8081" w14:textId="6E16BA2A" w:rsidR="00E70752" w:rsidRDefault="00E70752" w:rsidP="00E70752">
      <w:pPr>
        <w:pStyle w:val="MyBody"/>
        <w:rPr>
          <w:lang w:val="en-US"/>
        </w:rPr>
      </w:pPr>
      <w:r>
        <w:rPr>
          <w:lang w:val="en-US"/>
        </w:rPr>
        <w:t xml:space="preserve">This </w:t>
      </w:r>
      <w:r w:rsidRPr="00D36DD5">
        <w:rPr>
          <w:noProof/>
          <w:lang w:val="en-US"/>
        </w:rPr>
        <w:t>graph</w:t>
      </w:r>
      <w:r>
        <w:rPr>
          <w:lang w:val="en-US"/>
        </w:rPr>
        <w:t xml:space="preserve"> now shows a relationship in declining </w:t>
      </w:r>
      <w:r w:rsidRPr="00D36DD5">
        <w:rPr>
          <w:noProof/>
          <w:lang w:val="en-US"/>
        </w:rPr>
        <w:t>power</w:t>
      </w:r>
      <w:r>
        <w:rPr>
          <w:lang w:val="en-US"/>
        </w:rPr>
        <w:t xml:space="preserve"> consumption and decli</w:t>
      </w:r>
      <w:r w:rsidR="00153C5A">
        <w:rPr>
          <w:lang w:val="en-US"/>
        </w:rPr>
        <w:t>ning</w:t>
      </w:r>
      <w:r>
        <w:rPr>
          <w:lang w:val="en-US"/>
        </w:rPr>
        <w:t xml:space="preserve"> demand in the Industrial Sector.  It graphically indicates that other sectors remain largely consistent over time, regardless of the degree of reduction in consumption.</w:t>
      </w:r>
    </w:p>
    <w:p w14:paraId="09B79F1F" w14:textId="77777777" w:rsidR="00E70752" w:rsidRDefault="00E70752" w:rsidP="00E70752">
      <w:pPr>
        <w:pStyle w:val="Heading4"/>
      </w:pPr>
      <w:r>
        <w:t xml:space="preserve">Design Selections – </w:t>
      </w:r>
    </w:p>
    <w:p w14:paraId="561D92F1" w14:textId="39565DCC" w:rsidR="00E70752" w:rsidRPr="00E70752" w:rsidRDefault="00E70752" w:rsidP="00E70752">
      <w:pPr>
        <w:pStyle w:val="MyBody"/>
        <w:numPr>
          <w:ilvl w:val="0"/>
          <w:numId w:val="5"/>
        </w:numPr>
      </w:pPr>
      <w:r>
        <w:rPr>
          <w:lang w:val="en-US"/>
        </w:rPr>
        <w:t xml:space="preserve">An area </w:t>
      </w:r>
      <w:r w:rsidRPr="00D36DD5">
        <w:rPr>
          <w:noProof/>
          <w:lang w:val="en-US"/>
        </w:rPr>
        <w:t>chart</w:t>
      </w:r>
      <w:r>
        <w:rPr>
          <w:lang w:val="en-US"/>
        </w:rPr>
        <w:t xml:space="preserve"> showing</w:t>
      </w:r>
      <w:r w:rsidR="00D36DD5">
        <w:rPr>
          <w:lang w:val="en-US"/>
        </w:rPr>
        <w:t xml:space="preserve"> the</w:t>
      </w:r>
      <w:r>
        <w:rPr>
          <w:lang w:val="en-US"/>
        </w:rPr>
        <w:t xml:space="preserve"> </w:t>
      </w:r>
      <w:r w:rsidRPr="00D36DD5">
        <w:rPr>
          <w:noProof/>
          <w:lang w:val="en-US"/>
        </w:rPr>
        <w:t>distribution</w:t>
      </w:r>
      <w:r>
        <w:rPr>
          <w:lang w:val="en-US"/>
        </w:rPr>
        <w:t xml:space="preserve"> </w:t>
      </w:r>
      <w:r w:rsidR="00D36DD5">
        <w:rPr>
          <w:noProof/>
          <w:lang w:val="en-US"/>
        </w:rPr>
        <w:t>of</w:t>
      </w:r>
      <w:r>
        <w:rPr>
          <w:lang w:val="en-US"/>
        </w:rPr>
        <w:t xml:space="preserve"> total consumed energy per year provides a dramatic view </w:t>
      </w:r>
      <w:r w:rsidR="00D36DD5" w:rsidRPr="00D36DD5">
        <w:rPr>
          <w:noProof/>
          <w:lang w:val="en-US"/>
        </w:rPr>
        <w:t>o</w:t>
      </w:r>
      <w:r w:rsidR="00D36DD5">
        <w:rPr>
          <w:noProof/>
          <w:lang w:val="en-US"/>
        </w:rPr>
        <w:t>f</w:t>
      </w:r>
      <w:r>
        <w:rPr>
          <w:lang w:val="en-US"/>
        </w:rPr>
        <w:t xml:space="preserve"> the decline in Industrial Sector consumption.  The use of colors with less saturation reduces competition between the values.</w:t>
      </w:r>
    </w:p>
    <w:p w14:paraId="479B1AF1" w14:textId="0B7C6CE8" w:rsidR="00E70752" w:rsidRPr="00E70752" w:rsidRDefault="00E70752" w:rsidP="00E70752">
      <w:pPr>
        <w:pStyle w:val="MyBody"/>
        <w:numPr>
          <w:ilvl w:val="0"/>
          <w:numId w:val="5"/>
        </w:numPr>
      </w:pPr>
      <w:r>
        <w:rPr>
          <w:lang w:val="en-US"/>
        </w:rPr>
        <w:lastRenderedPageBreak/>
        <w:t>At this point, colors are assigned to, and remain consistent across consumption sectors (Residential, Industrial, Commercial, Transportation, Electrical Power).</w:t>
      </w:r>
    </w:p>
    <w:p w14:paraId="1128951B" w14:textId="2C2A75DA" w:rsidR="00E70752" w:rsidRPr="00E70752" w:rsidRDefault="00E70752" w:rsidP="00E70752">
      <w:pPr>
        <w:pStyle w:val="MyBody"/>
        <w:numPr>
          <w:ilvl w:val="0"/>
          <w:numId w:val="5"/>
        </w:numPr>
      </w:pPr>
      <w:r>
        <w:rPr>
          <w:lang w:val="en-US"/>
        </w:rPr>
        <w:t xml:space="preserve">The Tableau colorblind palette reduces </w:t>
      </w:r>
      <w:r w:rsidRPr="00D36DD5">
        <w:rPr>
          <w:noProof/>
          <w:lang w:val="en-US"/>
        </w:rPr>
        <w:t>likelihood</w:t>
      </w:r>
      <w:r>
        <w:rPr>
          <w:lang w:val="en-US"/>
        </w:rPr>
        <w:t xml:space="preserve"> of color confusion by the reader.</w:t>
      </w:r>
    </w:p>
    <w:p w14:paraId="73F80728" w14:textId="30428128" w:rsidR="00E70752" w:rsidRDefault="00E70752" w:rsidP="00E70752">
      <w:pPr>
        <w:pStyle w:val="MyBody"/>
        <w:numPr>
          <w:ilvl w:val="0"/>
          <w:numId w:val="5"/>
        </w:numPr>
        <w:rPr>
          <w:lang w:val="en-US"/>
        </w:rPr>
      </w:pPr>
      <w:r>
        <w:rPr>
          <w:lang w:val="en-US"/>
        </w:rPr>
        <w:t>The selection of the filled area chart provides a cleaner alternative to stacked bars.</w:t>
      </w:r>
    </w:p>
    <w:p w14:paraId="0261A424" w14:textId="77777777" w:rsidR="00E70752" w:rsidRDefault="00E70752">
      <w:pPr>
        <w:rPr>
          <w:rFonts w:ascii="Times New Roman" w:eastAsia="SimSun" w:hAnsi="Times New Roman" w:cs="Times New Roman"/>
          <w:spacing w:val="-1"/>
          <w:sz w:val="20"/>
          <w:szCs w:val="20"/>
          <w:lang w:eastAsia="x-none"/>
        </w:rPr>
      </w:pPr>
      <w:r>
        <w:br w:type="page"/>
      </w:r>
    </w:p>
    <w:p w14:paraId="50282C90" w14:textId="191DCD66" w:rsidR="00E70752" w:rsidRDefault="00E70752" w:rsidP="00E70752">
      <w:pPr>
        <w:pStyle w:val="Heading3"/>
      </w:pPr>
      <w:r>
        <w:lastRenderedPageBreak/>
        <w:t>Yearly Total Energy Consumption by Month</w:t>
      </w:r>
    </w:p>
    <w:p w14:paraId="275D9454" w14:textId="0D1AACE3" w:rsidR="00E70752" w:rsidRDefault="00E70752" w:rsidP="00E70752"/>
    <w:p w14:paraId="3267C9F0" w14:textId="77777777" w:rsidR="00E70752" w:rsidRDefault="00E70752" w:rsidP="00E70752">
      <w:pPr>
        <w:keepNext/>
      </w:pPr>
      <w:r>
        <w:rPr>
          <w:noProof/>
        </w:rPr>
        <w:drawing>
          <wp:inline distT="0" distB="0" distL="0" distR="0" wp14:anchorId="337EDA15" wp14:editId="0D674AE6">
            <wp:extent cx="5943600" cy="4735195"/>
            <wp:effectExtent l="19050" t="19050" r="19050" b="27305"/>
            <wp:docPr id="5" name="Picture 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5943600" cy="4735195"/>
                    </a:xfrm>
                    <a:prstGeom prst="rect">
                      <a:avLst/>
                    </a:prstGeom>
                    <a:ln>
                      <a:solidFill>
                        <a:schemeClr val="tx1"/>
                      </a:solidFill>
                    </a:ln>
                  </pic:spPr>
                </pic:pic>
              </a:graphicData>
            </a:graphic>
          </wp:inline>
        </w:drawing>
      </w:r>
    </w:p>
    <w:p w14:paraId="536736F0" w14:textId="1849AFA2" w:rsidR="00E70752" w:rsidRPr="00E70752" w:rsidRDefault="00E70752" w:rsidP="00E70752">
      <w:pPr>
        <w:pStyle w:val="Caption"/>
      </w:pPr>
      <w:r>
        <w:t xml:space="preserve">Figure </w:t>
      </w:r>
      <w:fldSimple w:instr=" SEQ Figure \* ARABIC ">
        <w:r w:rsidR="00DB6A48">
          <w:rPr>
            <w:noProof/>
          </w:rPr>
          <w:t>4</w:t>
        </w:r>
      </w:fldSimple>
      <w:r>
        <w:t xml:space="preserve"> 0 - Yearly Total Energy Consumption by Month</w:t>
      </w:r>
    </w:p>
    <w:p w14:paraId="4A0935E4" w14:textId="77777777" w:rsidR="00E70752" w:rsidRDefault="00E70752" w:rsidP="00E70752">
      <w:pPr>
        <w:pStyle w:val="Heading4"/>
      </w:pPr>
      <w:r>
        <w:t>Findings</w:t>
      </w:r>
    </w:p>
    <w:p w14:paraId="21835DC0" w14:textId="3109DD8F" w:rsidR="00E70752" w:rsidRDefault="00E70752" w:rsidP="00E70752">
      <w:pPr>
        <w:pStyle w:val="MyBody"/>
        <w:rPr>
          <w:lang w:val="en-US"/>
        </w:rPr>
      </w:pPr>
      <w:r>
        <w:t>F</w:t>
      </w:r>
      <w:r>
        <w:rPr>
          <w:lang w:val="en-US"/>
        </w:rPr>
        <w:t xml:space="preserve">ig. </w:t>
      </w:r>
      <w:r>
        <w:rPr>
          <w:lang w:val="en-US"/>
        </w:rPr>
        <w:t>4</w:t>
      </w:r>
      <w:r>
        <w:rPr>
          <w:lang w:val="en-US"/>
        </w:rPr>
        <w:t xml:space="preserve"> </w:t>
      </w:r>
      <w:r>
        <w:rPr>
          <w:lang w:val="en-US"/>
        </w:rPr>
        <w:t xml:space="preserve">pivots to the issue of consumption patterns </w:t>
      </w:r>
      <w:r w:rsidRPr="00D36DD5">
        <w:rPr>
          <w:noProof/>
          <w:lang w:val="en-US"/>
        </w:rPr>
        <w:t>inher</w:t>
      </w:r>
      <w:r w:rsidR="00D36DD5" w:rsidRPr="00D36DD5">
        <w:rPr>
          <w:noProof/>
          <w:lang w:val="en-US"/>
        </w:rPr>
        <w:t>ent</w:t>
      </w:r>
      <w:r>
        <w:rPr>
          <w:lang w:val="en-US"/>
        </w:rPr>
        <w:t xml:space="preserve"> to the consumption process discussed in previous figures.  Commercial and Residential consumption follows the demand for heating and cooling of human-occupied spaces.  Cooling costs and extension of lighting hours in the northern hemisphere </w:t>
      </w:r>
      <w:r w:rsidRPr="00D36DD5">
        <w:rPr>
          <w:noProof/>
          <w:lang w:val="en-US"/>
        </w:rPr>
        <w:t>appear</w:t>
      </w:r>
      <w:r w:rsidR="00D36DD5">
        <w:rPr>
          <w:noProof/>
          <w:lang w:val="en-US"/>
        </w:rPr>
        <w:t xml:space="preserve"> to</w:t>
      </w:r>
      <w:r>
        <w:rPr>
          <w:lang w:val="en-US"/>
        </w:rPr>
        <w:t xml:space="preserve"> push a greater demand for power in the winter months compared to lower demand in the summer months.</w:t>
      </w:r>
    </w:p>
    <w:p w14:paraId="68907300" w14:textId="77777777" w:rsidR="00DB6A48" w:rsidRDefault="00DB6A48" w:rsidP="00DB6A48">
      <w:pPr>
        <w:pStyle w:val="Heading4"/>
      </w:pPr>
      <w:r>
        <w:t xml:space="preserve">Intent of Graph </w:t>
      </w:r>
    </w:p>
    <w:p w14:paraId="0898C8EE" w14:textId="1D624759" w:rsidR="00DB6A48" w:rsidRDefault="00DB6A48" w:rsidP="00DB6A48">
      <w:pPr>
        <w:pStyle w:val="MyBody"/>
        <w:rPr>
          <w:lang w:val="en-US"/>
        </w:rPr>
      </w:pPr>
      <w:r>
        <w:rPr>
          <w:lang w:val="en-US"/>
        </w:rPr>
        <w:t xml:space="preserve">This </w:t>
      </w:r>
      <w:r w:rsidRPr="00D36DD5">
        <w:rPr>
          <w:noProof/>
          <w:lang w:val="en-US"/>
        </w:rPr>
        <w:t>graph</w:t>
      </w:r>
      <w:r>
        <w:rPr>
          <w:lang w:val="en-US"/>
        </w:rPr>
        <w:t xml:space="preserve"> moves the reader from persuasion to information</w:t>
      </w:r>
      <w:r>
        <w:rPr>
          <w:lang w:val="en-US"/>
        </w:rPr>
        <w:t>.</w:t>
      </w:r>
      <w:r>
        <w:rPr>
          <w:lang w:val="en-US"/>
        </w:rPr>
        <w:t xml:space="preserve">  The balance of the report deals with characteristics of consumption and production.  This </w:t>
      </w:r>
      <w:r w:rsidRPr="00D36DD5">
        <w:rPr>
          <w:noProof/>
          <w:lang w:val="en-US"/>
        </w:rPr>
        <w:t>graph</w:t>
      </w:r>
      <w:r>
        <w:rPr>
          <w:lang w:val="en-US"/>
        </w:rPr>
        <w:t xml:space="preserve"> eases a change in focus for the causes of changes in consumption to nature of consumption, and finally to the nature of energy generation.</w:t>
      </w:r>
    </w:p>
    <w:p w14:paraId="68610496" w14:textId="77777777" w:rsidR="00DB6A48" w:rsidRDefault="00DB6A48" w:rsidP="00DB6A48">
      <w:pPr>
        <w:pStyle w:val="Heading4"/>
      </w:pPr>
      <w:r>
        <w:t xml:space="preserve">Design Selections – </w:t>
      </w:r>
    </w:p>
    <w:p w14:paraId="018123C7" w14:textId="2BAF52FC" w:rsidR="00DB6A48" w:rsidRDefault="00DB6A48" w:rsidP="00DB6A48">
      <w:pPr>
        <w:pStyle w:val="MyBody"/>
        <w:numPr>
          <w:ilvl w:val="0"/>
          <w:numId w:val="5"/>
        </w:numPr>
      </w:pPr>
      <w:r>
        <w:rPr>
          <w:lang w:val="en-US"/>
        </w:rPr>
        <w:t xml:space="preserve">This document looks at a selection of the graph to demonstrate </w:t>
      </w:r>
      <w:r w:rsidRPr="00D36DD5">
        <w:rPr>
          <w:noProof/>
          <w:lang w:val="en-US"/>
        </w:rPr>
        <w:t>patte</w:t>
      </w:r>
      <w:r w:rsidR="00D36DD5" w:rsidRPr="00D36DD5">
        <w:rPr>
          <w:noProof/>
          <w:lang w:val="en-US"/>
        </w:rPr>
        <w:t>rn</w:t>
      </w:r>
      <w:r w:rsidR="004A13B7" w:rsidRPr="00D36DD5">
        <w:rPr>
          <w:noProof/>
          <w:vanish/>
          <w:sz w:val="16"/>
          <w:szCs w:val="16"/>
          <w:lang w:val="en-US"/>
        </w:rPr>
        <w:t>f</w:t>
      </w:r>
      <w:r w:rsidRPr="00D36DD5">
        <w:rPr>
          <w:noProof/>
          <w:lang w:val="en-US"/>
        </w:rPr>
        <w:t>s</w:t>
      </w:r>
      <w:r>
        <w:rPr>
          <w:lang w:val="en-US"/>
        </w:rPr>
        <w:t xml:space="preserve"> of consistency.  Showing the full time-series would detract from the </w:t>
      </w:r>
      <w:r w:rsidR="00D36DD5">
        <w:rPr>
          <w:noProof/>
          <w:lang w:val="en-US"/>
        </w:rPr>
        <w:t>essential</w:t>
      </w:r>
      <w:r>
        <w:rPr>
          <w:lang w:val="en-US"/>
        </w:rPr>
        <w:t xml:space="preserve"> message.  However, enough samples were required to establish a </w:t>
      </w:r>
      <w:r w:rsidRPr="00D36DD5">
        <w:rPr>
          <w:noProof/>
          <w:lang w:val="en-US"/>
        </w:rPr>
        <w:t>patter</w:t>
      </w:r>
      <w:r w:rsidR="00D36DD5" w:rsidRPr="00D36DD5">
        <w:rPr>
          <w:noProof/>
          <w:lang w:val="en-US"/>
        </w:rPr>
        <w:t>n</w:t>
      </w:r>
      <w:r>
        <w:rPr>
          <w:lang w:val="en-US"/>
        </w:rPr>
        <w:t xml:space="preserve"> that follows from year to year</w:t>
      </w:r>
    </w:p>
    <w:p w14:paraId="6CF9DC2F" w14:textId="10AE15A5" w:rsidR="00DB6A48" w:rsidRDefault="00DB6A48" w:rsidP="00DB6A48">
      <w:pPr>
        <w:pStyle w:val="MyBody"/>
        <w:numPr>
          <w:ilvl w:val="0"/>
          <w:numId w:val="5"/>
        </w:numPr>
      </w:pPr>
      <w:r>
        <w:t xml:space="preserve">The line graph was selected because it provides </w:t>
      </w:r>
      <w:r>
        <w:rPr>
          <w:lang w:val="en-US"/>
        </w:rPr>
        <w:t>a</w:t>
      </w:r>
      <w:r>
        <w:t xml:space="preserve"> mechanism for showing continuous data over a time-series.</w:t>
      </w:r>
    </w:p>
    <w:p w14:paraId="450F1AF1" w14:textId="06CE95C7" w:rsidR="00DB6A48" w:rsidRPr="00DB6A48" w:rsidRDefault="00DB6A48" w:rsidP="00DB6A48">
      <w:pPr>
        <w:pStyle w:val="MyBody"/>
        <w:numPr>
          <w:ilvl w:val="0"/>
          <w:numId w:val="5"/>
        </w:numPr>
      </w:pPr>
      <w:r>
        <w:lastRenderedPageBreak/>
        <w:t xml:space="preserve">The </w:t>
      </w:r>
      <w:r>
        <w:rPr>
          <w:lang w:val="en-US"/>
        </w:rPr>
        <w:t xml:space="preserve">blue </w:t>
      </w:r>
      <w:r>
        <w:rPr>
          <w:lang w:val="en-US"/>
        </w:rPr>
        <w:t xml:space="preserve">and orange </w:t>
      </w:r>
      <w:r>
        <w:rPr>
          <w:lang w:val="en-US"/>
        </w:rPr>
        <w:t>color</w:t>
      </w:r>
      <w:r w:rsidR="00D36DD5">
        <w:rPr>
          <w:lang w:val="en-US"/>
        </w:rPr>
        <w:t>s</w:t>
      </w:r>
      <w:r>
        <w:rPr>
          <w:lang w:val="en-US"/>
        </w:rPr>
        <w:t xml:space="preserve"> </w:t>
      </w:r>
      <w:r w:rsidR="00D36DD5">
        <w:rPr>
          <w:noProof/>
          <w:lang w:val="en-US"/>
        </w:rPr>
        <w:t>are</w:t>
      </w:r>
      <w:r>
        <w:rPr>
          <w:lang w:val="en-US"/>
        </w:rPr>
        <w:t xml:space="preserve"> used as the default for the line</w:t>
      </w:r>
      <w:r>
        <w:rPr>
          <w:lang w:val="en-US"/>
        </w:rPr>
        <w:t>s</w:t>
      </w:r>
      <w:r>
        <w:rPr>
          <w:lang w:val="en-US"/>
        </w:rPr>
        <w:t xml:space="preserve"> and the white background provide </w:t>
      </w:r>
      <w:r w:rsidRPr="00D36DD5">
        <w:rPr>
          <w:noProof/>
          <w:lang w:val="en-US"/>
        </w:rPr>
        <w:t>contrast</w:t>
      </w:r>
      <w:r>
        <w:rPr>
          <w:lang w:val="en-US"/>
        </w:rPr>
        <w:t xml:space="preserve"> and are not likely to confound a color-blind reader.</w:t>
      </w:r>
    </w:p>
    <w:p w14:paraId="75F11B54" w14:textId="6135FEE8" w:rsidR="00DB6A48" w:rsidRPr="00E70752" w:rsidRDefault="00DB6A48" w:rsidP="00DB6A48">
      <w:pPr>
        <w:pStyle w:val="MyBody"/>
        <w:numPr>
          <w:ilvl w:val="0"/>
          <w:numId w:val="5"/>
        </w:numPr>
      </w:pPr>
      <w:r>
        <w:rPr>
          <w:lang w:val="en-US"/>
        </w:rPr>
        <w:t xml:space="preserve">Use of the line encoding provides continuity </w:t>
      </w:r>
      <w:r w:rsidR="00D36DD5">
        <w:rPr>
          <w:lang w:val="en-US"/>
        </w:rPr>
        <w:t>showing</w:t>
      </w:r>
      <w:r>
        <w:rPr>
          <w:lang w:val="en-US"/>
        </w:rPr>
        <w:t xml:space="preserve"> the patterns of </w:t>
      </w:r>
      <w:r w:rsidR="00D36DD5">
        <w:rPr>
          <w:noProof/>
          <w:lang w:val="en-US"/>
        </w:rPr>
        <w:t>annu</w:t>
      </w:r>
      <w:r w:rsidRPr="00D36DD5">
        <w:rPr>
          <w:noProof/>
          <w:lang w:val="en-US"/>
        </w:rPr>
        <w:t>al</w:t>
      </w:r>
      <w:r>
        <w:rPr>
          <w:lang w:val="en-US"/>
        </w:rPr>
        <w:t xml:space="preserve"> usage.</w:t>
      </w:r>
    </w:p>
    <w:p w14:paraId="162835B7" w14:textId="77351433" w:rsidR="00DB6A48" w:rsidRPr="00E70752" w:rsidRDefault="00DB6A48" w:rsidP="00DB6A48">
      <w:pPr>
        <w:pStyle w:val="MyBody"/>
        <w:numPr>
          <w:ilvl w:val="0"/>
          <w:numId w:val="5"/>
        </w:numPr>
      </w:pPr>
      <w:r>
        <w:rPr>
          <w:lang w:val="en-US"/>
        </w:rPr>
        <w:t xml:space="preserve">Unit information </w:t>
      </w:r>
      <w:r w:rsidRPr="00D36DD5">
        <w:rPr>
          <w:noProof/>
          <w:lang w:val="en-US"/>
        </w:rPr>
        <w:t>is provided</w:t>
      </w:r>
      <w:r>
        <w:rPr>
          <w:lang w:val="en-US"/>
        </w:rPr>
        <w:t xml:space="preserve"> as part of the Y-Axis label </w:t>
      </w:r>
      <w:r w:rsidRPr="00D36DD5">
        <w:rPr>
          <w:noProof/>
          <w:lang w:val="en-US"/>
        </w:rPr>
        <w:t>(proximity)</w:t>
      </w:r>
      <w:r w:rsidR="00D36DD5">
        <w:rPr>
          <w:noProof/>
          <w:lang w:val="en-US"/>
        </w:rPr>
        <w:t>,</w:t>
      </w:r>
      <w:r>
        <w:rPr>
          <w:lang w:val="en-US"/>
        </w:rPr>
        <w:t xml:space="preserve"> so it is clear as to its association with the Y-value.</w:t>
      </w:r>
    </w:p>
    <w:p w14:paraId="1FA172DE" w14:textId="72CD5792" w:rsidR="00DB6A48" w:rsidRPr="00E70752" w:rsidRDefault="00DB6A48" w:rsidP="00DB6A48">
      <w:pPr>
        <w:pStyle w:val="MyBody"/>
        <w:numPr>
          <w:ilvl w:val="0"/>
          <w:numId w:val="5"/>
        </w:numPr>
      </w:pPr>
      <w:r>
        <w:rPr>
          <w:lang w:val="en-US"/>
        </w:rPr>
        <w:t>The labels on the line provide clarity of the values without cluttering the screen with gridlines or prescribing the use of a different style of graph</w:t>
      </w:r>
      <w:r>
        <w:rPr>
          <w:lang w:val="en-US"/>
        </w:rPr>
        <w:t xml:space="preserve">.  However, these labels appear on minimum and maximum values for the curve only as displaying all labels would provide too much visual noise to the </w:t>
      </w:r>
      <w:r w:rsidRPr="00D36DD5">
        <w:rPr>
          <w:noProof/>
          <w:lang w:val="en-US"/>
        </w:rPr>
        <w:t>user</w:t>
      </w:r>
      <w:r>
        <w:rPr>
          <w:lang w:val="en-US"/>
        </w:rPr>
        <w:t xml:space="preserve"> and is incidental to display of the pattern.</w:t>
      </w:r>
    </w:p>
    <w:p w14:paraId="08148533" w14:textId="5D08E240" w:rsidR="00DB6A48" w:rsidRDefault="00DB6A48">
      <w:pPr>
        <w:rPr>
          <w:sz w:val="24"/>
          <w:szCs w:val="24"/>
        </w:rPr>
      </w:pPr>
      <w:r>
        <w:rPr>
          <w:sz w:val="24"/>
          <w:szCs w:val="24"/>
        </w:rPr>
        <w:br w:type="page"/>
      </w:r>
    </w:p>
    <w:p w14:paraId="439FC2C3" w14:textId="7C6925CF" w:rsidR="00DB6A48" w:rsidRDefault="00DB6A48" w:rsidP="00DB6A48">
      <w:pPr>
        <w:pStyle w:val="Heading3"/>
      </w:pPr>
      <w:r>
        <w:lastRenderedPageBreak/>
        <w:t xml:space="preserve">Consumed </w:t>
      </w:r>
      <w:r w:rsidRPr="00153C5A">
        <w:t>vs</w:t>
      </w:r>
      <w:r w:rsidR="00153C5A">
        <w:t>.</w:t>
      </w:r>
      <w:r>
        <w:t xml:space="preserve"> Produced Energy</w:t>
      </w:r>
    </w:p>
    <w:p w14:paraId="0AFA7405" w14:textId="517C44C8" w:rsidR="00DB6A48" w:rsidRDefault="00DB6A48" w:rsidP="00DB6A48"/>
    <w:p w14:paraId="374D1087" w14:textId="77777777" w:rsidR="00DB6A48" w:rsidRDefault="00DB6A48" w:rsidP="00DB6A48">
      <w:pPr>
        <w:keepNext/>
      </w:pPr>
      <w:r>
        <w:rPr>
          <w:noProof/>
        </w:rPr>
        <w:drawing>
          <wp:inline distT="0" distB="0" distL="0" distR="0" wp14:anchorId="6384A3B2" wp14:editId="3C420F87">
            <wp:extent cx="5943600" cy="4735195"/>
            <wp:effectExtent l="19050" t="19050" r="19050" b="2730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4735195"/>
                    </a:xfrm>
                    <a:prstGeom prst="rect">
                      <a:avLst/>
                    </a:prstGeom>
                    <a:ln>
                      <a:solidFill>
                        <a:schemeClr val="tx1"/>
                      </a:solidFill>
                    </a:ln>
                  </pic:spPr>
                </pic:pic>
              </a:graphicData>
            </a:graphic>
          </wp:inline>
        </w:drawing>
      </w:r>
    </w:p>
    <w:p w14:paraId="27678C0B" w14:textId="2BA4A403" w:rsidR="00DB6A48" w:rsidRPr="00DB6A48" w:rsidRDefault="00DB6A48" w:rsidP="00DB6A48">
      <w:pPr>
        <w:pStyle w:val="Caption"/>
      </w:pPr>
      <w:r>
        <w:t xml:space="preserve">Figure </w:t>
      </w:r>
      <w:fldSimple w:instr=" SEQ Figure \* ARABIC ">
        <w:r>
          <w:rPr>
            <w:noProof/>
          </w:rPr>
          <w:t>5</w:t>
        </w:r>
      </w:fldSimple>
      <w:r>
        <w:t xml:space="preserve"> - Consumed </w:t>
      </w:r>
      <w:r w:rsidRPr="00D36DD5">
        <w:rPr>
          <w:noProof/>
        </w:rPr>
        <w:t>vs</w:t>
      </w:r>
      <w:r w:rsidR="00D36DD5">
        <w:rPr>
          <w:noProof/>
        </w:rPr>
        <w:t>.</w:t>
      </w:r>
      <w:r>
        <w:t xml:space="preserve"> Produced Energy</w:t>
      </w:r>
    </w:p>
    <w:p w14:paraId="34EB856F" w14:textId="77777777" w:rsidR="00DB6A48" w:rsidRDefault="00DB6A48" w:rsidP="00DB6A48">
      <w:pPr>
        <w:pStyle w:val="Heading4"/>
      </w:pPr>
      <w:r>
        <w:t>Findings</w:t>
      </w:r>
    </w:p>
    <w:p w14:paraId="4A6ABCAE" w14:textId="1950AD90" w:rsidR="00DB6A48" w:rsidRDefault="00DB6A48" w:rsidP="00DB6A48">
      <w:pPr>
        <w:pStyle w:val="MyBody"/>
        <w:rPr>
          <w:lang w:val="en-US"/>
        </w:rPr>
      </w:pPr>
      <w:r>
        <w:t>F</w:t>
      </w:r>
      <w:r>
        <w:rPr>
          <w:lang w:val="en-US"/>
        </w:rPr>
        <w:t xml:space="preserve">ig. </w:t>
      </w:r>
      <w:r>
        <w:rPr>
          <w:lang w:val="en-US"/>
        </w:rPr>
        <w:t>5</w:t>
      </w:r>
      <w:r>
        <w:rPr>
          <w:lang w:val="en-US"/>
        </w:rPr>
        <w:t xml:space="preserve"> </w:t>
      </w:r>
      <w:r>
        <w:rPr>
          <w:lang w:val="en-US"/>
        </w:rPr>
        <w:t xml:space="preserve">shows the relationship between average production and consumption from year to year.  Consumption has long outstripped production, although the trend started drifting closer since 2007.  The regression lines for each group show the </w:t>
      </w:r>
      <w:r w:rsidRPr="00D36DD5">
        <w:rPr>
          <w:noProof/>
          <w:lang w:val="en-US"/>
        </w:rPr>
        <w:t>divergence</w:t>
      </w:r>
      <w:r>
        <w:rPr>
          <w:lang w:val="en-US"/>
        </w:rPr>
        <w:t xml:space="preserve"> but may require revision based on the constant decline in industrial consumption introduced in Figs. 2 and 3.</w:t>
      </w:r>
    </w:p>
    <w:p w14:paraId="7BD53261" w14:textId="77777777" w:rsidR="00DB6A48" w:rsidRDefault="00DB6A48" w:rsidP="00DB6A48">
      <w:pPr>
        <w:pStyle w:val="Heading4"/>
      </w:pPr>
      <w:r>
        <w:t xml:space="preserve">Intent of Graph </w:t>
      </w:r>
    </w:p>
    <w:p w14:paraId="3CFAA4E8" w14:textId="4A5FD30A" w:rsidR="00DB6A48" w:rsidRDefault="00DB6A48" w:rsidP="00DB6A48">
      <w:pPr>
        <w:pStyle w:val="MyBody"/>
        <w:rPr>
          <w:lang w:val="en-US"/>
        </w:rPr>
      </w:pPr>
      <w:r>
        <w:rPr>
          <w:lang w:val="en-US"/>
        </w:rPr>
        <w:t xml:space="preserve">This visualization </w:t>
      </w:r>
      <w:r>
        <w:rPr>
          <w:lang w:val="en-US"/>
        </w:rPr>
        <w:t xml:space="preserve">builds the bridge from production to </w:t>
      </w:r>
      <w:r w:rsidRPr="00D36DD5">
        <w:rPr>
          <w:noProof/>
          <w:lang w:val="en-US"/>
        </w:rPr>
        <w:t>consumption</w:t>
      </w:r>
      <w:r>
        <w:rPr>
          <w:lang w:val="en-US"/>
        </w:rPr>
        <w:t xml:space="preserve"> and introduces the impact of reduced consumption discussed in </w:t>
      </w:r>
      <w:r w:rsidR="00D36DD5">
        <w:rPr>
          <w:noProof/>
          <w:lang w:val="en-US"/>
        </w:rPr>
        <w:t>previous</w:t>
      </w:r>
      <w:r>
        <w:rPr>
          <w:lang w:val="en-US"/>
        </w:rPr>
        <w:t xml:space="preserve"> visualizations (Figs. 2 and 3)</w:t>
      </w:r>
      <w:r>
        <w:rPr>
          <w:lang w:val="en-US"/>
        </w:rPr>
        <w:t>.</w:t>
      </w:r>
    </w:p>
    <w:p w14:paraId="769520E2" w14:textId="77777777" w:rsidR="00DB6A48" w:rsidRDefault="00DB6A48" w:rsidP="00DB6A48">
      <w:pPr>
        <w:pStyle w:val="Heading4"/>
      </w:pPr>
      <w:r>
        <w:t xml:space="preserve">Design Selections – </w:t>
      </w:r>
    </w:p>
    <w:p w14:paraId="521B7EAD" w14:textId="7CBBF90C" w:rsidR="00DB6A48" w:rsidRDefault="00DB6A48" w:rsidP="00DB6A48">
      <w:pPr>
        <w:pStyle w:val="MyBody"/>
        <w:numPr>
          <w:ilvl w:val="0"/>
          <w:numId w:val="5"/>
        </w:numPr>
      </w:pPr>
      <w:r>
        <w:rPr>
          <w:lang w:val="en-US"/>
        </w:rPr>
        <w:t xml:space="preserve">Tableau’s dual axis functionality enabled comparison of the different datasets (Production </w:t>
      </w:r>
      <w:r w:rsidRPr="00D36DD5">
        <w:rPr>
          <w:noProof/>
          <w:lang w:val="en-US"/>
        </w:rPr>
        <w:t>vs</w:t>
      </w:r>
      <w:r w:rsidR="00D36DD5">
        <w:rPr>
          <w:noProof/>
          <w:lang w:val="en-US"/>
        </w:rPr>
        <w:t>.</w:t>
      </w:r>
      <w:r>
        <w:rPr>
          <w:lang w:val="en-US"/>
        </w:rPr>
        <w:t xml:space="preserve"> Consumption).</w:t>
      </w:r>
    </w:p>
    <w:p w14:paraId="03D7A75D" w14:textId="45A6D876" w:rsidR="00DB6A48" w:rsidRPr="00E70752" w:rsidRDefault="00DB6A48" w:rsidP="00DB6A48">
      <w:pPr>
        <w:pStyle w:val="MyBody"/>
        <w:numPr>
          <w:ilvl w:val="0"/>
          <w:numId w:val="5"/>
        </w:numPr>
      </w:pPr>
      <w:r>
        <w:rPr>
          <w:lang w:val="en-US"/>
        </w:rPr>
        <w:t>Trend lines provide a parallel basis of comparison, rather than requiring the reader to try and derive the degree of relationship between the two lines.</w:t>
      </w:r>
    </w:p>
    <w:p w14:paraId="554BEE29" w14:textId="1160DF09" w:rsidR="00DB6A48" w:rsidRPr="00DB6A48" w:rsidRDefault="00DB6A48" w:rsidP="00DB6A48">
      <w:pPr>
        <w:pStyle w:val="MyBody"/>
        <w:numPr>
          <w:ilvl w:val="0"/>
          <w:numId w:val="5"/>
        </w:numPr>
      </w:pPr>
      <w:r>
        <w:rPr>
          <w:lang w:val="en-US"/>
        </w:rPr>
        <w:t xml:space="preserve">Unit information </w:t>
      </w:r>
      <w:r w:rsidRPr="00153C5A">
        <w:rPr>
          <w:noProof/>
          <w:lang w:val="en-US"/>
        </w:rPr>
        <w:t>is provided</w:t>
      </w:r>
      <w:r>
        <w:rPr>
          <w:lang w:val="en-US"/>
        </w:rPr>
        <w:t xml:space="preserve"> as part of the Y-Axis label </w:t>
      </w:r>
      <w:r w:rsidRPr="00D36DD5">
        <w:rPr>
          <w:noProof/>
          <w:lang w:val="en-US"/>
        </w:rPr>
        <w:t>(proximity)</w:t>
      </w:r>
      <w:r w:rsidR="00D36DD5">
        <w:rPr>
          <w:noProof/>
          <w:lang w:val="en-US"/>
        </w:rPr>
        <w:t>,</w:t>
      </w:r>
      <w:r>
        <w:rPr>
          <w:lang w:val="en-US"/>
        </w:rPr>
        <w:t xml:space="preserve"> so it is clear as to its association with the Y-value.</w:t>
      </w:r>
    </w:p>
    <w:p w14:paraId="177537A0" w14:textId="7DF6759A" w:rsidR="00DB6A48" w:rsidRDefault="00DB6A48" w:rsidP="00DB6A48">
      <w:pPr>
        <w:pStyle w:val="MyBody"/>
        <w:numPr>
          <w:ilvl w:val="0"/>
          <w:numId w:val="5"/>
        </w:numPr>
        <w:rPr>
          <w:lang w:val="en-US"/>
        </w:rPr>
      </w:pPr>
      <w:r>
        <w:rPr>
          <w:lang w:val="en-US"/>
        </w:rPr>
        <w:lastRenderedPageBreak/>
        <w:t>The continuation of blue and orange on two category lines continues to support colorblind use.</w:t>
      </w:r>
    </w:p>
    <w:p w14:paraId="730AA33B" w14:textId="77777777" w:rsidR="00DB6A48" w:rsidRDefault="00DB6A48">
      <w:pPr>
        <w:rPr>
          <w:rFonts w:ascii="Times New Roman" w:eastAsia="SimSun" w:hAnsi="Times New Roman" w:cs="Times New Roman"/>
          <w:spacing w:val="-1"/>
          <w:sz w:val="20"/>
          <w:szCs w:val="20"/>
          <w:lang w:eastAsia="x-none"/>
        </w:rPr>
      </w:pPr>
      <w:r>
        <w:br w:type="page"/>
      </w:r>
    </w:p>
    <w:p w14:paraId="70CCDAE5" w14:textId="2FE78B0A" w:rsidR="00DB6A48" w:rsidRDefault="00DB6A48" w:rsidP="00DB6A48">
      <w:pPr>
        <w:pStyle w:val="Heading3"/>
      </w:pPr>
      <w:r>
        <w:lastRenderedPageBreak/>
        <w:t>Energy Production by Type</w:t>
      </w:r>
    </w:p>
    <w:p w14:paraId="60CDD5C6" w14:textId="77777777" w:rsidR="00DB6A48" w:rsidRPr="00DB6A48" w:rsidRDefault="00DB6A48" w:rsidP="00DB6A48"/>
    <w:p w14:paraId="7598716F" w14:textId="77777777" w:rsidR="00DB6A48" w:rsidRDefault="00DB6A48" w:rsidP="00DB6A48">
      <w:pPr>
        <w:keepNext/>
      </w:pPr>
      <w:r>
        <w:rPr>
          <w:noProof/>
        </w:rPr>
        <w:drawing>
          <wp:inline distT="0" distB="0" distL="0" distR="0" wp14:anchorId="28F89B99" wp14:editId="5FB37DF5">
            <wp:extent cx="5943600" cy="4735195"/>
            <wp:effectExtent l="19050" t="19050" r="19050" b="2730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5943600" cy="4735195"/>
                    </a:xfrm>
                    <a:prstGeom prst="rect">
                      <a:avLst/>
                    </a:prstGeom>
                    <a:ln>
                      <a:solidFill>
                        <a:schemeClr val="tx1"/>
                      </a:solidFill>
                    </a:ln>
                  </pic:spPr>
                </pic:pic>
              </a:graphicData>
            </a:graphic>
          </wp:inline>
        </w:drawing>
      </w:r>
    </w:p>
    <w:p w14:paraId="2489F336" w14:textId="76BF598E" w:rsidR="00DB6A48" w:rsidRPr="00DB6A48" w:rsidRDefault="00DB6A48" w:rsidP="00DB6A48">
      <w:pPr>
        <w:pStyle w:val="Caption"/>
      </w:pPr>
      <w:r>
        <w:t xml:space="preserve">Figure </w:t>
      </w:r>
      <w:fldSimple w:instr=" SEQ Figure \* ARABIC ">
        <w:r>
          <w:rPr>
            <w:noProof/>
          </w:rPr>
          <w:t>6</w:t>
        </w:r>
      </w:fldSimple>
      <w:r>
        <w:t xml:space="preserve"> - Energy Production by Type</w:t>
      </w:r>
    </w:p>
    <w:p w14:paraId="4D5051A3" w14:textId="77777777" w:rsidR="00DB6A48" w:rsidRDefault="00DB6A48" w:rsidP="00DB6A48">
      <w:pPr>
        <w:pStyle w:val="Heading4"/>
      </w:pPr>
      <w:r>
        <w:t>Findings</w:t>
      </w:r>
    </w:p>
    <w:p w14:paraId="1D58C60A" w14:textId="6626E037" w:rsidR="00DB6A48" w:rsidRPr="00DB6A48" w:rsidRDefault="00DB6A48" w:rsidP="00DB6A48">
      <w:pPr>
        <w:pStyle w:val="MyBody"/>
        <w:rPr>
          <w:lang w:val="en-US"/>
        </w:rPr>
      </w:pPr>
      <w:r>
        <w:rPr>
          <w:lang w:val="en-US"/>
        </w:rPr>
        <w:t xml:space="preserve">The generation of power in the U.S. consists of three primary categories:  Fossil Fuels, Nuclear, and Renewable.  Fossil fuel far outstrips the other </w:t>
      </w:r>
      <w:r w:rsidRPr="00D36DD5">
        <w:rPr>
          <w:noProof/>
          <w:lang w:val="en-US"/>
        </w:rPr>
        <w:t>types</w:t>
      </w:r>
      <w:r>
        <w:rPr>
          <w:lang w:val="en-US"/>
        </w:rPr>
        <w:t>.  Renewables only recently started to exceed Nuclear Power, excluding a period of higher performance between 1975 and 1989.  A rapid uptick in fossil f</w:t>
      </w:r>
      <w:r w:rsidR="00D36DD5">
        <w:rPr>
          <w:lang w:val="en-US"/>
        </w:rPr>
        <w:t xml:space="preserve">uel generation far </w:t>
      </w:r>
      <w:r w:rsidR="00D36DD5" w:rsidRPr="00D36DD5">
        <w:rPr>
          <w:noProof/>
          <w:lang w:val="en-US"/>
        </w:rPr>
        <w:t xml:space="preserve">exceeds </w:t>
      </w:r>
      <w:r w:rsidRPr="00D36DD5">
        <w:rPr>
          <w:noProof/>
          <w:lang w:val="en-US"/>
        </w:rPr>
        <w:t>more</w:t>
      </w:r>
      <w:r>
        <w:rPr>
          <w:lang w:val="en-US"/>
        </w:rPr>
        <w:t xml:space="preserve"> </w:t>
      </w:r>
      <w:r w:rsidR="00D36DD5">
        <w:rPr>
          <w:noProof/>
          <w:lang w:val="en-US"/>
        </w:rPr>
        <w:t>moderat</w:t>
      </w:r>
      <w:r w:rsidRPr="00D36DD5">
        <w:rPr>
          <w:noProof/>
          <w:lang w:val="en-US"/>
        </w:rPr>
        <w:t>e</w:t>
      </w:r>
      <w:r>
        <w:rPr>
          <w:lang w:val="en-US"/>
        </w:rPr>
        <w:t xml:space="preserve"> increases in renewable and nuclear energy.</w:t>
      </w:r>
    </w:p>
    <w:p w14:paraId="71B22FB8" w14:textId="77777777" w:rsidR="00DB6A48" w:rsidRDefault="00DB6A48" w:rsidP="00DB6A48">
      <w:pPr>
        <w:pStyle w:val="Heading4"/>
      </w:pPr>
      <w:r>
        <w:t xml:space="preserve">Intent of Graph </w:t>
      </w:r>
    </w:p>
    <w:p w14:paraId="5BDD87A0" w14:textId="30634EF6" w:rsidR="00DB6A48" w:rsidRDefault="00DB6A48" w:rsidP="00DB6A48">
      <w:pPr>
        <w:pStyle w:val="MyBody"/>
        <w:rPr>
          <w:lang w:val="en-US"/>
        </w:rPr>
      </w:pPr>
      <w:r>
        <w:rPr>
          <w:lang w:val="en-US"/>
        </w:rPr>
        <w:t xml:space="preserve">This </w:t>
      </w:r>
      <w:r w:rsidRPr="00D36DD5">
        <w:rPr>
          <w:noProof/>
          <w:lang w:val="en-US"/>
        </w:rPr>
        <w:t>graph</w:t>
      </w:r>
      <w:r>
        <w:rPr>
          <w:lang w:val="en-US"/>
        </w:rPr>
        <w:t xml:space="preserve"> fully completes the pivot to discussing</w:t>
      </w:r>
      <w:r w:rsidR="00D36DD5">
        <w:rPr>
          <w:lang w:val="en-US"/>
        </w:rPr>
        <w:t xml:space="preserve"> p</w:t>
      </w:r>
      <w:r w:rsidR="00D36DD5" w:rsidRPr="00D36DD5">
        <w:rPr>
          <w:noProof/>
          <w:lang w:val="en-US"/>
        </w:rPr>
        <w:t>ow</w:t>
      </w:r>
      <w:r w:rsidR="004A13B7" w:rsidRPr="00D36DD5">
        <w:rPr>
          <w:noProof/>
          <w:vanish/>
          <w:sz w:val="16"/>
          <w:szCs w:val="16"/>
          <w:lang w:val="en-US"/>
        </w:rPr>
        <w:t>f</w:t>
      </w:r>
      <w:r w:rsidR="00D36DD5" w:rsidRPr="00D36DD5">
        <w:rPr>
          <w:noProof/>
          <w:lang w:val="en-US"/>
        </w:rPr>
        <w:t>er</w:t>
      </w:r>
      <w:r w:rsidR="00D36DD5">
        <w:rPr>
          <w:noProof/>
          <w:lang w:val="en-US"/>
        </w:rPr>
        <w:t xml:space="preserve"> </w:t>
      </w:r>
      <w:r w:rsidRPr="00D36DD5">
        <w:rPr>
          <w:noProof/>
          <w:lang w:val="en-US"/>
        </w:rPr>
        <w:t>production</w:t>
      </w:r>
      <w:r>
        <w:rPr>
          <w:lang w:val="en-US"/>
        </w:rPr>
        <w:t xml:space="preserve"> with the reader.  It also sets the stage for the story to consider dramatic changes in the mix of energies used to generate </w:t>
      </w:r>
      <w:r w:rsidR="00153C5A">
        <w:rPr>
          <w:noProof/>
          <w:lang w:val="en-US"/>
        </w:rPr>
        <w:t>energy</w:t>
      </w:r>
      <w:r>
        <w:rPr>
          <w:lang w:val="en-US"/>
        </w:rPr>
        <w:t xml:space="preserve"> from fossil fuels.</w:t>
      </w:r>
    </w:p>
    <w:p w14:paraId="5CA8E09C" w14:textId="77777777" w:rsidR="00DB6A48" w:rsidRDefault="00DB6A48" w:rsidP="00DB6A48">
      <w:pPr>
        <w:pStyle w:val="Heading4"/>
      </w:pPr>
      <w:r>
        <w:t xml:space="preserve">Design Selections – </w:t>
      </w:r>
    </w:p>
    <w:p w14:paraId="55BDB88E" w14:textId="009B9CAD" w:rsidR="00DB6A48" w:rsidRDefault="00DB6A48" w:rsidP="00DB6A48">
      <w:pPr>
        <w:pStyle w:val="MyBody"/>
        <w:numPr>
          <w:ilvl w:val="0"/>
          <w:numId w:val="5"/>
        </w:numPr>
      </w:pPr>
      <w:r>
        <w:rPr>
          <w:lang w:val="en-US"/>
        </w:rPr>
        <w:t>Lines show time-series information</w:t>
      </w:r>
      <w:r w:rsidR="00153C5A">
        <w:rPr>
          <w:lang w:val="en-US"/>
        </w:rPr>
        <w:t xml:space="preserve"> effectively</w:t>
      </w:r>
      <w:r>
        <w:rPr>
          <w:lang w:val="en-US"/>
        </w:rPr>
        <w:t>.</w:t>
      </w:r>
    </w:p>
    <w:p w14:paraId="6A5E1166" w14:textId="5AB29702" w:rsidR="00DB6A48" w:rsidRPr="00E70752" w:rsidRDefault="00DB6A48" w:rsidP="00DB6A48">
      <w:pPr>
        <w:pStyle w:val="MyBody"/>
        <w:numPr>
          <w:ilvl w:val="0"/>
          <w:numId w:val="5"/>
        </w:numPr>
      </w:pPr>
      <w:r>
        <w:rPr>
          <w:lang w:val="en-US"/>
        </w:rPr>
        <w:t xml:space="preserve">Selective labeling reduces noise and yet provides additional detail allowing for the user </w:t>
      </w:r>
      <w:r w:rsidR="00D36DD5">
        <w:rPr>
          <w:noProof/>
          <w:lang w:val="en-US"/>
        </w:rPr>
        <w:t xml:space="preserve">to </w:t>
      </w:r>
      <w:r w:rsidRPr="00D36DD5">
        <w:rPr>
          <w:noProof/>
          <w:lang w:val="en-US"/>
        </w:rPr>
        <w:t>absorb information</w:t>
      </w:r>
      <w:r>
        <w:rPr>
          <w:lang w:val="en-US"/>
        </w:rPr>
        <w:t>.</w:t>
      </w:r>
    </w:p>
    <w:p w14:paraId="35CE72E3" w14:textId="282F7927" w:rsidR="00DB6A48" w:rsidRPr="00DB6A48" w:rsidRDefault="00DB6A48" w:rsidP="00DB6A48">
      <w:pPr>
        <w:pStyle w:val="MyBody"/>
        <w:numPr>
          <w:ilvl w:val="0"/>
          <w:numId w:val="5"/>
        </w:numPr>
      </w:pPr>
      <w:r>
        <w:rPr>
          <w:lang w:val="en-US"/>
        </w:rPr>
        <w:t>The graphic series returns to the use of the colorblind palette to avoid confusion for colorblind users.</w:t>
      </w:r>
    </w:p>
    <w:p w14:paraId="1E1DB335" w14:textId="77777777" w:rsidR="00DB6A48" w:rsidRDefault="00DB6A48" w:rsidP="00DB6A48"/>
    <w:p w14:paraId="64A74241" w14:textId="32F90F21" w:rsidR="00DB6A48" w:rsidRDefault="00DB6A48" w:rsidP="00DB6A48">
      <w:pPr>
        <w:pStyle w:val="Heading3"/>
      </w:pPr>
      <w:r>
        <w:lastRenderedPageBreak/>
        <w:t>Percent of Fossil Fuels Production by Type</w:t>
      </w:r>
    </w:p>
    <w:p w14:paraId="17C62F29" w14:textId="77777777" w:rsidR="0030667E" w:rsidRPr="0030667E" w:rsidRDefault="004A13B7" w:rsidP="0030667E">
      <w:r>
        <w:rPr>
          <w:noProof/>
          <w:vanish/>
          <w:sz w:val="16"/>
          <w:szCs w:val="16"/>
        </w:rPr>
        <w:t>f</w:t>
      </w:r>
    </w:p>
    <w:p w14:paraId="52CCD9E7" w14:textId="7618390C" w:rsidR="00DB6A48" w:rsidRDefault="0030667E" w:rsidP="00DB6A48">
      <w:pPr>
        <w:keepNext/>
      </w:pPr>
      <w:r>
        <w:rPr>
          <w:noProof/>
        </w:rPr>
        <w:drawing>
          <wp:inline distT="0" distB="0" distL="0" distR="0" wp14:anchorId="1A518A08" wp14:editId="2B141A6C">
            <wp:extent cx="5943600" cy="4735195"/>
            <wp:effectExtent l="19050" t="19050" r="19050" b="2730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5943600" cy="4735195"/>
                    </a:xfrm>
                    <a:prstGeom prst="rect">
                      <a:avLst/>
                    </a:prstGeom>
                    <a:ln>
                      <a:solidFill>
                        <a:schemeClr val="tx1"/>
                      </a:solidFill>
                    </a:ln>
                  </pic:spPr>
                </pic:pic>
              </a:graphicData>
            </a:graphic>
          </wp:inline>
        </w:drawing>
      </w:r>
    </w:p>
    <w:p w14:paraId="4A1C49D9" w14:textId="5A8366A7" w:rsidR="00DB6A48" w:rsidRDefault="00DB6A48" w:rsidP="00DB6A48">
      <w:pPr>
        <w:pStyle w:val="Caption"/>
        <w:rPr>
          <w:lang w:eastAsia="x-none"/>
          <w14:textOutline w14:w="9525" w14:cap="rnd" w14:cmpd="sng" w14:algn="ctr">
            <w14:solidFill>
              <w14:schemeClr w14:val="tx1"/>
            </w14:solidFill>
            <w14:prstDash w14:val="solid"/>
            <w14:bevel/>
          </w14:textOutline>
        </w:rPr>
      </w:pPr>
      <w:r>
        <w:t xml:space="preserve">Figure </w:t>
      </w:r>
      <w:fldSimple w:instr=" SEQ Figure \* ARABIC ">
        <w:r>
          <w:rPr>
            <w:noProof/>
          </w:rPr>
          <w:t>7</w:t>
        </w:r>
      </w:fldSimple>
      <w:r>
        <w:t xml:space="preserve"> - Percent of Fossil Fuels Production by Type</w:t>
      </w:r>
    </w:p>
    <w:p w14:paraId="7118C264" w14:textId="77777777" w:rsidR="00DB6A48" w:rsidRDefault="00DB6A48" w:rsidP="00DB6A48">
      <w:pPr>
        <w:pStyle w:val="Heading4"/>
      </w:pPr>
      <w:r>
        <w:t>Findings</w:t>
      </w:r>
    </w:p>
    <w:p w14:paraId="5DE66C30" w14:textId="35EA833C" w:rsidR="00DB6A48" w:rsidRPr="00DB6A48" w:rsidRDefault="00DB6A48" w:rsidP="00DB6A48">
      <w:pPr>
        <w:pStyle w:val="MyBody"/>
        <w:rPr>
          <w:lang w:val="en-US"/>
        </w:rPr>
      </w:pPr>
      <w:r>
        <w:rPr>
          <w:lang w:val="en-US"/>
        </w:rPr>
        <w:t xml:space="preserve">Fossil fuels used for power generation changed substantially over the time series.  Coal power generation decreased substantially since 2007 and is at its lowest point since the time series began.  Crude oil </w:t>
      </w:r>
      <w:r w:rsidR="00153C5A">
        <w:rPr>
          <w:noProof/>
          <w:lang w:val="en-US"/>
        </w:rPr>
        <w:t>energy</w:t>
      </w:r>
      <w:r>
        <w:rPr>
          <w:lang w:val="en-US"/>
        </w:rPr>
        <w:t xml:space="preserve"> </w:t>
      </w:r>
      <w:r w:rsidR="00153C5A">
        <w:rPr>
          <w:noProof/>
          <w:lang w:val="en-US"/>
        </w:rPr>
        <w:t>produc</w:t>
      </w:r>
      <w:r w:rsidRPr="00153C5A">
        <w:rPr>
          <w:noProof/>
          <w:lang w:val="en-US"/>
        </w:rPr>
        <w:t>tion</w:t>
      </w:r>
      <w:r>
        <w:rPr>
          <w:lang w:val="en-US"/>
        </w:rPr>
        <w:t xml:space="preserve"> was at its lowest point in 2008 bust has recovered as crude prices have fallen.  Natural gas generation remains on the </w:t>
      </w:r>
      <w:r w:rsidRPr="004A13B7">
        <w:rPr>
          <w:noProof/>
          <w:lang w:val="en-US"/>
        </w:rPr>
        <w:t>rise</w:t>
      </w:r>
      <w:r w:rsidR="004A13B7">
        <w:rPr>
          <w:noProof/>
          <w:lang w:val="en-US"/>
        </w:rPr>
        <w:t>,</w:t>
      </w:r>
      <w:r>
        <w:rPr>
          <w:lang w:val="en-US"/>
        </w:rPr>
        <w:t xml:space="preserve"> </w:t>
      </w:r>
      <w:r w:rsidRPr="004A13B7">
        <w:rPr>
          <w:noProof/>
          <w:lang w:val="en-US"/>
        </w:rPr>
        <w:t>but</w:t>
      </w:r>
      <w:r w:rsidR="004A13B7" w:rsidRPr="004A13B7">
        <w:rPr>
          <w:noProof/>
          <w:lang w:val="en-US"/>
        </w:rPr>
        <w:t xml:space="preserve"> historicall</w:t>
      </w:r>
      <w:r w:rsidR="004A13B7">
        <w:rPr>
          <w:noProof/>
          <w:lang w:val="en-US"/>
        </w:rPr>
        <w:t xml:space="preserve">y low oil prices </w:t>
      </w:r>
      <w:r w:rsidR="004A13B7" w:rsidRPr="004A13B7">
        <w:rPr>
          <w:noProof/>
          <w:lang w:val="en-US"/>
        </w:rPr>
        <w:t>threaten</w:t>
      </w:r>
      <w:r w:rsidR="004A13B7">
        <w:rPr>
          <w:noProof/>
          <w:lang w:val="en-US"/>
        </w:rPr>
        <w:t xml:space="preserve"> its continued growth</w:t>
      </w:r>
      <w:r w:rsidR="004A13B7" w:rsidRPr="004A13B7">
        <w:rPr>
          <w:noProof/>
          <w:vanish/>
          <w:sz w:val="16"/>
          <w:szCs w:val="16"/>
          <w:lang w:val="en-US"/>
        </w:rPr>
        <w:t>f</w:t>
      </w:r>
      <w:r>
        <w:rPr>
          <w:lang w:val="en-US"/>
        </w:rPr>
        <w:t>.</w:t>
      </w:r>
    </w:p>
    <w:p w14:paraId="6BD162FF" w14:textId="77777777" w:rsidR="00DB6A48" w:rsidRDefault="00DB6A48" w:rsidP="00DB6A48">
      <w:pPr>
        <w:pStyle w:val="Heading4"/>
      </w:pPr>
      <w:r>
        <w:t xml:space="preserve">Intent of Graph </w:t>
      </w:r>
    </w:p>
    <w:p w14:paraId="5ACFD09D" w14:textId="72D0EF0F" w:rsidR="00DB6A48" w:rsidRDefault="00DB6A48" w:rsidP="00DB6A48">
      <w:pPr>
        <w:pStyle w:val="MyBody"/>
        <w:rPr>
          <w:lang w:val="en-US"/>
        </w:rPr>
      </w:pPr>
      <w:r>
        <w:rPr>
          <w:lang w:val="en-US"/>
        </w:rPr>
        <w:t xml:space="preserve">This </w:t>
      </w:r>
      <w:r w:rsidRPr="00153C5A">
        <w:rPr>
          <w:noProof/>
          <w:lang w:val="en-US"/>
        </w:rPr>
        <w:t>graph</w:t>
      </w:r>
      <w:r>
        <w:rPr>
          <w:lang w:val="en-US"/>
        </w:rPr>
        <w:t xml:space="preserve"> shows the reader that fossil fuels now have natural gas centered at the core.  Annotations link events that may impact changes in production</w:t>
      </w:r>
      <w:r w:rsidR="004A13B7">
        <w:rPr>
          <w:lang w:val="en-US"/>
        </w:rPr>
        <w:t>.</w:t>
      </w:r>
      <w:r>
        <w:rPr>
          <w:lang w:val="en-US"/>
        </w:rPr>
        <w:t xml:space="preserve">  This </w:t>
      </w:r>
      <w:r w:rsidR="004A13B7" w:rsidRPr="004A13B7">
        <w:rPr>
          <w:noProof/>
          <w:lang w:val="en-US"/>
        </w:rPr>
        <w:t>visuali</w:t>
      </w:r>
      <w:r w:rsidR="004A13B7">
        <w:rPr>
          <w:noProof/>
          <w:lang w:val="en-US"/>
        </w:rPr>
        <w:t>zation</w:t>
      </w:r>
      <w:r>
        <w:rPr>
          <w:lang w:val="en-US"/>
        </w:rPr>
        <w:t xml:space="preserve"> investigates the timing of technological and economic changes on the selection of fossil fuels used in power generation.</w:t>
      </w:r>
    </w:p>
    <w:p w14:paraId="7182FA2A" w14:textId="77777777" w:rsidR="00DB6A48" w:rsidRDefault="00DB6A48" w:rsidP="00DB6A48">
      <w:pPr>
        <w:pStyle w:val="Heading4"/>
      </w:pPr>
      <w:r>
        <w:t xml:space="preserve">Design Selections – </w:t>
      </w:r>
    </w:p>
    <w:p w14:paraId="48C40303" w14:textId="66E2DEB5" w:rsidR="00DB6A48" w:rsidRDefault="00DB6A48" w:rsidP="00DB6A48">
      <w:pPr>
        <w:pStyle w:val="MyBody"/>
        <w:numPr>
          <w:ilvl w:val="0"/>
          <w:numId w:val="5"/>
        </w:numPr>
      </w:pPr>
      <w:r>
        <w:rPr>
          <w:lang w:val="en-US"/>
        </w:rPr>
        <w:t>Lines show time-series information.</w:t>
      </w:r>
    </w:p>
    <w:p w14:paraId="22B45758" w14:textId="27E44F26" w:rsidR="00DB6A48" w:rsidRPr="00E70752" w:rsidRDefault="00DB6A48" w:rsidP="00DB6A48">
      <w:pPr>
        <w:pStyle w:val="MyBody"/>
        <w:numPr>
          <w:ilvl w:val="0"/>
          <w:numId w:val="5"/>
        </w:numPr>
      </w:pPr>
      <w:r>
        <w:rPr>
          <w:lang w:val="en-US"/>
        </w:rPr>
        <w:t>High contrast emphasizes Crude Oil power generation as this is critical to the story of technological and economic impact on the oil industry.</w:t>
      </w:r>
    </w:p>
    <w:p w14:paraId="7B8788DB" w14:textId="3B9ED5BC" w:rsidR="00DB6A48" w:rsidRPr="00DB6A48" w:rsidRDefault="00DB6A48" w:rsidP="00DB6A48">
      <w:pPr>
        <w:pStyle w:val="MyBody"/>
        <w:numPr>
          <w:ilvl w:val="0"/>
          <w:numId w:val="5"/>
        </w:numPr>
      </w:pPr>
      <w:r>
        <w:rPr>
          <w:lang w:val="en-US"/>
        </w:rPr>
        <w:t xml:space="preserve">The graphic series </w:t>
      </w:r>
      <w:r>
        <w:rPr>
          <w:lang w:val="en-US"/>
        </w:rPr>
        <w:t>continues</w:t>
      </w:r>
      <w:r>
        <w:rPr>
          <w:lang w:val="en-US"/>
        </w:rPr>
        <w:t xml:space="preserve"> the use of the colorblind palette to avoid confusion for colorblind users.</w:t>
      </w:r>
    </w:p>
    <w:p w14:paraId="577A6BB5" w14:textId="67DCF192" w:rsidR="00DB6A48" w:rsidRPr="00DB6A48" w:rsidRDefault="00DB6A48" w:rsidP="00DB6A48">
      <w:pPr>
        <w:pStyle w:val="MyBody"/>
        <w:numPr>
          <w:ilvl w:val="0"/>
          <w:numId w:val="5"/>
        </w:numPr>
      </w:pPr>
      <w:r>
        <w:rPr>
          <w:lang w:val="en-US"/>
        </w:rPr>
        <w:t>Text boxes and lines provide linkage from the annotations to key events.</w:t>
      </w:r>
    </w:p>
    <w:p w14:paraId="222C66C0" w14:textId="24E3A86A" w:rsidR="00DB6A48" w:rsidRPr="00DB6A48" w:rsidRDefault="00DB6A48" w:rsidP="00DB6A48">
      <w:pPr>
        <w:pStyle w:val="MyBody"/>
        <w:numPr>
          <w:ilvl w:val="0"/>
          <w:numId w:val="5"/>
        </w:numPr>
      </w:pPr>
      <w:r>
        <w:rPr>
          <w:lang w:val="en-US"/>
        </w:rPr>
        <w:lastRenderedPageBreak/>
        <w:t xml:space="preserve">Selective application of labels </w:t>
      </w:r>
      <w:r w:rsidR="00153C5A" w:rsidRPr="00153C5A">
        <w:rPr>
          <w:noProof/>
          <w:lang w:val="en-US"/>
        </w:rPr>
        <w:t>keep</w:t>
      </w:r>
      <w:r w:rsidRPr="00153C5A">
        <w:rPr>
          <w:noProof/>
          <w:lang w:val="en-US"/>
        </w:rPr>
        <w:t>s</w:t>
      </w:r>
      <w:r>
        <w:rPr>
          <w:lang w:val="en-US"/>
        </w:rPr>
        <w:t xml:space="preserve"> the lines clear and easy to understand.</w:t>
      </w:r>
    </w:p>
    <w:p w14:paraId="526BF5A5" w14:textId="2337993E" w:rsidR="00DB6A48" w:rsidRDefault="00DB6A48" w:rsidP="00DB6A48">
      <w:pPr>
        <w:rPr>
          <w:lang w:eastAsia="x-none"/>
          <w14:textOutline w14:w="9525" w14:cap="rnd" w14:cmpd="sng" w14:algn="ctr">
            <w14:solidFill>
              <w14:schemeClr w14:val="tx1"/>
            </w14:solidFill>
            <w14:prstDash w14:val="solid"/>
            <w14:bevel/>
          </w14:textOutline>
        </w:rPr>
      </w:pPr>
    </w:p>
    <w:p w14:paraId="26FEA0B7" w14:textId="15088EBE" w:rsidR="00DB6A48" w:rsidRDefault="00DB6A48" w:rsidP="00DB6A48">
      <w:pPr>
        <w:rPr>
          <w:lang w:eastAsia="x-none"/>
          <w14:textOutline w14:w="9525" w14:cap="rnd" w14:cmpd="sng" w14:algn="ctr">
            <w14:solidFill>
              <w14:schemeClr w14:val="tx1"/>
            </w14:solidFill>
            <w14:prstDash w14:val="solid"/>
            <w14:bevel/>
          </w14:textOutline>
        </w:rPr>
      </w:pPr>
    </w:p>
    <w:p w14:paraId="0458C427" w14:textId="3EC70E3F" w:rsidR="00DB6A48" w:rsidRDefault="00DB6A48">
      <w:pPr>
        <w:rPr>
          <w:lang w:eastAsia="x-none"/>
          <w14:textOutline w14:w="9525" w14:cap="rnd" w14:cmpd="sng" w14:algn="ctr">
            <w14:solidFill>
              <w14:schemeClr w14:val="tx1"/>
            </w14:solidFill>
            <w14:prstDash w14:val="solid"/>
            <w14:bevel/>
          </w14:textOutline>
        </w:rPr>
      </w:pPr>
      <w:r>
        <w:rPr>
          <w:lang w:eastAsia="x-none"/>
          <w14:textOutline w14:w="9525" w14:cap="rnd" w14:cmpd="sng" w14:algn="ctr">
            <w14:solidFill>
              <w14:schemeClr w14:val="tx1"/>
            </w14:solidFill>
            <w14:prstDash w14:val="solid"/>
            <w14:bevel/>
          </w14:textOutline>
        </w:rPr>
        <w:br w:type="page"/>
      </w:r>
    </w:p>
    <w:p w14:paraId="757A52F0" w14:textId="298181FD" w:rsidR="00DB6A48" w:rsidRDefault="00DB6A48" w:rsidP="00DB6A48">
      <w:pPr>
        <w:pStyle w:val="Heading3"/>
      </w:pPr>
      <w:r>
        <w:lastRenderedPageBreak/>
        <w:t>Average Monthly Production by Type (Trillion BTUs)</w:t>
      </w:r>
    </w:p>
    <w:p w14:paraId="68648579" w14:textId="664EC4F8" w:rsidR="00DB6A48" w:rsidRDefault="00DB6A48" w:rsidP="00DB6A48"/>
    <w:p w14:paraId="78820A46" w14:textId="4424465D" w:rsidR="00DB6A48" w:rsidRDefault="00153C5A" w:rsidP="00DB6A48">
      <w:pPr>
        <w:keepNext/>
      </w:pPr>
      <w:r>
        <w:rPr>
          <w:noProof/>
        </w:rPr>
        <w:drawing>
          <wp:inline distT="0" distB="0" distL="0" distR="0" wp14:anchorId="08494AA7" wp14:editId="64C34431">
            <wp:extent cx="5943600" cy="4735195"/>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stretch>
                      <a:fillRect/>
                    </a:stretch>
                  </pic:blipFill>
                  <pic:spPr>
                    <a:xfrm>
                      <a:off x="0" y="0"/>
                      <a:ext cx="5943600" cy="4735195"/>
                    </a:xfrm>
                    <a:prstGeom prst="rect">
                      <a:avLst/>
                    </a:prstGeom>
                  </pic:spPr>
                </pic:pic>
              </a:graphicData>
            </a:graphic>
          </wp:inline>
        </w:drawing>
      </w:r>
    </w:p>
    <w:p w14:paraId="76E74ABD" w14:textId="215697FB" w:rsidR="00DB6A48" w:rsidRPr="00DB6A48" w:rsidRDefault="00DB6A48" w:rsidP="00DB6A48">
      <w:pPr>
        <w:pStyle w:val="Caption"/>
      </w:pPr>
      <w:r>
        <w:t xml:space="preserve">Figure </w:t>
      </w:r>
      <w:fldSimple w:instr=" SEQ Figure \* ARABIC ">
        <w:r>
          <w:rPr>
            <w:noProof/>
          </w:rPr>
          <w:t>8</w:t>
        </w:r>
      </w:fldSimple>
      <w:r>
        <w:t xml:space="preserve"> - Average Monthly Production by Type</w:t>
      </w:r>
    </w:p>
    <w:p w14:paraId="52609CE7" w14:textId="77777777" w:rsidR="00DB6A48" w:rsidRDefault="00DB6A48" w:rsidP="00DB6A48">
      <w:pPr>
        <w:pStyle w:val="Heading4"/>
      </w:pPr>
      <w:r>
        <w:t>Findings</w:t>
      </w:r>
    </w:p>
    <w:p w14:paraId="5F702913" w14:textId="48AE577B" w:rsidR="00DB6A48" w:rsidRPr="00DB6A48" w:rsidRDefault="00DB6A48" w:rsidP="00DB6A48">
      <w:pPr>
        <w:pStyle w:val="MyBody"/>
        <w:rPr>
          <w:lang w:val="en-US"/>
        </w:rPr>
      </w:pPr>
      <w:r>
        <w:rPr>
          <w:lang w:val="en-US"/>
        </w:rPr>
        <w:t xml:space="preserve">When considering </w:t>
      </w:r>
      <w:r w:rsidR="00153C5A" w:rsidRPr="00153C5A">
        <w:rPr>
          <w:noProof/>
          <w:lang w:val="en-US"/>
        </w:rPr>
        <w:t xml:space="preserve">the </w:t>
      </w:r>
      <w:r w:rsidR="00153C5A">
        <w:rPr>
          <w:noProof/>
          <w:lang w:val="en-US"/>
        </w:rPr>
        <w:t>generation</w:t>
      </w:r>
      <w:r>
        <w:rPr>
          <w:lang w:val="en-US"/>
        </w:rPr>
        <w:t xml:space="preserve"> of </w:t>
      </w:r>
      <w:r w:rsidR="00153C5A">
        <w:rPr>
          <w:lang w:val="en-US"/>
        </w:rPr>
        <w:t>energy</w:t>
      </w:r>
      <w:r>
        <w:rPr>
          <w:lang w:val="en-US"/>
        </w:rPr>
        <w:t xml:space="preserve"> </w:t>
      </w:r>
      <w:r w:rsidRPr="00153C5A">
        <w:rPr>
          <w:noProof/>
          <w:lang w:val="en-US"/>
        </w:rPr>
        <w:t>s</w:t>
      </w:r>
      <w:r w:rsidR="00153C5A" w:rsidRPr="00153C5A">
        <w:rPr>
          <w:noProof/>
          <w:lang w:val="en-US"/>
        </w:rPr>
        <w:t>ince</w:t>
      </w:r>
      <w:r>
        <w:rPr>
          <w:lang w:val="en-US"/>
        </w:rPr>
        <w:t xml:space="preserve"> the seventies, fossil fuels have been the workhorse</w:t>
      </w:r>
      <w:r>
        <w:rPr>
          <w:lang w:val="en-US"/>
        </w:rPr>
        <w:t>.</w:t>
      </w:r>
      <w:r>
        <w:rPr>
          <w:lang w:val="en-US"/>
        </w:rPr>
        <w:t xml:space="preserve">  </w:t>
      </w:r>
      <w:r w:rsidR="00153C5A" w:rsidRPr="00153C5A">
        <w:rPr>
          <w:noProof/>
          <w:lang w:val="en-US"/>
        </w:rPr>
        <w:t>Mo</w:t>
      </w:r>
      <w:r w:rsidR="00153C5A">
        <w:rPr>
          <w:noProof/>
          <w:lang w:val="en-US"/>
        </w:rPr>
        <w:t>reover,</w:t>
      </w:r>
      <w:r w:rsidRPr="00153C5A">
        <w:rPr>
          <w:noProof/>
          <w:lang w:val="en-US"/>
        </w:rPr>
        <w:t xml:space="preserve"> while</w:t>
      </w:r>
      <w:r>
        <w:rPr>
          <w:lang w:val="en-US"/>
        </w:rPr>
        <w:t xml:space="preserve"> fossil fuel continues to serve as the basis for </w:t>
      </w:r>
      <w:r w:rsidRPr="00153C5A">
        <w:rPr>
          <w:noProof/>
          <w:lang w:val="en-US"/>
        </w:rPr>
        <w:t>power</w:t>
      </w:r>
      <w:r>
        <w:rPr>
          <w:lang w:val="en-US"/>
        </w:rPr>
        <w:t xml:space="preserve"> generation for the foreseeable future, Natural Gas appears to be growing faster than Crude Oil and Coal. </w:t>
      </w:r>
    </w:p>
    <w:p w14:paraId="6CE4B1F7" w14:textId="77777777" w:rsidR="00DB6A48" w:rsidRDefault="00DB6A48" w:rsidP="00DB6A48">
      <w:pPr>
        <w:pStyle w:val="Heading4"/>
      </w:pPr>
      <w:r>
        <w:t xml:space="preserve">Intent of Graph </w:t>
      </w:r>
    </w:p>
    <w:p w14:paraId="1C8C386F" w14:textId="15AA3056" w:rsidR="00DB6A48" w:rsidRDefault="00DB6A48" w:rsidP="00DB6A48">
      <w:pPr>
        <w:pStyle w:val="MyBody"/>
        <w:rPr>
          <w:lang w:val="en-US"/>
        </w:rPr>
      </w:pPr>
      <w:r w:rsidRPr="004A13B7">
        <w:rPr>
          <w:noProof/>
          <w:lang w:val="en-US"/>
        </w:rPr>
        <w:t>This</w:t>
      </w:r>
      <w:r w:rsidR="004A13B7">
        <w:rPr>
          <w:noProof/>
          <w:vanish/>
          <w:sz w:val="16"/>
          <w:szCs w:val="16"/>
          <w:lang w:val="en-US"/>
        </w:rPr>
        <w:t>f</w:t>
      </w:r>
      <w:r w:rsidR="004A13B7">
        <w:rPr>
          <w:lang w:val="en-US"/>
        </w:rPr>
        <w:t xml:space="preserve"> visualization </w:t>
      </w:r>
      <w:r>
        <w:rPr>
          <w:lang w:val="en-US"/>
        </w:rPr>
        <w:t>quickly informs the reader of the current state of power generation in the United States.  It provides a simple point of closure to encapsulate the information defined over the life of the production.</w:t>
      </w:r>
    </w:p>
    <w:p w14:paraId="4A5DBCC9" w14:textId="77777777" w:rsidR="00DB6A48" w:rsidRDefault="00DB6A48" w:rsidP="00DB6A48">
      <w:pPr>
        <w:pStyle w:val="Heading4"/>
      </w:pPr>
      <w:r>
        <w:t xml:space="preserve">Design Selections – </w:t>
      </w:r>
    </w:p>
    <w:p w14:paraId="09204948" w14:textId="74C96821" w:rsidR="00DB6A48" w:rsidRDefault="00DB6A48" w:rsidP="00DB6A48">
      <w:pPr>
        <w:pStyle w:val="MyBody"/>
        <w:numPr>
          <w:ilvl w:val="0"/>
          <w:numId w:val="5"/>
        </w:numPr>
      </w:pPr>
      <w:r>
        <w:rPr>
          <w:lang w:val="en-US"/>
        </w:rPr>
        <w:t>Comparative circles show</w:t>
      </w:r>
      <w:r w:rsidR="00153C5A">
        <w:rPr>
          <w:lang w:val="en-US"/>
        </w:rPr>
        <w:t xml:space="preserve"> the</w:t>
      </w:r>
      <w:r>
        <w:rPr>
          <w:lang w:val="en-US"/>
        </w:rPr>
        <w:t xml:space="preserve"> </w:t>
      </w:r>
      <w:r w:rsidRPr="00153C5A">
        <w:rPr>
          <w:noProof/>
          <w:lang w:val="en-US"/>
        </w:rPr>
        <w:t>ranking</w:t>
      </w:r>
      <w:r>
        <w:rPr>
          <w:lang w:val="en-US"/>
        </w:rPr>
        <w:t xml:space="preserve"> of energy types</w:t>
      </w:r>
      <w:r>
        <w:rPr>
          <w:lang w:val="en-US"/>
        </w:rPr>
        <w:t>.</w:t>
      </w:r>
    </w:p>
    <w:p w14:paraId="36A815F7" w14:textId="6BC7088F" w:rsidR="00DB6A48" w:rsidRPr="00E70752" w:rsidRDefault="00DB6A48" w:rsidP="00DB6A48">
      <w:pPr>
        <w:pStyle w:val="MyBody"/>
        <w:numPr>
          <w:ilvl w:val="0"/>
          <w:numId w:val="5"/>
        </w:numPr>
      </w:pPr>
      <w:r>
        <w:rPr>
          <w:lang w:val="en-US"/>
        </w:rPr>
        <w:t xml:space="preserve">Labels on all but the smallest two classes of production </w:t>
      </w:r>
      <w:r w:rsidRPr="00153C5A">
        <w:rPr>
          <w:noProof/>
          <w:lang w:val="en-US"/>
        </w:rPr>
        <w:t>reduce</w:t>
      </w:r>
      <w:r>
        <w:rPr>
          <w:lang w:val="en-US"/>
        </w:rPr>
        <w:t xml:space="preserve"> unnecessary noise within the </w:t>
      </w:r>
      <w:r w:rsidR="00153C5A">
        <w:rPr>
          <w:noProof/>
          <w:lang w:val="en-US"/>
        </w:rPr>
        <w:t>categories</w:t>
      </w:r>
      <w:r>
        <w:rPr>
          <w:lang w:val="en-US"/>
        </w:rPr>
        <w:t xml:space="preserve"> of power use</w:t>
      </w:r>
      <w:r>
        <w:rPr>
          <w:lang w:val="en-US"/>
        </w:rPr>
        <w:t>.</w:t>
      </w:r>
    </w:p>
    <w:p w14:paraId="695F7128" w14:textId="4A10668D" w:rsidR="00153C5A" w:rsidRDefault="00DB6A48" w:rsidP="00DB6A48">
      <w:pPr>
        <w:pStyle w:val="MyBody"/>
        <w:numPr>
          <w:ilvl w:val="0"/>
          <w:numId w:val="5"/>
        </w:numPr>
        <w:rPr>
          <w:lang w:val="en-US"/>
        </w:rPr>
      </w:pPr>
      <w:r>
        <w:rPr>
          <w:lang w:val="en-US"/>
        </w:rPr>
        <w:t>The graphic series continues the use of the colorblind palette to avoid confusion for colorblind users.</w:t>
      </w:r>
    </w:p>
    <w:p w14:paraId="723B0829" w14:textId="77777777" w:rsidR="00153C5A" w:rsidRDefault="00153C5A">
      <w:pPr>
        <w:rPr>
          <w:rFonts w:ascii="Times New Roman" w:eastAsia="SimSun" w:hAnsi="Times New Roman" w:cs="Times New Roman"/>
          <w:spacing w:val="-1"/>
          <w:sz w:val="20"/>
          <w:szCs w:val="20"/>
          <w:lang w:eastAsia="x-none"/>
        </w:rPr>
      </w:pPr>
      <w:r>
        <w:br w:type="page"/>
      </w:r>
    </w:p>
    <w:p w14:paraId="7818CD53" w14:textId="795D9BE1" w:rsidR="00153C5A" w:rsidRPr="00153C5A" w:rsidRDefault="00153C5A" w:rsidP="00153C5A">
      <w:pPr>
        <w:pStyle w:val="Heading1"/>
      </w:pPr>
      <w:r w:rsidRPr="00153C5A">
        <w:lastRenderedPageBreak/>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64"/>
      </w:tblGrid>
      <w:tr w:rsidR="004C265E" w14:paraId="6906D516" w14:textId="77777777" w:rsidTr="004C265E">
        <w:tc>
          <w:tcPr>
            <w:tcW w:w="396" w:type="dxa"/>
          </w:tcPr>
          <w:p w14:paraId="485E1748" w14:textId="463F385B"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Pr>
                <w:rFonts w:asciiTheme="minorHAnsi" w:eastAsiaTheme="minorHAnsi" w:hAnsiTheme="minorHAnsi" w:cstheme="minorBidi"/>
                <w:spacing w:val="0"/>
                <w:sz w:val="16"/>
                <w:szCs w:val="16"/>
                <w:lang w:val="en-US" w:eastAsia="en-US"/>
              </w:rPr>
              <w:t>[1]</w:t>
            </w:r>
            <w:r w:rsidR="004A13B7" w:rsidRPr="004C265E">
              <w:rPr>
                <w:noProof/>
                <w:vanish/>
                <w:sz w:val="16"/>
                <w:szCs w:val="16"/>
                <w:lang w:val="en-US"/>
              </w:rPr>
              <w:t>f</w:t>
            </w:r>
          </w:p>
        </w:tc>
        <w:tc>
          <w:tcPr>
            <w:tcW w:w="8964" w:type="dxa"/>
          </w:tcPr>
          <w:p w14:paraId="5CB00D9B" w14:textId="49C2A131" w:rsidR="004C265E" w:rsidRPr="004C265E" w:rsidRDefault="004C265E" w:rsidP="00BA0B32">
            <w:pPr>
              <w:pStyle w:val="ListStyle"/>
              <w:framePr w:hSpace="0" w:wrap="auto" w:vAnchor="margin" w:hAnchor="text" w:xAlign="left" w:yAlign="inline"/>
              <w:rPr>
                <w:sz w:val="16"/>
                <w:szCs w:val="16"/>
                <w:lang w:val="en-US"/>
              </w:rPr>
            </w:pPr>
            <w:r w:rsidRPr="004A13B7">
              <w:rPr>
                <w:noProof/>
                <w:sz w:val="16"/>
                <w:szCs w:val="16"/>
              </w:rPr>
              <w:t>U.S Energy Information Administration, Total Energy, Data,</w:t>
            </w:r>
            <w:r w:rsidRPr="004C265E">
              <w:rPr>
                <w:sz w:val="16"/>
                <w:szCs w:val="16"/>
              </w:rPr>
              <w:t xml:space="preserve"> Monthly Energy Review, Data Categories: Energy consumption by sector, Topic: 2.1 Energy consumption by sector CSV file.  October 27, 2016. [online] Available:  </w:t>
            </w:r>
            <w:hyperlink r:id="rId21" w:history="1">
              <w:r w:rsidRPr="004C265E">
                <w:rPr>
                  <w:rStyle w:val="Hyperlink"/>
                  <w:sz w:val="16"/>
                  <w:szCs w:val="16"/>
                </w:rPr>
                <w:t>https://www.eia.gov/totalenergy/data/monthly/#appendices</w:t>
              </w:r>
            </w:hyperlink>
            <w:r w:rsidRPr="004C265E">
              <w:rPr>
                <w:sz w:val="16"/>
                <w:szCs w:val="16"/>
                <w:lang w:val="en-US"/>
              </w:rPr>
              <w:t xml:space="preserve"> </w:t>
            </w:r>
            <w:r w:rsidRPr="004C265E">
              <w:rPr>
                <w:noProof/>
                <w:sz w:val="16"/>
                <w:szCs w:val="16"/>
                <w:lang w:val="en-US"/>
              </w:rPr>
              <w:t>Retrieved</w:t>
            </w:r>
            <w:r w:rsidRPr="004C265E">
              <w:rPr>
                <w:sz w:val="16"/>
                <w:szCs w:val="16"/>
                <w:lang w:val="en-US"/>
              </w:rPr>
              <w:t xml:space="preserve"> MER_T02_01.csv file </w:t>
            </w:r>
            <w:r w:rsidRPr="004A13B7">
              <w:rPr>
                <w:noProof/>
                <w:sz w:val="16"/>
                <w:szCs w:val="16"/>
                <w:lang w:val="en-US"/>
              </w:rPr>
              <w:t>on Friday, November 11, 2016 at 11:2</w:t>
            </w:r>
            <w:r w:rsidR="004A13B7">
              <w:rPr>
                <w:noProof/>
                <w:sz w:val="16"/>
                <w:szCs w:val="16"/>
                <w:lang w:val="en-US"/>
              </w:rPr>
              <w:t>5</w:t>
            </w:r>
            <w:r w:rsidRPr="004C265E">
              <w:rPr>
                <w:sz w:val="16"/>
                <w:szCs w:val="16"/>
                <w:lang w:val="en-US"/>
              </w:rPr>
              <w:t xml:space="preserve"> PM</w:t>
            </w:r>
          </w:p>
        </w:tc>
      </w:tr>
      <w:tr w:rsidR="004C265E" w14:paraId="6F8022D5" w14:textId="77777777" w:rsidTr="004C265E">
        <w:tc>
          <w:tcPr>
            <w:tcW w:w="396" w:type="dxa"/>
          </w:tcPr>
          <w:p w14:paraId="4629AEC5" w14:textId="3AC0D0B5"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Pr>
                <w:rFonts w:asciiTheme="minorHAnsi" w:eastAsiaTheme="minorHAnsi" w:hAnsiTheme="minorHAnsi" w:cstheme="minorBidi"/>
                <w:spacing w:val="0"/>
                <w:sz w:val="16"/>
                <w:szCs w:val="16"/>
                <w:lang w:val="en-US" w:eastAsia="en-US"/>
              </w:rPr>
              <w:t>[2]</w:t>
            </w:r>
          </w:p>
        </w:tc>
        <w:tc>
          <w:tcPr>
            <w:tcW w:w="8964" w:type="dxa"/>
          </w:tcPr>
          <w:p w14:paraId="4822861F" w14:textId="1A62508F"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sidRPr="004C265E">
              <w:rPr>
                <w:sz w:val="16"/>
                <w:szCs w:val="16"/>
              </w:rPr>
              <w:t>U.S. Energy Information Administration, Total Energy, Data, Monthly Energy Review, Data Categories: Energy consumption by sector. Topic: C1 Population, U.S. gross domestic product, and U.S. gross output CSV file. October 27, 2016. [Online] Available</w:t>
            </w:r>
            <w:r>
              <w:rPr>
                <w:sz w:val="16"/>
                <w:szCs w:val="16"/>
                <w:lang w:val="en-US"/>
              </w:rPr>
              <w:t xml:space="preserve"> </w:t>
            </w:r>
            <w:hyperlink r:id="rId22" w:anchor="appendices" w:history="1">
              <w:r w:rsidRPr="004C265E">
                <w:rPr>
                  <w:rStyle w:val="Hyperlink"/>
                  <w:sz w:val="16"/>
                  <w:szCs w:val="16"/>
                </w:rPr>
                <w:t>https://www.eia.gov/totalenergy/data/monthly/#appendices</w:t>
              </w:r>
            </w:hyperlink>
            <w:r>
              <w:rPr>
                <w:rStyle w:val="Hyperlink"/>
                <w:sz w:val="16"/>
                <w:szCs w:val="16"/>
                <w:lang w:val="en-US"/>
              </w:rPr>
              <w:t xml:space="preserve"> </w:t>
            </w:r>
            <w:r w:rsidRPr="004C265E">
              <w:rPr>
                <w:sz w:val="16"/>
                <w:szCs w:val="16"/>
              </w:rPr>
              <w:t>Retrieved MER_TC1.</w:t>
            </w:r>
            <w:r w:rsidR="004A13B7">
              <w:rPr>
                <w:noProof/>
                <w:sz w:val="16"/>
                <w:szCs w:val="16"/>
              </w:rPr>
              <w:t>CSV</w:t>
            </w:r>
            <w:r w:rsidRPr="004C265E">
              <w:rPr>
                <w:sz w:val="16"/>
                <w:szCs w:val="16"/>
              </w:rPr>
              <w:t xml:space="preserve"> file on Friday, November 11, </w:t>
            </w:r>
            <w:r w:rsidRPr="004A13B7">
              <w:rPr>
                <w:noProof/>
                <w:sz w:val="16"/>
                <w:szCs w:val="16"/>
              </w:rPr>
              <w:t>2016</w:t>
            </w:r>
            <w:r w:rsidR="004A13B7">
              <w:rPr>
                <w:noProof/>
                <w:sz w:val="16"/>
                <w:szCs w:val="16"/>
              </w:rPr>
              <w:t>,</w:t>
            </w:r>
            <w:r w:rsidRPr="004C265E">
              <w:rPr>
                <w:sz w:val="16"/>
                <w:szCs w:val="16"/>
              </w:rPr>
              <w:t xml:space="preserve"> at </w:t>
            </w:r>
            <w:r w:rsidRPr="004A13B7">
              <w:rPr>
                <w:noProof/>
                <w:sz w:val="16"/>
                <w:szCs w:val="16"/>
              </w:rPr>
              <w:t>11:49</w:t>
            </w:r>
            <w:r w:rsidR="004A13B7">
              <w:rPr>
                <w:noProof/>
                <w:sz w:val="16"/>
                <w:szCs w:val="16"/>
              </w:rPr>
              <w:t xml:space="preserve"> </w:t>
            </w:r>
            <w:r w:rsidRPr="004A13B7">
              <w:rPr>
                <w:noProof/>
                <w:sz w:val="16"/>
                <w:szCs w:val="16"/>
              </w:rPr>
              <w:t>PM</w:t>
            </w:r>
            <w:r w:rsidRPr="004C265E">
              <w:rPr>
                <w:sz w:val="16"/>
                <w:szCs w:val="16"/>
              </w:rPr>
              <w:t xml:space="preserve"> </w:t>
            </w:r>
          </w:p>
        </w:tc>
      </w:tr>
      <w:tr w:rsidR="004C265E" w14:paraId="47846133" w14:textId="77777777" w:rsidTr="004C265E">
        <w:tc>
          <w:tcPr>
            <w:tcW w:w="396" w:type="dxa"/>
          </w:tcPr>
          <w:p w14:paraId="21C541D6" w14:textId="0B78CC45"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Pr>
                <w:rFonts w:asciiTheme="minorHAnsi" w:eastAsiaTheme="minorHAnsi" w:hAnsiTheme="minorHAnsi" w:cstheme="minorBidi"/>
                <w:spacing w:val="0"/>
                <w:sz w:val="16"/>
                <w:szCs w:val="16"/>
                <w:lang w:val="en-US" w:eastAsia="en-US"/>
              </w:rPr>
              <w:t>[3]</w:t>
            </w:r>
          </w:p>
        </w:tc>
        <w:tc>
          <w:tcPr>
            <w:tcW w:w="8964" w:type="dxa"/>
          </w:tcPr>
          <w:p w14:paraId="277B7D58" w14:textId="7483C8E7" w:rsidR="004C265E" w:rsidRPr="004C265E" w:rsidRDefault="004C265E" w:rsidP="004C265E">
            <w:pPr>
              <w:pStyle w:val="ListStyle"/>
              <w:framePr w:hSpace="0" w:wrap="auto" w:vAnchor="margin" w:hAnchor="text" w:xAlign="left" w:yAlign="inline"/>
              <w:rPr>
                <w:noProof/>
                <w:sz w:val="16"/>
                <w:szCs w:val="16"/>
              </w:rPr>
            </w:pPr>
            <w:r w:rsidRPr="004C265E">
              <w:rPr>
                <w:sz w:val="16"/>
                <w:szCs w:val="16"/>
              </w:rPr>
              <w:t>U.S. Energy Information Administration, Beta, Total Energy, Data, Change Data Category: 1. Energy Overview, Change Table: Table 1.1 Primary Energy Overview, October 27, 2016. [Online] Available</w:t>
            </w:r>
            <w:r>
              <w:rPr>
                <w:sz w:val="16"/>
                <w:szCs w:val="16"/>
                <w:lang w:val="en-US"/>
              </w:rPr>
              <w:t xml:space="preserve">  </w:t>
            </w:r>
            <w:hyperlink r:id="rId23" w:history="1">
              <w:r w:rsidRPr="004C265E">
                <w:rPr>
                  <w:rStyle w:val="Hyperlink"/>
                  <w:sz w:val="16"/>
                  <w:szCs w:val="16"/>
                </w:rPr>
                <w:t>https://www.eia.gov/beta/MER/</w:t>
              </w:r>
            </w:hyperlink>
            <w:r w:rsidRPr="004C265E">
              <w:rPr>
                <w:sz w:val="16"/>
                <w:szCs w:val="16"/>
              </w:rPr>
              <w:t xml:space="preserve"> Retrieved CSV file on Friday, November 11, </w:t>
            </w:r>
            <w:r w:rsidRPr="004A13B7">
              <w:rPr>
                <w:noProof/>
                <w:sz w:val="16"/>
                <w:szCs w:val="16"/>
              </w:rPr>
              <w:t>2016</w:t>
            </w:r>
            <w:r w:rsidR="004A13B7">
              <w:rPr>
                <w:noProof/>
                <w:sz w:val="16"/>
                <w:szCs w:val="16"/>
              </w:rPr>
              <w:t>,</w:t>
            </w:r>
            <w:r w:rsidRPr="004C265E">
              <w:rPr>
                <w:sz w:val="16"/>
                <w:szCs w:val="16"/>
              </w:rPr>
              <w:t xml:space="preserve"> at </w:t>
            </w:r>
            <w:r w:rsidRPr="004A13B7">
              <w:rPr>
                <w:noProof/>
                <w:sz w:val="16"/>
                <w:szCs w:val="16"/>
              </w:rPr>
              <w:t>11:29</w:t>
            </w:r>
            <w:r w:rsidR="004A13B7">
              <w:rPr>
                <w:noProof/>
                <w:sz w:val="16"/>
                <w:szCs w:val="16"/>
              </w:rPr>
              <w:t xml:space="preserve"> </w:t>
            </w:r>
            <w:r w:rsidRPr="004A13B7">
              <w:rPr>
                <w:noProof/>
                <w:sz w:val="16"/>
                <w:szCs w:val="16"/>
              </w:rPr>
              <w:t>PM</w:t>
            </w:r>
          </w:p>
        </w:tc>
      </w:tr>
      <w:tr w:rsidR="004C265E" w14:paraId="030491FF" w14:textId="77777777" w:rsidTr="004C265E">
        <w:tc>
          <w:tcPr>
            <w:tcW w:w="396" w:type="dxa"/>
          </w:tcPr>
          <w:p w14:paraId="3C91BF43" w14:textId="57F82FC2"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Pr>
                <w:rFonts w:asciiTheme="minorHAnsi" w:eastAsiaTheme="minorHAnsi" w:hAnsiTheme="minorHAnsi" w:cstheme="minorBidi"/>
                <w:spacing w:val="0"/>
                <w:sz w:val="16"/>
                <w:szCs w:val="16"/>
                <w:lang w:val="en-US" w:eastAsia="en-US"/>
              </w:rPr>
              <w:t>[4]</w:t>
            </w:r>
          </w:p>
        </w:tc>
        <w:tc>
          <w:tcPr>
            <w:tcW w:w="8964" w:type="dxa"/>
          </w:tcPr>
          <w:p w14:paraId="5B81EE1B" w14:textId="77777777" w:rsidR="004C265E" w:rsidRDefault="004C265E" w:rsidP="004C265E">
            <w:pPr>
              <w:shd w:val="clear" w:color="auto" w:fill="E6E6E6"/>
              <w:spacing w:line="240" w:lineRule="auto"/>
              <w:rPr>
                <w:rFonts w:ascii="Times New Roman" w:eastAsia="Times New Roman" w:hAnsi="Times New Roman" w:cs="Times New Roman"/>
                <w:color w:val="111111"/>
                <w:sz w:val="16"/>
                <w:szCs w:val="16"/>
                <w:bdr w:val="none" w:sz="0" w:space="0" w:color="auto" w:frame="1"/>
              </w:rPr>
            </w:pPr>
            <w:r w:rsidRPr="004C265E">
              <w:rPr>
                <w:rFonts w:ascii="Times New Roman" w:eastAsia="Times New Roman" w:hAnsi="Times New Roman" w:cs="Times New Roman"/>
                <w:color w:val="111111"/>
                <w:sz w:val="16"/>
                <w:szCs w:val="16"/>
                <w:bdr w:val="none" w:sz="0" w:space="0" w:color="auto" w:frame="1"/>
              </w:rPr>
              <w:t>"The Great Recession," in </w:t>
            </w:r>
            <w:r w:rsidRPr="004C265E">
              <w:rPr>
                <w:rFonts w:ascii="Times New Roman" w:eastAsia="Times New Roman" w:hAnsi="Times New Roman" w:cs="Times New Roman"/>
                <w:i/>
                <w:iCs/>
                <w:color w:val="111111"/>
                <w:sz w:val="16"/>
                <w:szCs w:val="16"/>
                <w:bdr w:val="none" w:sz="0" w:space="0" w:color="auto" w:frame="1"/>
              </w:rPr>
              <w:t>State of working America</w:t>
            </w:r>
            <w:r w:rsidRPr="004C265E">
              <w:rPr>
                <w:rFonts w:ascii="Times New Roman" w:eastAsia="Times New Roman" w:hAnsi="Times New Roman" w:cs="Times New Roman"/>
                <w:color w:val="111111"/>
                <w:sz w:val="16"/>
                <w:szCs w:val="16"/>
                <w:bdr w:val="none" w:sz="0" w:space="0" w:color="auto" w:frame="1"/>
              </w:rPr>
              <w:t>. [Online]. Available: http://stateofworkingamerica.org/great-recession/. Accessed: Nov. 10, 2016.</w:t>
            </w:r>
          </w:p>
          <w:p w14:paraId="3E635019" w14:textId="3D21FA09" w:rsidR="004C265E" w:rsidRPr="004C265E" w:rsidRDefault="004C265E" w:rsidP="004C265E">
            <w:pPr>
              <w:shd w:val="clear" w:color="auto" w:fill="E6E6E6"/>
              <w:spacing w:line="240" w:lineRule="auto"/>
              <w:rPr>
                <w:rFonts w:ascii="Times New Roman" w:hAnsi="Times New Roman" w:cs="Times New Roman"/>
                <w:sz w:val="16"/>
                <w:szCs w:val="16"/>
              </w:rPr>
            </w:pPr>
          </w:p>
        </w:tc>
      </w:tr>
      <w:tr w:rsidR="004C265E" w14:paraId="6289212A" w14:textId="77777777" w:rsidTr="004C265E">
        <w:tc>
          <w:tcPr>
            <w:tcW w:w="396" w:type="dxa"/>
          </w:tcPr>
          <w:p w14:paraId="61619EFA" w14:textId="3F8BBF9F"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Pr>
                <w:rFonts w:asciiTheme="minorHAnsi" w:eastAsiaTheme="minorHAnsi" w:hAnsiTheme="minorHAnsi" w:cstheme="minorBidi"/>
                <w:spacing w:val="0"/>
                <w:sz w:val="16"/>
                <w:szCs w:val="16"/>
                <w:lang w:val="en-US" w:eastAsia="en-US"/>
              </w:rPr>
              <w:t>[5]</w:t>
            </w:r>
          </w:p>
        </w:tc>
        <w:tc>
          <w:tcPr>
            <w:tcW w:w="8964" w:type="dxa"/>
          </w:tcPr>
          <w:p w14:paraId="67238BA3" w14:textId="77777777" w:rsidR="004C265E" w:rsidRDefault="004C265E" w:rsidP="004C265E">
            <w:pPr>
              <w:shd w:val="clear" w:color="auto" w:fill="E6E6E6"/>
              <w:spacing w:line="240" w:lineRule="auto"/>
              <w:rPr>
                <w:rFonts w:ascii="Times New Roman" w:eastAsia="Times New Roman" w:hAnsi="Times New Roman" w:cs="Times New Roman"/>
                <w:color w:val="111111"/>
                <w:sz w:val="16"/>
                <w:szCs w:val="16"/>
                <w:bdr w:val="none" w:sz="0" w:space="0" w:color="auto" w:frame="1"/>
              </w:rPr>
            </w:pPr>
            <w:r w:rsidRPr="004C265E">
              <w:rPr>
                <w:rFonts w:ascii="Times New Roman" w:eastAsia="Times New Roman" w:hAnsi="Times New Roman" w:cs="Times New Roman"/>
                <w:color w:val="111111"/>
                <w:sz w:val="16"/>
                <w:szCs w:val="16"/>
                <w:bdr w:val="none" w:sz="0" w:space="0" w:color="auto" w:frame="1"/>
              </w:rPr>
              <w:t>J. Clemente, "U.S. Oil production forecasts continue to increase," in </w:t>
            </w:r>
            <w:r w:rsidRPr="004C265E">
              <w:rPr>
                <w:rFonts w:ascii="Times New Roman" w:eastAsia="Times New Roman" w:hAnsi="Times New Roman" w:cs="Times New Roman"/>
                <w:i/>
                <w:iCs/>
                <w:color w:val="111111"/>
                <w:sz w:val="16"/>
                <w:szCs w:val="16"/>
                <w:bdr w:val="none" w:sz="0" w:space="0" w:color="auto" w:frame="1"/>
              </w:rPr>
              <w:t>Forbes</w:t>
            </w:r>
            <w:r w:rsidRPr="004C265E">
              <w:rPr>
                <w:rFonts w:ascii="Times New Roman" w:eastAsia="Times New Roman" w:hAnsi="Times New Roman" w:cs="Times New Roman"/>
                <w:color w:val="111111"/>
                <w:sz w:val="16"/>
                <w:szCs w:val="16"/>
                <w:bdr w:val="none" w:sz="0" w:space="0" w:color="auto" w:frame="1"/>
              </w:rPr>
              <w:t>, Forbes, 2015. [Online]. Available: </w:t>
            </w:r>
            <w:hyperlink r:id="rId24" w:history="1">
              <w:r w:rsidRPr="004C265E">
                <w:rPr>
                  <w:rStyle w:val="Hyperlink"/>
                  <w:rFonts w:ascii="Times New Roman" w:eastAsia="Times New Roman" w:hAnsi="Times New Roman" w:cs="Times New Roman"/>
                  <w:sz w:val="16"/>
                  <w:szCs w:val="16"/>
                  <w:bdr w:val="none" w:sz="0" w:space="0" w:color="auto" w:frame="1"/>
                </w:rPr>
                <w:t>http://www.forbes.com/sites/judeclemente/2015/05/07/u-s-oil-production-forecasts-continue-to-increase/#589044574f32</w:t>
              </w:r>
            </w:hyperlink>
            <w:r w:rsidRPr="004C265E">
              <w:rPr>
                <w:rFonts w:ascii="Times New Roman" w:eastAsia="Times New Roman" w:hAnsi="Times New Roman" w:cs="Times New Roman"/>
                <w:color w:val="111111"/>
                <w:sz w:val="16"/>
                <w:szCs w:val="16"/>
                <w:bdr w:val="none" w:sz="0" w:space="0" w:color="auto" w:frame="1"/>
              </w:rPr>
              <w:t>. Accessed: Nov. 12, 2016.</w:t>
            </w:r>
          </w:p>
          <w:p w14:paraId="791CD7A1" w14:textId="7CB5D7C5" w:rsidR="004C265E" w:rsidRPr="004C265E" w:rsidRDefault="004C265E" w:rsidP="004C265E">
            <w:pPr>
              <w:shd w:val="clear" w:color="auto" w:fill="E6E6E6"/>
              <w:spacing w:line="240" w:lineRule="auto"/>
              <w:rPr>
                <w:rFonts w:ascii="Times New Roman" w:hAnsi="Times New Roman" w:cs="Times New Roman"/>
                <w:sz w:val="16"/>
                <w:szCs w:val="16"/>
              </w:rPr>
            </w:pPr>
          </w:p>
        </w:tc>
      </w:tr>
      <w:tr w:rsidR="004C265E" w14:paraId="147284AC" w14:textId="77777777" w:rsidTr="004C265E">
        <w:tc>
          <w:tcPr>
            <w:tcW w:w="396" w:type="dxa"/>
          </w:tcPr>
          <w:p w14:paraId="09A7B019" w14:textId="1C9D5626" w:rsidR="004C265E" w:rsidRPr="004C265E" w:rsidRDefault="004C265E" w:rsidP="004C265E">
            <w:pPr>
              <w:pStyle w:val="ListStyle"/>
              <w:framePr w:hSpace="0" w:wrap="auto" w:vAnchor="margin" w:hAnchor="text" w:xAlign="left" w:yAlign="inline"/>
              <w:rPr>
                <w:rFonts w:asciiTheme="minorHAnsi" w:eastAsiaTheme="minorHAnsi" w:hAnsiTheme="minorHAnsi" w:cstheme="minorBidi"/>
                <w:spacing w:val="0"/>
                <w:sz w:val="16"/>
                <w:szCs w:val="16"/>
                <w:lang w:val="en-US" w:eastAsia="en-US"/>
              </w:rPr>
            </w:pPr>
            <w:r>
              <w:rPr>
                <w:rFonts w:asciiTheme="minorHAnsi" w:eastAsiaTheme="minorHAnsi" w:hAnsiTheme="minorHAnsi" w:cstheme="minorBidi"/>
                <w:spacing w:val="0"/>
                <w:sz w:val="16"/>
                <w:szCs w:val="16"/>
                <w:lang w:val="en-US" w:eastAsia="en-US"/>
              </w:rPr>
              <w:t>[6]</w:t>
            </w:r>
          </w:p>
        </w:tc>
        <w:tc>
          <w:tcPr>
            <w:tcW w:w="8964" w:type="dxa"/>
          </w:tcPr>
          <w:p w14:paraId="011B6EB3" w14:textId="3700592C" w:rsidR="004C265E" w:rsidRPr="004C265E" w:rsidRDefault="004C265E" w:rsidP="004C265E">
            <w:pPr>
              <w:pStyle w:val="ListStyle"/>
              <w:framePr w:hSpace="0" w:wrap="auto" w:vAnchor="margin" w:hAnchor="text" w:xAlign="left" w:yAlign="inline"/>
              <w:rPr>
                <w:rFonts w:eastAsiaTheme="minorHAnsi"/>
                <w:spacing w:val="0"/>
                <w:sz w:val="16"/>
                <w:szCs w:val="16"/>
                <w:lang w:val="en-US" w:eastAsia="en-US"/>
              </w:rPr>
            </w:pPr>
            <w:r w:rsidRPr="004C265E">
              <w:rPr>
                <w:rFonts w:eastAsia="Times New Roman"/>
                <w:color w:val="111111"/>
                <w:sz w:val="16"/>
                <w:szCs w:val="16"/>
                <w:bdr w:val="none" w:sz="0" w:space="0" w:color="auto" w:frame="1"/>
              </w:rPr>
              <w:t>A. Harjani, "Will OPEC bankrupt US shale producers?," in </w:t>
            </w:r>
            <w:r w:rsidRPr="004C265E">
              <w:rPr>
                <w:rFonts w:eastAsia="Times New Roman"/>
                <w:i/>
                <w:iCs/>
                <w:color w:val="111111"/>
                <w:sz w:val="16"/>
                <w:szCs w:val="16"/>
                <w:bdr w:val="none" w:sz="0" w:space="0" w:color="auto" w:frame="1"/>
              </w:rPr>
              <w:t>Energy</w:t>
            </w:r>
            <w:r w:rsidRPr="004C265E">
              <w:rPr>
                <w:rFonts w:eastAsia="Times New Roman"/>
                <w:color w:val="111111"/>
                <w:sz w:val="16"/>
                <w:szCs w:val="16"/>
                <w:bdr w:val="none" w:sz="0" w:space="0" w:color="auto" w:frame="1"/>
              </w:rPr>
              <w:t>, CNBC, 2014. [Online]. Available: </w:t>
            </w:r>
            <w:hyperlink r:id="rId25" w:history="1">
              <w:r w:rsidRPr="004C265E">
                <w:rPr>
                  <w:rStyle w:val="Hyperlink"/>
                  <w:rFonts w:eastAsia="Times New Roman"/>
                  <w:sz w:val="16"/>
                  <w:szCs w:val="16"/>
                  <w:bdr w:val="none" w:sz="0" w:space="0" w:color="auto" w:frame="1"/>
                </w:rPr>
                <w:t>http://www.cnbc.com/2014/11/27/will-opec-bankrupt-us-shale-producers.html. Accessed: Nov. 13, 2016</w:t>
              </w:r>
            </w:hyperlink>
            <w:r w:rsidRPr="004C265E">
              <w:rPr>
                <w:rFonts w:eastAsia="Times New Roman"/>
                <w:color w:val="111111"/>
                <w:sz w:val="16"/>
                <w:szCs w:val="16"/>
                <w:bdr w:val="none" w:sz="0" w:space="0" w:color="auto" w:frame="1"/>
              </w:rPr>
              <w:t>.</w:t>
            </w:r>
          </w:p>
        </w:tc>
      </w:tr>
    </w:tbl>
    <w:p w14:paraId="029C9E10" w14:textId="77777777" w:rsidR="004C265E" w:rsidRPr="00BA0B32" w:rsidRDefault="004C265E" w:rsidP="00BA0B32">
      <w:pPr>
        <w:pStyle w:val="ListStyle"/>
        <w:framePr w:hSpace="0" w:wrap="auto" w:vAnchor="margin" w:hAnchor="text" w:xAlign="left" w:yAlign="inline"/>
        <w:rPr>
          <w:sz w:val="24"/>
          <w:szCs w:val="24"/>
          <w:lang w:val="en-US"/>
        </w:rPr>
      </w:pPr>
    </w:p>
    <w:sectPr w:rsidR="004C265E" w:rsidRPr="00BA0B3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EAEB6" w14:textId="77777777" w:rsidR="00D57A49" w:rsidRDefault="00D57A49" w:rsidP="00FD13FE">
      <w:pPr>
        <w:spacing w:after="0" w:line="240" w:lineRule="auto"/>
      </w:pPr>
      <w:r>
        <w:separator/>
      </w:r>
    </w:p>
  </w:endnote>
  <w:endnote w:type="continuationSeparator" w:id="0">
    <w:p w14:paraId="5CF1BEB0" w14:textId="77777777" w:rsidR="00D57A49" w:rsidRDefault="00D57A49" w:rsidP="00FD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Yu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3D0A1" w14:textId="77777777" w:rsidR="00D57A49" w:rsidRDefault="00D57A49" w:rsidP="00FD13FE">
      <w:pPr>
        <w:spacing w:after="0" w:line="240" w:lineRule="auto"/>
      </w:pPr>
      <w:r>
        <w:separator/>
      </w:r>
    </w:p>
  </w:footnote>
  <w:footnote w:type="continuationSeparator" w:id="0">
    <w:p w14:paraId="0FB731F7" w14:textId="77777777" w:rsidR="00D57A49" w:rsidRDefault="00D57A49" w:rsidP="00FD1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031025"/>
      <w:docPartObj>
        <w:docPartGallery w:val="Page Numbers (Top of Page)"/>
        <w:docPartUnique/>
      </w:docPartObj>
    </w:sdtPr>
    <w:sdtEndPr>
      <w:rPr>
        <w:noProof/>
      </w:rPr>
    </w:sdtEndPr>
    <w:sdtContent>
      <w:p w14:paraId="0289A939" w14:textId="799409D2" w:rsidR="00D57A49" w:rsidRDefault="00D57A49">
        <w:pPr>
          <w:pStyle w:val="Header"/>
          <w:jc w:val="right"/>
        </w:pPr>
        <w:r>
          <w:fldChar w:fldCharType="begin"/>
        </w:r>
        <w:r>
          <w:instrText xml:space="preserve"> PAGE   \* MERGEFORMAT </w:instrText>
        </w:r>
        <w:r>
          <w:fldChar w:fldCharType="separate"/>
        </w:r>
        <w:r w:rsidR="004A13B7">
          <w:rPr>
            <w:noProof/>
          </w:rPr>
          <w:t>1</w:t>
        </w:r>
        <w:r>
          <w:rPr>
            <w:noProof/>
          </w:rPr>
          <w:fldChar w:fldCharType="end"/>
        </w:r>
      </w:p>
    </w:sdtContent>
  </w:sdt>
  <w:p w14:paraId="762DADF8" w14:textId="77777777" w:rsidR="00D57A49" w:rsidRDefault="00D57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2C28"/>
    <w:multiLevelType w:val="hybridMultilevel"/>
    <w:tmpl w:val="8D1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BBE5FB2"/>
    <w:multiLevelType w:val="hybridMultilevel"/>
    <w:tmpl w:val="1242ED9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69E424BC"/>
    <w:multiLevelType w:val="hybridMultilevel"/>
    <w:tmpl w:val="D1B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E5458"/>
    <w:multiLevelType w:val="hybridMultilevel"/>
    <w:tmpl w:val="DE8C52C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1sjQwNzEyNzU3sDBW0lEKTi0uzszPAykwqgUA3EGm7CwAAAA="/>
  </w:docVars>
  <w:rsids>
    <w:rsidRoot w:val="001E7268"/>
    <w:rsid w:val="00022896"/>
    <w:rsid w:val="00090303"/>
    <w:rsid w:val="00094EF9"/>
    <w:rsid w:val="000A7E8B"/>
    <w:rsid w:val="000D39F3"/>
    <w:rsid w:val="000F4A62"/>
    <w:rsid w:val="00100729"/>
    <w:rsid w:val="00153C5A"/>
    <w:rsid w:val="00157A23"/>
    <w:rsid w:val="001A3199"/>
    <w:rsid w:val="001C1135"/>
    <w:rsid w:val="001D0FF6"/>
    <w:rsid w:val="001E7268"/>
    <w:rsid w:val="002121BB"/>
    <w:rsid w:val="002256AB"/>
    <w:rsid w:val="00251952"/>
    <w:rsid w:val="00271CCA"/>
    <w:rsid w:val="002A2AD3"/>
    <w:rsid w:val="002D5CAB"/>
    <w:rsid w:val="0030667E"/>
    <w:rsid w:val="00306A26"/>
    <w:rsid w:val="00335827"/>
    <w:rsid w:val="003B6525"/>
    <w:rsid w:val="003D16F4"/>
    <w:rsid w:val="00404255"/>
    <w:rsid w:val="004A13B7"/>
    <w:rsid w:val="004B5330"/>
    <w:rsid w:val="004C265E"/>
    <w:rsid w:val="004E708A"/>
    <w:rsid w:val="00503060"/>
    <w:rsid w:val="0051191A"/>
    <w:rsid w:val="00524225"/>
    <w:rsid w:val="00545302"/>
    <w:rsid w:val="00617BFA"/>
    <w:rsid w:val="006377FC"/>
    <w:rsid w:val="00656096"/>
    <w:rsid w:val="006931FF"/>
    <w:rsid w:val="006A681D"/>
    <w:rsid w:val="006C17C6"/>
    <w:rsid w:val="006E6C13"/>
    <w:rsid w:val="006E78B4"/>
    <w:rsid w:val="00700D66"/>
    <w:rsid w:val="00703C29"/>
    <w:rsid w:val="00707160"/>
    <w:rsid w:val="00717609"/>
    <w:rsid w:val="00752E32"/>
    <w:rsid w:val="00775AD8"/>
    <w:rsid w:val="007920FE"/>
    <w:rsid w:val="007A2068"/>
    <w:rsid w:val="007D4569"/>
    <w:rsid w:val="00856E11"/>
    <w:rsid w:val="008B04D4"/>
    <w:rsid w:val="008F06C9"/>
    <w:rsid w:val="008F0B49"/>
    <w:rsid w:val="008F330C"/>
    <w:rsid w:val="00920C45"/>
    <w:rsid w:val="00937415"/>
    <w:rsid w:val="009457B2"/>
    <w:rsid w:val="00984409"/>
    <w:rsid w:val="009938F3"/>
    <w:rsid w:val="009A35FC"/>
    <w:rsid w:val="009A689B"/>
    <w:rsid w:val="00A12545"/>
    <w:rsid w:val="00A203B6"/>
    <w:rsid w:val="00A408D4"/>
    <w:rsid w:val="00A57AE9"/>
    <w:rsid w:val="00A75895"/>
    <w:rsid w:val="00AD5684"/>
    <w:rsid w:val="00AF0BCE"/>
    <w:rsid w:val="00B2051F"/>
    <w:rsid w:val="00B278D5"/>
    <w:rsid w:val="00B34D0A"/>
    <w:rsid w:val="00B42EFB"/>
    <w:rsid w:val="00B80740"/>
    <w:rsid w:val="00B850F9"/>
    <w:rsid w:val="00BA0B32"/>
    <w:rsid w:val="00BD657B"/>
    <w:rsid w:val="00BE1FA6"/>
    <w:rsid w:val="00C15BD6"/>
    <w:rsid w:val="00C15EA9"/>
    <w:rsid w:val="00C31F85"/>
    <w:rsid w:val="00C34C09"/>
    <w:rsid w:val="00C61F4E"/>
    <w:rsid w:val="00C66A54"/>
    <w:rsid w:val="00CA68DB"/>
    <w:rsid w:val="00CC3BA0"/>
    <w:rsid w:val="00CC4DAB"/>
    <w:rsid w:val="00CC7217"/>
    <w:rsid w:val="00CD5895"/>
    <w:rsid w:val="00D27702"/>
    <w:rsid w:val="00D32F3A"/>
    <w:rsid w:val="00D36DD5"/>
    <w:rsid w:val="00D37F2B"/>
    <w:rsid w:val="00D57A49"/>
    <w:rsid w:val="00D64696"/>
    <w:rsid w:val="00D77A95"/>
    <w:rsid w:val="00DB179E"/>
    <w:rsid w:val="00DB6529"/>
    <w:rsid w:val="00DB6A48"/>
    <w:rsid w:val="00DE6DF0"/>
    <w:rsid w:val="00E05A25"/>
    <w:rsid w:val="00E100F3"/>
    <w:rsid w:val="00E13FF6"/>
    <w:rsid w:val="00E477D3"/>
    <w:rsid w:val="00E70752"/>
    <w:rsid w:val="00EA3E54"/>
    <w:rsid w:val="00EC718D"/>
    <w:rsid w:val="00EF401C"/>
    <w:rsid w:val="00F27FC4"/>
    <w:rsid w:val="00F367C9"/>
    <w:rsid w:val="00F739B4"/>
    <w:rsid w:val="00FC6414"/>
    <w:rsid w:val="00FD13FE"/>
    <w:rsid w:val="00FF0002"/>
    <w:rsid w:val="00FF37C3"/>
    <w:rsid w:val="00FF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CEFC87"/>
  <w15:chartTrackingRefBased/>
  <w15:docId w15:val="{356A0F9C-808F-4749-903A-7CE18013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265E"/>
    <w:pPr>
      <w:spacing w:line="256" w:lineRule="auto"/>
    </w:pPr>
  </w:style>
  <w:style w:type="paragraph" w:styleId="Heading1">
    <w:name w:val="heading 1"/>
    <w:basedOn w:val="Normal"/>
    <w:next w:val="Normal"/>
    <w:link w:val="Heading1Char"/>
    <w:qFormat/>
    <w:rsid w:val="00A75895"/>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A75895"/>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A75895"/>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A7589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53C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100F3"/>
    <w:rPr>
      <w:color w:val="0563C1" w:themeColor="hyperlink"/>
      <w:u w:val="single"/>
    </w:rPr>
  </w:style>
  <w:style w:type="paragraph" w:styleId="ListParagraph">
    <w:name w:val="List Paragraph"/>
    <w:basedOn w:val="Normal"/>
    <w:uiPriority w:val="34"/>
    <w:qFormat/>
    <w:rsid w:val="00C15EA9"/>
    <w:pPr>
      <w:ind w:left="720"/>
      <w:contextualSpacing/>
    </w:pPr>
  </w:style>
  <w:style w:type="paragraph" w:styleId="Header">
    <w:name w:val="header"/>
    <w:basedOn w:val="Normal"/>
    <w:link w:val="HeaderChar"/>
    <w:uiPriority w:val="99"/>
    <w:unhideWhenUsed/>
    <w:rsid w:val="00FD1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FE"/>
  </w:style>
  <w:style w:type="paragraph" w:styleId="Footer">
    <w:name w:val="footer"/>
    <w:basedOn w:val="Normal"/>
    <w:link w:val="FooterChar"/>
    <w:uiPriority w:val="99"/>
    <w:unhideWhenUsed/>
    <w:rsid w:val="00FD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FE"/>
  </w:style>
  <w:style w:type="character" w:styleId="FollowedHyperlink">
    <w:name w:val="FollowedHyperlink"/>
    <w:basedOn w:val="DefaultParagraphFont"/>
    <w:uiPriority w:val="99"/>
    <w:semiHidden/>
    <w:unhideWhenUsed/>
    <w:rsid w:val="001A3199"/>
    <w:rPr>
      <w:color w:val="954F72" w:themeColor="followedHyperlink"/>
      <w:u w:val="single"/>
    </w:rPr>
  </w:style>
  <w:style w:type="character" w:customStyle="1" w:styleId="Heading1Char">
    <w:name w:val="Heading 1 Char"/>
    <w:basedOn w:val="DefaultParagraphFont"/>
    <w:link w:val="Heading1"/>
    <w:rsid w:val="00A75895"/>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75895"/>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75895"/>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75895"/>
    <w:rPr>
      <w:rFonts w:ascii="Times New Roman" w:eastAsia="SimSun" w:hAnsi="Times New Roman" w:cs="Times New Roman"/>
      <w:i/>
      <w:iCs/>
      <w:noProof/>
      <w:sz w:val="20"/>
      <w:szCs w:val="20"/>
    </w:rPr>
  </w:style>
  <w:style w:type="paragraph" w:styleId="BodyText">
    <w:name w:val="Body Text"/>
    <w:basedOn w:val="Normal"/>
    <w:link w:val="BodyTextChar"/>
    <w:rsid w:val="00A7589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A75895"/>
    <w:rPr>
      <w:rFonts w:ascii="Times New Roman" w:eastAsia="SimSun" w:hAnsi="Times New Roman" w:cs="Times New Roman"/>
      <w:spacing w:val="-1"/>
      <w:sz w:val="20"/>
      <w:szCs w:val="20"/>
      <w:lang w:val="x-none" w:eastAsia="x-none"/>
    </w:rPr>
  </w:style>
  <w:style w:type="paragraph" w:customStyle="1" w:styleId="Affiliation">
    <w:name w:val="Affiliation"/>
    <w:rsid w:val="00C31F85"/>
    <w:pPr>
      <w:spacing w:after="0" w:line="240" w:lineRule="auto"/>
      <w:jc w:val="center"/>
    </w:pPr>
    <w:rPr>
      <w:rFonts w:ascii="Times New Roman" w:eastAsia="SimSun" w:hAnsi="Times New Roman" w:cs="Times New Roman"/>
      <w:sz w:val="20"/>
      <w:szCs w:val="20"/>
    </w:rPr>
  </w:style>
  <w:style w:type="paragraph" w:customStyle="1" w:styleId="Author">
    <w:name w:val="Author"/>
    <w:rsid w:val="00C31F85"/>
    <w:pPr>
      <w:spacing w:before="360" w:after="40" w:line="240" w:lineRule="auto"/>
      <w:jc w:val="center"/>
    </w:pPr>
    <w:rPr>
      <w:rFonts w:ascii="Times New Roman" w:eastAsia="SimSun" w:hAnsi="Times New Roman" w:cs="Times New Roman"/>
      <w:noProof/>
    </w:rPr>
  </w:style>
  <w:style w:type="paragraph" w:customStyle="1" w:styleId="papersubtitle">
    <w:name w:val="paper subtitle"/>
    <w:rsid w:val="00C31F85"/>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C31F85"/>
    <w:pPr>
      <w:spacing w:after="120" w:line="240" w:lineRule="auto"/>
      <w:jc w:val="center"/>
    </w:pPr>
    <w:rPr>
      <w:rFonts w:ascii="Times New Roman" w:eastAsia="MS Mincho" w:hAnsi="Times New Roman" w:cs="Times New Roman"/>
      <w:noProof/>
      <w:sz w:val="48"/>
      <w:szCs w:val="48"/>
    </w:rPr>
  </w:style>
  <w:style w:type="table" w:styleId="TableGrid">
    <w:name w:val="Table Grid"/>
    <w:basedOn w:val="TableNormal"/>
    <w:uiPriority w:val="39"/>
    <w:rsid w:val="0027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306A2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5Dark-Accent1">
    <w:name w:val="List Table 5 Dark Accent 1"/>
    <w:basedOn w:val="TableNormal"/>
    <w:uiPriority w:val="50"/>
    <w:rsid w:val="00306A26"/>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MyBody">
    <w:name w:val="MyBody"/>
    <w:basedOn w:val="BodyText"/>
    <w:link w:val="MyBodyChar"/>
    <w:qFormat/>
    <w:rsid w:val="006377FC"/>
  </w:style>
  <w:style w:type="character" w:customStyle="1" w:styleId="MyBodyChar">
    <w:name w:val="MyBody Char"/>
    <w:basedOn w:val="BodyTextChar"/>
    <w:link w:val="MyBody"/>
    <w:rsid w:val="006377FC"/>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1D0FF6"/>
    <w:rPr>
      <w:b/>
      <w:bCs/>
    </w:rPr>
  </w:style>
  <w:style w:type="paragraph" w:customStyle="1" w:styleId="ListStyle">
    <w:name w:val="List Style"/>
    <w:basedOn w:val="MyBody"/>
    <w:link w:val="ListStyleChar"/>
    <w:qFormat/>
    <w:rsid w:val="00B850F9"/>
    <w:pPr>
      <w:framePr w:hSpace="180" w:wrap="around" w:vAnchor="text" w:hAnchor="margin" w:xAlign="center" w:y="21"/>
      <w:ind w:firstLine="0"/>
      <w:jc w:val="left"/>
    </w:pPr>
  </w:style>
  <w:style w:type="paragraph" w:styleId="Caption">
    <w:name w:val="caption"/>
    <w:basedOn w:val="Normal"/>
    <w:next w:val="Normal"/>
    <w:uiPriority w:val="35"/>
    <w:unhideWhenUsed/>
    <w:qFormat/>
    <w:rsid w:val="00E70752"/>
    <w:pPr>
      <w:spacing w:after="200" w:line="240" w:lineRule="auto"/>
    </w:pPr>
    <w:rPr>
      <w:i/>
      <w:iCs/>
      <w:color w:val="44546A" w:themeColor="text2"/>
      <w:sz w:val="18"/>
      <w:szCs w:val="18"/>
    </w:rPr>
  </w:style>
  <w:style w:type="character" w:customStyle="1" w:styleId="ListStyleChar">
    <w:name w:val="List Style Char"/>
    <w:basedOn w:val="MyBodyChar"/>
    <w:link w:val="ListStyle"/>
    <w:rsid w:val="00B850F9"/>
    <w:rPr>
      <w:rFonts w:ascii="Times New Roman" w:eastAsia="SimSun" w:hAnsi="Times New Roman" w:cs="Times New Roman"/>
      <w:spacing w:val="-1"/>
      <w:sz w:val="20"/>
      <w:szCs w:val="20"/>
      <w:lang w:val="x-none" w:eastAsia="x-none"/>
    </w:rPr>
  </w:style>
  <w:style w:type="character" w:customStyle="1" w:styleId="Heading5Char">
    <w:name w:val="Heading 5 Char"/>
    <w:basedOn w:val="DefaultParagraphFont"/>
    <w:link w:val="Heading5"/>
    <w:uiPriority w:val="9"/>
    <w:semiHidden/>
    <w:rsid w:val="00153C5A"/>
    <w:rPr>
      <w:rFonts w:asciiTheme="majorHAnsi" w:eastAsiaTheme="majorEastAsia" w:hAnsiTheme="majorHAnsi" w:cstheme="majorBidi"/>
      <w:color w:val="2E74B5" w:themeColor="accent1" w:themeShade="BF"/>
    </w:rPr>
  </w:style>
  <w:style w:type="paragraph" w:customStyle="1" w:styleId="references">
    <w:name w:val="references"/>
    <w:rsid w:val="00153C5A"/>
    <w:pPr>
      <w:numPr>
        <w:numId w:val="6"/>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305945">
      <w:bodyDiv w:val="1"/>
      <w:marLeft w:val="0"/>
      <w:marRight w:val="0"/>
      <w:marTop w:val="0"/>
      <w:marBottom w:val="0"/>
      <w:divBdr>
        <w:top w:val="none" w:sz="0" w:space="0" w:color="auto"/>
        <w:left w:val="none" w:sz="0" w:space="0" w:color="auto"/>
        <w:bottom w:val="none" w:sz="0" w:space="0" w:color="auto"/>
        <w:right w:val="none" w:sz="0" w:space="0" w:color="auto"/>
      </w:divBdr>
    </w:div>
    <w:div w:id="1784494361">
      <w:bodyDiv w:val="1"/>
      <w:marLeft w:val="0"/>
      <w:marRight w:val="0"/>
      <w:marTop w:val="0"/>
      <w:marBottom w:val="0"/>
      <w:divBdr>
        <w:top w:val="none" w:sz="0" w:space="0" w:color="auto"/>
        <w:left w:val="none" w:sz="0" w:space="0" w:color="auto"/>
        <w:bottom w:val="none" w:sz="0" w:space="0" w:color="auto"/>
        <w:right w:val="none" w:sz="0" w:space="0" w:color="auto"/>
      </w:divBdr>
    </w:div>
    <w:div w:id="18869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pamieta@lewisu.edu"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eia.gov/totalenergy/data/monthly/#appendices" TargetMode="External"/><Relationship Id="rId7" Type="http://schemas.openxmlformats.org/officeDocument/2006/relationships/endnotes" Target="endnotes.xml"/><Relationship Id="rId12" Type="http://schemas.openxmlformats.org/officeDocument/2006/relationships/hyperlink" Target="mailto:MichaelDSloan@lewisu.edu" TargetMode="External"/><Relationship Id="rId17" Type="http://schemas.openxmlformats.org/officeDocument/2006/relationships/image" Target="media/image5.png"/><Relationship Id="rId25" Type="http://schemas.openxmlformats.org/officeDocument/2006/relationships/hyperlink" Target="http://www.cnbc.com/2014/11/27/will-opec-bankrupt-us-shale-producers.html.%20Accessed:%20Nov.%2013,%202016"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DSloan@lewisu.edu" TargetMode="External"/><Relationship Id="rId24" Type="http://schemas.openxmlformats.org/officeDocument/2006/relationships/hyperlink" Target="http://www.forbes.com/sites/judeclemente/2015/05/07/u-s-oil-production-forecasts-continue-to-increase/%23589044574f3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ia.gov/beta/MER/" TargetMode="External"/><Relationship Id="rId28" Type="http://schemas.openxmlformats.org/officeDocument/2006/relationships/theme" Target="theme/theme1.xml"/><Relationship Id="rId10" Type="http://schemas.openxmlformats.org/officeDocument/2006/relationships/hyperlink" Target="mailto:dumisanidlamini@lewisu.ed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jasonayakubovich@lewisu.edu" TargetMode="External"/><Relationship Id="rId14" Type="http://schemas.openxmlformats.org/officeDocument/2006/relationships/image" Target="media/image2.png"/><Relationship Id="rId22" Type="http://schemas.openxmlformats.org/officeDocument/2006/relationships/hyperlink" Target="https://www.eia.gov/totalenergy/data/monthl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74F1-B680-44A3-8522-A7E51904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Dlamini</dc:creator>
  <cp:keywords/>
  <dc:description/>
  <cp:lastModifiedBy>Michael Sloan</cp:lastModifiedBy>
  <cp:revision>4</cp:revision>
  <cp:lastPrinted>2016-11-12T18:19:00Z</cp:lastPrinted>
  <dcterms:created xsi:type="dcterms:W3CDTF">2016-11-14T02:07:00Z</dcterms:created>
  <dcterms:modified xsi:type="dcterms:W3CDTF">2016-11-14T02:16:00Z</dcterms:modified>
</cp:coreProperties>
</file>