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Tenderly to TenderOS Concept Map</w:t>
      </w:r>
    </w:p>
    <w:p>
      <w:r>
        <w:rPr>
          <w:b/>
          <w:color w:val="4C677B"/>
          <w:sz w:val="24"/>
        </w:rPr>
        <w:t>A feature mapping and project development framework</w:t>
      </w:r>
    </w:p>
    <w:p>
      <w:r>
        <w:rPr>
          <w:i/>
        </w:rPr>
        <w:t>Prepared 19 October 2026  |  TenderOS means the TenderProof OS / ProposalGuard local-first diagnostic MVP in this workspace.</w:t>
      </w:r>
    </w:p>
    <w:p>
      <w:pPr>
        <w:pStyle w:val="Heading1"/>
      </w:pPr>
      <w:r>
        <w:t>Purpose and design conclusion</w:t>
      </w:r>
    </w:p>
    <w:p>
      <w:r>
        <w:t>Tenderly is a useful product architecture reference because it unifies a working console, scenario simulation, monitoring and response, and infrastructure around one operational record. TenderOS can adapt that product logic to tender decisions: organize each opportunity as a case, model bid scenarios before commitment, inspect source-to-recommendation evidence, monitor deadlines and unresolved conditions, and produce governed outputs. The domains are different: Tenderly manages on-chain systems; TenderOS manages tender/proposal work. The mapping transfers product patterns, not blockchain features.</w:t>
      </w:r>
    </w:p>
    <w:p>
      <w:r>
        <w:t>The existing MVP already has a strong case workflow and evidence-centered analysis. The recommended direction is to evolve it into a case operating layer with controlled scenario planning, traceable analysis, deadline/gap monitoring, and a reusable knowledge layer. Treat proposed capabilities as roadmap concepts, not as currently implemented functions.</w:t>
      </w:r>
    </w:p>
    <w:p>
      <w:r>
        <w:rPr>
          <w:b/>
        </w:rPr>
        <w:t xml:space="preserve">Mapping status:  </w:t>
      </w:r>
      <w:r>
        <w:rPr>
          <w:b/>
          <w:sz w:val="16"/>
        </w:rPr>
        <w:t xml:space="preserve">Implemented   </w:t>
      </w:r>
      <w:r>
        <w:rPr>
          <w:b/>
          <w:sz w:val="16"/>
        </w:rPr>
        <w:t xml:space="preserve">Partial   </w:t>
      </w:r>
      <w:r>
        <w:rPr>
          <w:b/>
          <w:sz w:val="16"/>
        </w:rPr>
        <w:t xml:space="preserve">Proposed   </w:t>
      </w:r>
      <w:r>
        <w:rPr>
          <w:b/>
          <w:sz w:val="16"/>
        </w:rPr>
        <w:t xml:space="preserve">Not applicable   </w:t>
      </w:r>
    </w:p>
    <w:p>
      <w:pPr>
        <w:pStyle w:val="Heading1"/>
      </w:pPr>
      <w:r>
        <w:t>Feature by feature mapping</w:t>
      </w:r>
    </w:p>
    <w:p>
      <w:r>
        <w:t>Status reflects the repository as inspected for this concept map. “Partial” means a related workflow or record exists, while the Tenderly pattern still needs a deliberate end-to-end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5"/>
        <w:gridCol w:w="3765"/>
        <w:gridCol w:w="3765"/>
        <w:gridCol w:w="3765"/>
      </w:tblGrid>
      <w:tr>
        <w:trPr>
          <w:tblHeader w:val="true"/>
        </w:trPr>
        <w:tc>
          <w:tcPr>
            <w:tcW w:type="dxa" w:w="3528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Tenderly capability</w:t>
            </w:r>
          </w:p>
        </w:tc>
        <w:tc>
          <w:tcPr>
            <w:tcW w:type="dxa" w:w="4176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TenderOS equivalent concept</w:t>
            </w:r>
          </w:p>
        </w:tc>
        <w:tc>
          <w:tcPr>
            <w:tcW w:type="dxa" w:w="1181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256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TenderOS fit and development note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Tenderly Console: shared operational workspace, projects and workspaces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TenderOS Case Workspace: client, tender, donor, country, sector, deadline; case status and coordinated diagnostic pages.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DCEFE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Implemented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TenderOS already centers work on diagnostic cases. Team collaboration and multi-user access are outside the local MVP.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Explorer: unified search across transactions, wallets, contracts and chains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TenderOS Opportunity and Case Explorer: search cases, source files, requirements, evidence, outputs, and reusable IP.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Case lists and case selection exist; cross-entity search, facets, saved views, and global navigation are roadmap items.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Decoded activity timeline and transaction overview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Case Activity Timeline: source intake, extraction, edits, approvals, score changes, verification and export events.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AuditEvent exists; a complete human-readable event timeline and object-level provenance view would extend it.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Debugger: step through execution and locate exact failure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Evidence Trace / Decision Inspector: trace each recommendation or readiness flag back through rule, requirement, source page/section, evidence and reviewer.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Build explainable, source-linked decisions; do not imply that this is a literal code debugger.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Full error and stack traces with readable messages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Diagnostic Exceptions and Extraction Review: actionable parse/OCR/validation errors with source location, remedy and reviewer disposition.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Source handling and extraction-failure gap recording exist; consistent error taxonomy and inline remediation are future work.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Custom views, filters, grouping, address labels and tags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Case portfolio views, filters and labels: sector, donor, deadline, readiness, lead status, risk, and owner.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Case metadata and lead concepts exist; portfolio-level configurable views and tagging are roadmap items.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Shared teams, comments and collaboration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Reviewer assignments, comments, decisions, and controlled hand-offs across proposal, technical, finance and leadership roles.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Current application is explicitly local-first/internal with no multi-tenant auth or team collaboration.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Transaction Simulator UI: vary parameters and rerun before committing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Bid Scenario Workbench: compare pursue/no-bid, partner/subconsultant, expert-team, price/budget, schedule and evidence-collection scenarios.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Bid/no-bid scorecard and recommendation exist; scenario comparison, assumptions and saved variants are not implemented.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Simulation API and reusable simulation calls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Rules and Analysis Service: deterministic scoring, requirement normalization, readiness checks, and scenario calculations callable from UI and future integrations.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Services exist for scoring, normalization and verification; there is no public API or external AI service connected.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Simulation bundles: sequence multiple actions atomically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Bid Plan / Scenario Bundle: model linked changes together (for example, partner + expert substitution + schedule adjustment) and show combined effects.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Treat as a planning workspace with explicit assumptions; never silently change the submitted baseline.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Virtual Environments: fork production state, override and replay history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Case Sandbox / Versioned Working Copy: duplicate a case baseline, test alternative compliance/evidence/methodology plans, compare with the source case.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Local case data and deterministic anchors provide a base. Branching, versioning, diff and merge controls are new.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Historical replay from any past block; fork saved simulation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Case Snapshots and Replay: reproduce a prior recommendation from its source versions, scoring rules, evidence and timestamp.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Audit events exist, but immutable snapshots of inputs, rule versions and reproducible scoring are not established.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Public Virtual Environment explorer for auditors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Read-only Client/Audit Package: share a scoped, versioned diagnostic with traceable sources and clear readiness labels.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Reports/workbooks and output package records exist; secure sharing, access scopes and reproducibility are future work.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Transaction traces, state changes and fund-flow visualization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Requirement-to-Evidence Traceability: navigate ToR clause -&gt; normalized requirement -&gt; compliance row -&gt; evidence/gap -&gt; risk -&gt; proposal section -&gt; output.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Stable match_key/canonical_anchor, compliance rows, gap items, risks and proposal skeleton exist; unified visual trace is a next step.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Gas profiler and performance optimization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Effort, Cost and Delivery Feasibility: expose budget attractiveness, staff loading, deadline feasibility, and effort assumptions in the decision record.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Scorecard covers budget/value and deadline feasibility; quantified effort/cost models are not documented as implemented.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Contracts and verified source metadata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 Source Register: retain ToR/amendment/addendum identity, upload, extracted text, date/version, section anchors and review state.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Sources and extracted text exist. Amendment comparison, provenance completeness and version conflict handling need development.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Contract read/write interfaces and protocol modules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 Rules and Donor Profiles: reusable eligibility/compliance rules, sector methodology modules, templates and known donor instructions.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Prompt/template/reference modules and reusable IP capture exist; governed rule packs and their lifecycle are future work.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Alerts on events, state changes, balances and function calls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 Alerts: deadline milestones, addenda, missing mandatory evidence, unresolved critical risks, stale inputs and readiness regression.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Workflow guidance, gaps/risks and e-GP stages exist; event-driven notification and escalation are not implemented.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Multichain monitoring with one rule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Portfolio Monitoring: apply shared control checks across all active cases and show exceptions by client, donor, country and deadline.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The current MVP is case oriented and has no centralized portfolio monitoring layer.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Web3 Actions: automated code triggered by alert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Controlled Tender Actions: create tasks, draft clarification questions, request missing inputs, or prepare review queues after a trigger.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Clarification question and workflow optimization concepts exist. Human approval must gate external communications and consequential changes.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Alert routing to email, Slack, PagerDuty, webhooks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Notification Routing: in-app queue first; later authorized email/chat integrations with per-user preferences and delivery audit.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 connector or notification routing is present in the local MVP.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Node RPC: production infrastructure, auth, rate limits and analytics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TenderOS Platform Foundation: local database/storage today; future authenticated service/API, backup, access control, integration and operational telemetry.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SQLite/local storage and local launcher are implemented. SaaS hosting, billing, multi-tenant identity and production SLA are explicitly out of scope.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CI/CD and staging on realistic state; simulation in scripts/bots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Release and Case Verification: deterministic checks for source coverage, mandatory criteria, risk/gap state, prohibited report language, and export readiness.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DCEFE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Implemented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Verification checks and readiness labels exist. Automated deployment pipelines and external integration tests are separate platform work.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Support operations: inspect a case and resolve issues with full context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Diagnostic Delivery Desk: triage blocked inputs, extraction issues, client questions, decision rationale and output revisions.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Workflow optimizer, audit log, clarification questions and reports support this pattern; service queue/ownership SLAs are not present.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Agentic workflows validated by simulation before execution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Evidence-grounded Assistance: optional AI may draft extraction or analysis; deterministic validation and human review control acceptance.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  <w:shd w:fill="E4ECF5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Proposed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Prompt files are present, but no external AI API or model is connected. AI output must remain a suggestion and cite supplied evidence.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Supported networks, chain-specific capability surface</w:t>
            </w:r>
          </w:p>
        </w:tc>
        <w:tc>
          <w:tcPr>
            <w:tcW w:type="dxa" w:w="417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Tender Context Packs: donor, procurement regime, country, sector, language/OCR and tender portal differences, with explicit applicability.</w:t>
            </w:r>
          </w:p>
        </w:tc>
        <w:tc>
          <w:tcPr>
            <w:tcW w:type="dxa" w:w="118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  <w:shd w:fill="FFF0CE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75C"/>
                <w:sz w:val="14"/>
              </w:rPr>
              <w:t>Partial</w:t>
            </w:r>
          </w:p>
        </w:tc>
        <w:tc>
          <w:tcPr>
            <w:tcW w:type="dxa" w:w="525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Bangladesh e-GP readiness and reference notes exist; broader donor/country packs and coverage controls are future work.</w:t>
            </w:r>
          </w:p>
        </w:tc>
      </w:tr>
    </w:tbl>
    <w:p>
      <w:r>
        <w:br w:type="page"/>
      </w:r>
    </w:p>
    <w:p>
      <w:pPr>
        <w:pStyle w:val="Heading1"/>
      </w:pPr>
      <w:r>
        <w:t>TenderOS layer architecture</w:t>
      </w:r>
    </w:p>
    <w:p>
      <w:r>
        <w:t>The diagram adapts Tenderly’s product architecture pattern while grounding every TenderOS layer in the current MVP or labeling it as future work. The proposal is a layered, case-centered system; it does not imply blockchain infrastructure.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EXPERIENCE | Case workspace, portfolio, trace, reports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v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WORKFLOW | Intake &gt; Extract &gt; Assess &gt; Decide &gt; Draft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Verify &gt; Package | Deadlines, tasks, approvals (future)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v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ANALYSIS | Requirements, compliance, CV, bid score, risks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Scenario workbench (partial / future)                 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v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CASE DOMAIN | Opportunity, source, requirement, evidence,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gap, risk, decision, proposal, output, e-GP checklist 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                            v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DATA AND KNOWLEDGE | SQLite + files, templates, prompts, IP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| Versioned snapshots and search index (future)          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>+--------------------------------------------------------------+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+----------------------------------------------------------+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| GOVERNANCE CROSS-CUT | Human review, source lineage,    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| audit trail and readiness checks; extend version/access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+----------------------------------------------------------+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+----------------------------------------------------------+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| PLATFORM FOUNDATION | Local Streamlit, Python services,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| database migrations; backup/API/hosting are future work  |</w:t>
      </w:r>
    </w:p>
    <w:p>
      <w:pPr>
        <w:spacing w:after="0" w:before="0"/>
      </w:pPr>
      <w:r>
        <w:rPr>
          <w:rFonts w:ascii="Consolas" w:hAnsi="Consolas"/>
          <w:color w:val="224053"/>
          <w:sz w:val="16"/>
        </w:rPr>
        <w:t xml:space="preserve">  +----------------------------------------------------------+</w:t>
      </w:r>
    </w:p>
    <w:p>
      <w:r>
        <w:t>Layer flow is shown as an editable ASCII architecture diagram.</w:t>
      </w:r>
    </w:p>
    <w:p>
      <w:r>
        <w:br w:type="page"/>
      </w:r>
    </w:p>
    <w:p>
      <w:pPr>
        <w:pStyle w:val="Heading1"/>
      </w:pPr>
      <w:r>
        <w:t>Layer responsibilities and maturity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1"/>
        <w:gridCol w:w="5021"/>
        <w:gridCol w:w="5021"/>
      </w:tblGrid>
      <w:tr>
        <w:trPr>
          <w:tblHeader w:val="true"/>
        </w:trPr>
        <w:tc>
          <w:tcPr>
            <w:tcW w:type="dxa" w:w="2232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680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7200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state / direction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Experience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 clear case navigation, portfolio overview, workflow guidance and reviewable outputs.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Current case pages, workflow optimizer, reports and Excel export; cross-case views and trace visualization are planned.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Workflow orchestration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Move work through intake, analysis, decision, proposal, verification and packaging; surface next action and due date.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Core workflow guidance and e-GP checklist exist; assignment, approvals, reminders and escalations are future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Analysis and decision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Turn source material into structured requirements, evidence links, readiness, gaps, risks and decision options.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Extraction, compliance, CV matching, scorecard, risk/gap, clarification and verification services exist; scenario comparison is planned.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Case domain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Keep the tender opportunity as the shared object tying sources, criteria, evidence, people, decisions and outputs together.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SQLAlchemy models cover core case and diagnostic entities. Versioned baselines and formal decision records should be added deliberately.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Trust and governance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Make findings reproducible and reviewable; preserve source lineage, uncertainty, human acceptance and output readiness.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Anchors, audit events, human-review language, readiness states and prohibited-phrase checks exist; source page-level citations, rule versioning and access policies need expansion.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 and knowledge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Store source files, extracted text, case records and reusable donor/sector/proposal intelligence.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Local SQLite/files and IP capture exist; indexing/search, retention controls, encryption and immutable snapshots are future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Platform and operations</w:t>
            </w:r>
          </w:p>
        </w:tc>
        <w:tc>
          <w:tcPr>
            <w:tcW w:type="dxa" w:w="468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Provide reliable local operation first, then add service controls only when justified by product scope.</w:t>
            </w:r>
          </w:p>
        </w:tc>
        <w:tc>
          <w:tcPr>
            <w:tcW w:type="dxa" w:w="720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Local Streamlit/Python/SQLite MVP exists. Authentication, multi-tenant SaaS, billing and external AI are intentionally not implemented.</w:t>
            </w:r>
          </w:p>
        </w:tc>
      </w:tr>
    </w:tbl>
    <w:p>
      <w:r>
        <w:br w:type="page"/>
      </w:r>
    </w:p>
    <w:p>
      <w:pPr>
        <w:pStyle w:val="Heading1"/>
      </w:pPr>
      <w:r>
        <w:t>Project development framework</w:t>
      </w:r>
    </w:p>
    <w:p>
      <w:r>
        <w:t>Use the Tenderly pattern as a sequence of product questions: what must the operator see, what should be testable before commitment, what needs monitoring, and what foundation makes it dependable? For TenderOS, translate that sequence into a governed tender lifecycle and build in increments.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5"/>
        <w:gridCol w:w="3765"/>
        <w:gridCol w:w="3765"/>
        <w:gridCol w:w="3765"/>
      </w:tblGrid>
      <w:tr>
        <w:trPr>
          <w:tblHeader w:val="true"/>
        </w:trPr>
        <w:tc>
          <w:tcPr>
            <w:tcW w:type="dxa" w:w="2160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968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</w:t>
            </w:r>
          </w:p>
        </w:tc>
        <w:tc>
          <w:tcPr>
            <w:tcW w:type="dxa" w:w="3816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Exit evidence</w:t>
            </w:r>
          </w:p>
        </w:tc>
        <w:tc>
          <w:tcPr>
            <w:tcW w:type="dxa" w:w="3168"/>
            <w:vAlign w:val="center"/>
            <w:shd w:fill="14527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Design guardrail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0. Product boundary and evidence baseline</w:t>
            </w:r>
          </w:p>
        </w:tc>
        <w:tc>
          <w:tcPr>
            <w:tcW w:type="dxa" w:w="49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Confirm users, paid diagnostic service, case lifecycle, local-first deployment, supported tender contexts and exclusions. Capture existing screens, data entities, output examples and failure cases.</w:t>
            </w:r>
          </w:p>
        </w:tc>
        <w:tc>
          <w:tcPr>
            <w:tcW w:type="dxa" w:w="3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Approved concept, source-of-truth inventory, capability register with implemented/partial/proposed tags.</w:t>
            </w:r>
          </w:p>
        </w:tc>
        <w:tc>
          <w:tcPr>
            <w:tcW w:type="dxa" w:w="3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MVP scope already excludes public SaaS, billing, multi-tenant auth and connected AI.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1. Case console and source spine</w:t>
            </w:r>
          </w:p>
        </w:tc>
        <w:tc>
          <w:tcPr>
            <w:tcW w:type="dxa" w:w="49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Make case workspace the stable entry point. Improve source register, amendment/version handling, requirement anchors, global search and activity timeline.</w:t>
            </w:r>
          </w:p>
        </w:tc>
        <w:tc>
          <w:tcPr>
            <w:tcW w:type="dxa" w:w="3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Every finding points to a case, source version and requirement; users can find the latest authoritative input.</w:t>
            </w:r>
          </w:p>
        </w:tc>
        <w:tc>
          <w:tcPr>
            <w:tcW w:type="dxa" w:w="3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Preserve original files; flag OCR uncertainty and require human review.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2. Simulation and decision workbench</w:t>
            </w:r>
          </w:p>
        </w:tc>
        <w:tc>
          <w:tcPr>
            <w:tcW w:type="dxa" w:w="49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Add saved scenarios for bid/no-bid alternatives; make assumptions editable; calculate score/risk changes; compare variants to a locked baseline.</w:t>
            </w:r>
          </w:p>
        </w:tc>
        <w:tc>
          <w:tcPr>
            <w:tcW w:type="dxa" w:w="3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 reviewer can explain why recommendation changed and reproduce each scenario.</w:t>
            </w:r>
          </w:p>
        </w:tc>
        <w:tc>
          <w:tcPr>
            <w:tcW w:type="dxa" w:w="3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 scenario may overwrite evidence or imply certainty; show unknowns and sensitivity.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3. Traceable analysis and reusable modules</w:t>
            </w:r>
          </w:p>
        </w:tc>
        <w:tc>
          <w:tcPr>
            <w:tcW w:type="dxa" w:w="49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Build end-to-end requirement -&gt; evidence -&gt; gap/risk -&gt; proposal section trace. Govern donor/context packs, methodology modules and reusable IP.</w:t>
            </w:r>
          </w:p>
        </w:tc>
        <w:tc>
          <w:tcPr>
            <w:tcW w:type="dxa" w:w="3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Coverage view; source-linked findings; reviewed reusable modules with owner, version and applicability.</w:t>
            </w:r>
          </w:p>
        </w:tc>
        <w:tc>
          <w:tcPr>
            <w:tcW w:type="dxa" w:w="3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Prevent unsupported claims; retain source context and avoid cross-client data leakage.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4. Monitoring and controlled actions</w:t>
            </w:r>
          </w:p>
        </w:tc>
        <w:tc>
          <w:tcPr>
            <w:tcW w:type="dxa" w:w="49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Introduce deadline and addendum tracking, missing-input alerts, stale-data signals and assigned tasks. Add in-app routing before external integrations.</w:t>
            </w:r>
          </w:p>
        </w:tc>
        <w:tc>
          <w:tcPr>
            <w:tcW w:type="dxa" w:w="3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Exceptions are visible, owned, due-dated and auditable; notification delivery can be reconciled.</w:t>
            </w:r>
          </w:p>
        </w:tc>
        <w:tc>
          <w:tcPr>
            <w:tcW w:type="dxa" w:w="3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2F6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External messages, client-facing changes and bid decisions remain human-approved.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5. Verification, packaging and operations</w:t>
            </w:r>
          </w:p>
        </w:tc>
        <w:tc>
          <w:tcPr>
            <w:tcW w:type="dxa" w:w="49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Expand reproducibility, role-based review, output versioning, backup/restore and operational checks. Add hosted/auth/API capability only if deployment model changes.</w:t>
            </w:r>
          </w:p>
        </w:tc>
        <w:tc>
          <w:tcPr>
            <w:tcW w:type="dxa" w:w="38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Repeatable client-ready package with readiness reason, audit trail, source trace and recovery procedure.</w:t>
            </w:r>
          </w:p>
        </w:tc>
        <w:tc>
          <w:tcPr>
            <w:tcW w:type="dxa" w:w="316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Keep local-only as default until security, privacy, support and operating model are specified.</w:t>
            </w:r>
          </w:p>
        </w:tc>
      </w:tr>
    </w:tbl>
    <w:p>
      <w:pPr>
        <w:pStyle w:val="Heading2"/>
      </w:pPr>
      <w:r>
        <w:t>Core product rules</w:t>
      </w:r>
    </w:p>
    <w:p>
      <w:pPr>
        <w:pStyle w:val="ListBullet"/>
      </w:pPr>
      <w:r>
        <w:t>Evidence before assertion: each compliance conclusion, risk and CV claim should resolve to supplied evidence or be marked Gap/Pending Input.</w:t>
      </w:r>
    </w:p>
    <w:p>
      <w:pPr>
        <w:pStyle w:val="ListBullet"/>
      </w:pPr>
      <w:r>
        <w:t>Scenarios are reversible: save assumptions and variants, show the baseline, and explain score changes instead of mutating the case silently.</w:t>
      </w:r>
    </w:p>
    <w:p>
      <w:pPr>
        <w:pStyle w:val="ListBullet"/>
      </w:pPr>
      <w:r>
        <w:t>Human approval at consequential boundaries: bid/no-bid, client-facing language, evidence acceptance and external messages require a named reviewer.</w:t>
      </w:r>
    </w:p>
    <w:p>
      <w:pPr>
        <w:pStyle w:val="ListBullet"/>
      </w:pPr>
      <w:r>
        <w:t>Reproducibility by default: preserve source versions, normalized requirements, rule versions, reviewer actions, readiness result and output package identity.</w:t>
      </w:r>
    </w:p>
    <w:p>
      <w:pPr>
        <w:pStyle w:val="ListBullet"/>
      </w:pPr>
      <w:r>
        <w:t>Local-first remains a product constraint until a separate decision establishes access control, hosting, retention, support and privacy requirements.</w:t>
      </w:r>
    </w:p>
    <w:p>
      <w:pPr>
        <w:pStyle w:val="Heading2"/>
      </w:pPr>
      <w:r>
        <w:t>Measures of progress</w:t>
      </w:r>
    </w:p>
    <w:p>
      <w:r>
        <w:t>Track operational quality rather than win-rate claims: percentage of mandatory requirements linked to a source and evidence state; unresolved mandatory gaps at decision time; time from source intake to reviewed recommendation; extraction correction rate; stale-input/addendum acknowledgement time; verification failures before export; and the proportion of client-ready findings with a complete reviewer and source trail.</w:t>
      </w:r>
    </w:p>
    <w:p>
      <w:pPr>
        <w:spacing w:before="100" w:after="0"/>
      </w:pPr>
      <w:r>
        <w:rPr>
          <w:color w:val="5F6E7A"/>
          <w:sz w:val="14"/>
        </w:rPr>
        <w:t>Sources and scope: Tenderly official documentation (https://docs.tenderly.co/introduction) and product overview (https://tenderly.co/pricing), checked 19 October 2026. TenderOS status is based on tenderproof_os/README.md, QUICKSTART.md, UI modules, models.py and services/ in this workspace; it describes this repository snapshot, not an independently deployed system.</w:t>
      </w:r>
    </w:p>
    <w:sectPr w:rsidR="00FC693F" w:rsidRPr="0006063C" w:rsidSect="00034616">
      <w:footerReference w:type="default" r:id="rId9"/>
      <w:pgSz w:w="16848" w:h="11952" w:orient="landscape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E7D89"/>
        <w:sz w:val="14"/>
      </w:rPr>
      <w:t>Tenderly to TenderOS concept map  |  19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C36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2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52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Tenderly to TenderOS Concept Map</dc:title>
  <dc:subject>Feature mapping, TenderOS architecture layers, and project development framework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