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Supplementary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Material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—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Forecasting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Electricity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Demand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in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Unseen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Regions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This supplement accompanies the manuscript. All tables are generated by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4"/>
        </w:rPr>
        <w:t xml:space="preserve">src/generate_tables.py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from the metric files listed in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4"/>
        </w:rPr>
        <w:t xml:space="preserve">results/tables/table_manifest.csv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Analyses marked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post-review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were added in response to an internal simulated review and are logged in DECISION_LOG.md (D14–D16).</w:t>
      </w:r>
    </w:p>
    <w:bookmarkStart w:id="20" w:name="s1.-full-interval-calibration-results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1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S1. Full interval-calibration results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S1.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Interval calibration on the test period, all settings (48 BAs).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424"/>
        <w:gridCol w:w="347"/>
        <w:gridCol w:w="579"/>
        <w:gridCol w:w="424"/>
        <w:gridCol w:w="734"/>
        <w:gridCol w:w="849"/>
        <w:gridCol w:w="888"/>
        <w:gridCol w:w="1043"/>
        <w:gridCol w:w="965"/>
        <w:gridCol w:w="618"/>
        <w:gridCol w:w="1043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Nominal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Setting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Mean coverage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Min–max coverage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cov. dev.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pp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BAs under-covered &gt;5 pp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Median hourly width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66.7–96.4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4.08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4.46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7.12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54.8–99.5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7.45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70.1–98.0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4.59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86.4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70.0–95.4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4.51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89.9–90.1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7.15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89.7–90.4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83.9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64.8–97.5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4.53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52.6–98.9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7.72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69.2–98.7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7.21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86.9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74.3–96.5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4.58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7.81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89.9–90.2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5.49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89.7–90.4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7.13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77.2–93.3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17.04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27.79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71.7–99.3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20.96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31.43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79.7–95.1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17.98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21.18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27.78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65.7–95.3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13.39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14.38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33.82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89.8–90.1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18.37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98.41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104.47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89.4–90.4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17.75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21.03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27.81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76.1–96.1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17.15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28.26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71.4–99.3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31.88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78.6–97.3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18.14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21.18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28.15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60.8–95.9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14.97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34.15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89.8–90.2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18.6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82.58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88.55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89.4–90.5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17.81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21.32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28.24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41.9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28.2–57.8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21.3–75.8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32.2–67.6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46.9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32.2–62.0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49.6–50.1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48.9–50.3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41.4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27.2–58.7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46.3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20.3–73.6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3.91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47.7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31.0–66.9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47.3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34.0–64.5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49.5–50.2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48.9–50.4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47.6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36.5–55.5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15.27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29.8–74.1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6.11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37.5–56.8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15.28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47.4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20.9–68.8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15.78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49.6–50.2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6.62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15.34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48.6–50.6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6.59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15.28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47.1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36.3–58.2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6.23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15.64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29.9–73.1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6.08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6.28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15.89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37.6–60.7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6.49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15.64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SCP-T4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23.3–65.0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6.15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16.07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49.6–50.2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6.75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15.68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50%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unseen-region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ACI-CQR-V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48.5–50.7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6.63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15.64</w:t>
            </w:r>
          </w:p>
        </w:tc>
      </w:tr>
    </w:tbl>
    <w:bookmarkEnd w:id="20"/>
    <w:bookmarkStart w:id="21" w:name="Xa283943719c32c8dc1f1a151a0ff482722b2175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2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S2. Sensitivity of ACI to the step size (post hoc, test set)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This table was not used for any selection.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S2.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POST-HOC test-set sensitivity of ACI-CQR (90%, unseen BAs) to the step size γ (not used for any selection).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524"/>
        <w:gridCol w:w="407"/>
        <w:gridCol w:w="1106"/>
        <w:gridCol w:w="1048"/>
        <w:gridCol w:w="2212"/>
        <w:gridCol w:w="1572"/>
        <w:gridCol w:w="1048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γ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Mean coverage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Min coverage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Median hourly width % of mean load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Median interval score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Capped hours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7.71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0.46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17.81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28.24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18.05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29.35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18.6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88.55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4.37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19.51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272.91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12.25</w:t>
            </w:r>
          </w:p>
        </w:tc>
      </w:tr>
    </w:tbl>
    <w:bookmarkEnd w:id="21"/>
    <w:bookmarkStart w:id="22" w:name="Xf0ccbcb1c38582799305c83cc403e3378727632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3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S3. Missing-input robustness, all scenarios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S3.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Robustness to missing input observations, all scenarios (test period; common scored hours).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556"/>
        <w:gridCol w:w="742"/>
        <w:gridCol w:w="742"/>
        <w:gridCol w:w="866"/>
        <w:gridCol w:w="1175"/>
        <w:gridCol w:w="1051"/>
        <w:gridCol w:w="928"/>
        <w:gridCol w:w="1856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Scenario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Strategy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Input missing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nMAE % median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nMAE % mean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Min. scored share of hours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2.42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2.46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2.08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2.11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2.07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1.32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2.19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2.64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3.19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3.27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4.04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4.11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2.34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4.22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1.37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1.47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1.56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1.66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clean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1.23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clean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1.17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1.26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clean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1.17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1.28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5.79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BLOCK_168h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BLOCK_24h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5.42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5.41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5.45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5.77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5.79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5.57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5.89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MCAR_20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5.65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6.66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MCAR_40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locf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5.06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MCAR_5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clean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4.64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clean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LGB_G_IN_AUG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4.65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clean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native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</w:tr>
    </w:tbl>
    <w:bookmarkEnd w:id="22"/>
    <w:bookmarkStart w:id="23" w:name="Xf5edabd1cd5e2188161fdf6e4f0d70a4dccd378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4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S4. All paired comparisons of point accuracy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S4.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All paired comparisons of per-BA nMAE (test period).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255"/>
        <w:gridCol w:w="1277"/>
        <w:gridCol w:w="880"/>
        <w:gridCol w:w="1163"/>
        <w:gridCol w:w="851"/>
        <w:gridCol w:w="766"/>
        <w:gridCol w:w="738"/>
        <w:gridCol w:w="1249"/>
        <w:gridCol w:w="738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Median rel. change in nMAE (A vs B)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95% CI (regions bootstrap)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A better (share of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Wilcoxon p (Holm, all)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BAs with A sig. better (block bootstrap)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BAs with B sig. better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[2.5, 4.6]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-9.2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[-11.7, -7.3]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2.1e-08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0.83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-5.4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[-8.1, -3.7]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0.77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0.00052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0.75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-79.6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[-81.7, -77.5]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-19.3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[-22.3, -15.5]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(unseen 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[0.2, 0.6]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(unseen 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-14.8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[-19.7, -11.5]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2.1e-11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-78.1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[-79.2, -76.4]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[1.6, 2.3]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-5.7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[-7.1, -4.0]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3.9e-08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0.79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-3.1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[-5.6, -1.8]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0.71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0.0067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-35.3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[-37.2, -32.6]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6.4e-13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-15.8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[-18.1, -14.1]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(unseen 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[0.1, 0.2]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0.00065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(unseen 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[-15.5, -12.3]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3.6e-12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-32.5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[-35.3, -29.9]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[0.4, 0.7]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2.5e-11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0.52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[-2.2, -0.8]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0.71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-0.8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[-1.6, 0.2]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0.62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0.31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[-15.2, -10.5]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-5.5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[-7.1, -5.2]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(unseen 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[0.0, 0.2]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0.00021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Ridge, global (unseen 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-5.4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[-6.5, -4.6]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-11.7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[-14.3, -10.1]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6.4e-13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–</w:t>
            </w:r>
          </w:p>
        </w:tc>
      </w:tr>
    </w:tbl>
    <w:bookmarkEnd w:id="23"/>
    <w:bookmarkStart w:id="24" w:name="X565a62c2ac338f9f7265e627de26f2ed95d0b42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5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S5. Adaptation at additional onboarding origins (post-review)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S5.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Median nMAE (%) for unseen BAs at three additional onboarding origins (evaluation: the following 365 days).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482"/>
        <w:gridCol w:w="1159"/>
        <w:gridCol w:w="1352"/>
        <w:gridCol w:w="1255"/>
        <w:gridCol w:w="1255"/>
        <w:gridCol w:w="1255"/>
        <w:gridCol w:w="1159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origin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LGB_FT_k13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LGB_FT_k4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LGB_G_LRO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LGB_L_k13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LGB_L_k4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2024-04-01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7.66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2024-07-01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3.82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5.23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6.99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2024-10-01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3.73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3.63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5.52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6.09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2024-04-01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4.95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4.67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7.36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8.26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2024-07-01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4.75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6.21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7.85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2024-10-01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5.34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4.81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6.68</w:t>
            </w:r>
          </w:p>
        </w:tc>
      </w:tr>
    </w:tbl>
    <w:bookmarkEnd w:id="24"/>
    <w:bookmarkStart w:id="25" w:name="X1d17bef8da97f2ebae69f3f193bada9f47de911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6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S6. Spatially blocked leave-region-out folds (post-review)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The nine blocks are the EIA reporting regions NW, CAL, SW, FLA and CAR, plus four merged groups of adjacent single-BA eastern regions: TEX+CENT, MIDW+MIDA, SE+TEN and NE+NY. When a block is held out, all its BAs are excluded from fitting, early stopping and calibration.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S6.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Point accuracy with spatially blocked leave-region-out folds (test period).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742"/>
        <w:gridCol w:w="4042"/>
        <w:gridCol w:w="1897"/>
        <w:gridCol w:w="1237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Method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nMAE % median [IQR]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MASE median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1.14 [0.87, 1.51]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0.194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1.17 [0.90, 1.55]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global (spatially blocked,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1.27 [1.01, 1.61]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0.219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1.28 [1.01, 1.61]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5.48 [4.57, 6.81]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1.009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global (in-region)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4.64 [3.88, 5.87]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0.884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global (unseen region,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4.75 [3.91, 5.91]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0.888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global (spatially blocked, zero-shot)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4.81 [4.02, 6.03]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0.901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LightGBM, local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4.72 [3.94, 5.94]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0.893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Seasonal naive (24 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5.48 [4.57, 6.81]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1.009</w:t>
            </w:r>
          </w:p>
        </w:tc>
      </w:tr>
    </w:tbl>
    <w:bookmarkEnd w:id="25"/>
    <w:bookmarkStart w:id="26" w:name="s7.-excluded-bas-post-review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7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S7. Excluded BAs (post-review)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S7.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Zero-shot forecasts for the five BAs excluded by the selection criteria.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925"/>
        <w:gridCol w:w="617"/>
        <w:gridCol w:w="1131"/>
        <w:gridCol w:w="2057"/>
        <w:gridCol w:w="1645"/>
        <w:gridCol w:w="1542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BA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Mean MW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Zero-shot nMAE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Local nMAE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SN24 nMAE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HST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73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1.99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1.67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7.1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PSEI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2836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0.71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4.77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SEC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3.74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4.16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11.13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SPA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24.38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21.04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30.12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WAUW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2.91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6.45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HST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73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7.02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6.69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7.1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PSEI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2836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4.77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SEC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233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10.29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10.54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11.13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SPA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25.3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23.4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30.12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WAUW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6.44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6.45</w:t>
            </w:r>
          </w:p>
        </w:tc>
      </w:tr>
    </w:tbl>
    <w:bookmarkEnd w:id="26"/>
    <w:bookmarkStart w:id="27" w:name="s8.-conditional-coverage-post-review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8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S8. Conditional coverage (post-review)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S8.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Conditional coverage of 90% intervals by season and by within-BA load decile (0 = lowest).</w:t>
      </w:r>
    </w:p>
    <w:tbl>
      <w:tblPr>
        <w:tblStyle w:val="Table"/>
        <w:tblW w:type="pct" w:w="500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1375"/>
        <w:gridCol w:w="495"/>
        <w:gridCol w:w="2090"/>
        <w:gridCol w:w="880"/>
        <w:gridCol w:w="495"/>
        <w:gridCol w:w="1320"/>
        <w:gridCol w:w="1265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Setting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h (h)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Conditioning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Level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Mean cov. over BAs %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 xml:space="preserve">Min cov. over BAs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DJF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86.8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71.5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JJA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73.5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MAM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80.2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80.3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81.8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83.1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78.7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74.1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65.9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DJF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81.7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JJA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MAM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81.4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86.4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80.4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DJF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JJA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66.2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MAM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68.5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67.5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69.4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67.2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69.5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68.6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70.3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68.9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67.3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65.7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64.9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DJF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JJA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MAM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86.9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(random folds)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83.3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DJF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70.9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JJA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73.6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MAM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73.1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78.5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79.7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82.7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79.2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77.3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76.6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73.7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CQR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64.6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DJF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81.6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JJA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MAM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season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SON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82.1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91.7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90.3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86.9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89.2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85.8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88.2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84.8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80.8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unseen (spatial blocks)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ACI-CQR-S (γ selected on source BAs)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decile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71.4</w:t>
            </w:r>
          </w:p>
        </w:tc>
      </w:tr>
    </w:tbl>
    <w:bookmarkEnd w:id="27"/>
    <w:bookmarkStart w:id="28" w:name="s9.-ridge-penalty-grid-post-review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9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S9. Ridge penalty grid (post-review)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S9.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Ridge penalty grid on the validation (odd ISO) weeks, h = 24 h.</w:t>
      </w:r>
    </w:p>
    <w:tbl>
      <w:tblPr>
        <w:tblStyle w:val="Table"/>
        <w:tblW w:type="auto" w:w="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Ridge penalty λ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Validation median nMAE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5.059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5.059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5.059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5.059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5.059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5.059</w:t>
            </w:r>
          </w:p>
        </w:tc>
      </w:tr>
    </w:tbl>
    <w:bookmarkEnd w:id="28"/>
    <w:bookmarkStart w:id="29" w:name="s10.-adaptation-compute-cost"/>
    <w:p>
      <w:pPr>
        <w:pStyle w:val="Heading1"/>
        <w:keepNext/>
        <w:spacing w:before="240" w:after="120"/>
      </w:pPr>
      <w:r>
        <w:rPr>
          <w:rStyle w:val="SectionNumber"/>
          <w:rFonts w:ascii="Times New Roman" w:hAnsi="Times New Roman" w:cs="Times New Roman" w:eastAsia="Times New Roman"/>
          <w:b/>
          <w:color w:val="000000"/>
          <w:sz w:val="28"/>
        </w:rPr>
        <w:t xml:space="preserve">10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S10. Adaptation compute cost</w:t>
      </w:r>
    </w:p>
    <w:p>
      <w:pPr>
        <w:pStyle w:val="TableCaption"/>
        <w:keepNext/>
        <w:spacing w:line="240" w:lineRule="auto" w:after="8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0"/>
        </w:rPr>
        <w:t xml:space="preserve">Table S10.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Adaptation fit time per target BA (s).</w:t>
      </w:r>
    </w:p>
    <w:tbl>
      <w:tblPr>
        <w:tblStyle w:val="Table"/>
        <w:tblW w:type="auto" w:w="0"/>
        <w:jc w:val="center"/>
        <w:tblBorders>
          <w:top w:val="single" w:sz="4" w:color="000000"/>
          <w:bottom w:val="single" w:sz="4" w:color="000000"/>
          <w:insideH w:val="single" w:sz="4" w:color="00000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h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fit_seconds_per_region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0.062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0.839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0.157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1.017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0.247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1.383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0.297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0.168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0.403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0.256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0.531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0.062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LGB_FT_k1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0.151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0.182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0.232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LGB_L_k13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0.255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LGB_FT_k13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</w:rPr>
              <w:t xml:space="preserve">0.295</w:t>
            </w:r>
          </w:p>
        </w:tc>
      </w:tr>
    </w:tbl>
    <w:bookmarkEnd w:id="29"/>
    <w:sectPr>
      <w:footerReference w:type="default" r:id="rId9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000000"/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— Forecasting Electricity Demand in Unseen Regions</dc:title>
  <dc:creator/>
  <cp:keywords/>
  <dcterms:created xsi:type="dcterms:W3CDTF">2026-10-16T15:45:40Z</dcterms:created>
  <dcterms:modified xsi:type="dcterms:W3CDTF">2026-10-16T15:45:40Z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/home/user/cross-regional-electricity-forecasting/cross_regional_electricity_forecasting/literature/verified_references.bib</vt:lpwstr>
  </property>
  <property fmtid="{D5CDD505-2E9C-101B-9397-08002B2CF9AE}" pid="3" name="csl">
    <vt:lpwstr>/home/user/cross-regional-electricity-forecasting/cross_regional_electricity_forecasting/manuscript/styles/elsevier-harvard.csl</vt:lpwstr>
  </property>
</Properties>
</file>