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[AUTHOR ACTION: date]</w:t>
      </w:r>
    </w:p>
    <w:p>
      <w:r>
        <w:rPr>
          <w:b w:val="0"/>
          <w:i w:val="0"/>
        </w:rPr>
        <w:t>The Editor-in-Chief</w:t>
        <w:br/>
        <w:t>International Journal of Forecasting [or the selected journal]</w:t>
      </w:r>
    </w:p>
    <w:p>
      <w:r>
        <w:rPr>
          <w:b w:val="0"/>
          <w:i w:val="0"/>
        </w:rPr>
        <w:t>Dear Editor,</w:t>
      </w:r>
    </w:p>
    <w:p>
      <w:r>
        <w:rPr>
          <w:b w:val="0"/>
          <w:i w:val="0"/>
        </w:rPr>
        <w:t>We submit the manuscript "Forecasting Electricity Demand in Unseen Regions: A Leave-Regions-Out Benchmark of Global Models, Short-Window Adaptation and Conformal Calibration across 48 U.S. Balancing Authorities" for consideration as a research article.</w:t>
      </w:r>
    </w:p>
    <w:p>
      <w:r>
        <w:rPr>
          <w:b w:val="0"/>
          <w:i w:val="0"/>
        </w:rPr>
        <w:t>Forecasting models are increasingly expected to serve power systems they were not trained on: new or reorganised balancing areas, utilities joining markets, and small balancing authorities without forecasting staff. The manuscript reports a leakage-resistant benchmark, with a protocol frozen in version control before test evaluation, on public EIA Form 930 data for 48 U.S. balancing authorities (2019–2025). It separates geographic from temporal distribution shift for both point accuracy and prediction-interval calibration.</w:t>
      </w:r>
    </w:p>
    <w:p>
      <w:r>
        <w:rPr>
          <w:b w:val="0"/>
          <w:i w:val="0"/>
        </w:rPr>
        <w:t>The main findings are:</w:t>
      </w:r>
    </w:p>
    <w:p>
      <w:pPr>
        <w:pStyle w:val="ListBullet"/>
      </w:pPr>
      <w:r>
        <w:t>a pooled, instance-normalised LightGBM model loses a median 0.5% (day-ahead) to 3.4% (hour-ahead) relative accuracy on balancing authorities it has never seen (1.7% day-ahead and 8.0% hour-ahead when whole regions are held out). With random folds it matches local models day-ahead and beats them intraday; with whole regions held out it matches local models at both horizons. A few systems show much larger intraday losses;</w:t>
      </w:r>
    </w:p>
    <w:p>
      <w:pPr>
        <w:pStyle w:val="ListBullet"/>
      </w:pPr>
      <w:r>
        <w:t>fine-tuning on one to thirteen weeks of target data degraded accuracy at every onboarding date tested;</w:t>
      </w:r>
    </w:p>
    <w:p>
      <w:pPr>
        <w:pStyle w:val="ListBullet"/>
      </w:pPr>
      <w:r>
        <w:t>conformalised quantile regression intervals are near-nominal on average but under-cover in a fifth to a third of systems, whether or not the system was seen in training; and</w:t>
      </w:r>
    </w:p>
    <w:p>
      <w:pPr>
        <w:pStyle w:val="ListBullet"/>
      </w:pPr>
      <w:r>
        <w:t>adaptive conformal inference restores per-system coverage, but its practical value depends on a step size suited to the feedback delay; choosing it on other systems worked well.</w:t>
      </w:r>
    </w:p>
    <w:p>
      <w:r>
        <w:rPr>
          <w:b w:val="0"/>
          <w:i w:val="0"/>
        </w:rPr>
        <w:t>The contribution is an evaluation framework and empirical evidence rather than a new algorithm, which we believe fits the journal's interest in forecast evaluation, probabilistic calibration and reproducible energy forecasting. All code, the frozen protocol, a decision log of every post-freeze amendment and the metrics are openly available, with compact test predictions as a supplementary archive [AUTHOR ACTION: repository/DOI].</w:t>
      </w:r>
    </w:p>
    <w:p>
      <w:r>
        <w:rPr>
          <w:b w:val="0"/>
          <w:i w:val="0"/>
        </w:rPr>
        <w:t>The manuscript is original, has not been published previously and is not under consideration elsewhere. All authors approved the submission. [AUTHOR ACTION: confirm; state any preprint posting; declare competing interests and generative-AI assistance as required by the journal.]</w:t>
      </w:r>
    </w:p>
    <w:p>
      <w:r>
        <w:rPr>
          <w:b w:val="0"/>
          <w:i w:val="0"/>
        </w:rPr>
        <w:t>[AUTHOR ACTION: optional suggested reviewers with institutional e-mails and no conflicts of interest.]</w:t>
      </w:r>
    </w:p>
    <w:p>
      <w:r>
        <w:rPr>
          <w:b w:val="0"/>
          <w:i w:val="0"/>
        </w:rPr>
        <w:t>Yours sincerely,</w:t>
        <w:br/>
        <w:t>[Corresponding author name, affiliation, e-mail, 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