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spacing w:before="240" w:after="120"/>
        <w:jc w:val="center"/>
      </w:pPr>
      <w:r>
        <w:rPr>
          <w:rFonts w:ascii="Times New Roman" w:hAnsi="Times New Roman" w:cs="Times New Roman" w:eastAsia="Times New Roman"/>
          <w:b/>
          <w:color w:val="000000"/>
          <w:sz w:val="32"/>
        </w:rPr>
        <w:t xml:space="preserve">Forecasting</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Electricity</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Demand</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in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Unseen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Regions: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Leave-Regions-Out</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Benchmark</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of</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Global</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Models,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Short-Window</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Adaptation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and</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Conformal</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Calibration</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across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48</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U.S.</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Balancing</w:t>
      </w:r>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Authorities</w:t>
      </w:r>
    </w:p>
    <w:p>
      <w:pPr>
        <w:pStyle w:val="Author"/>
        <w:spacing w:line="360" w:lineRule="auto" w:after="120"/>
      </w:pPr>
      <w:r>
        <w:rPr>
          <w:rFonts w:ascii="Times New Roman" w:hAnsi="Times New Roman" w:cs="Times New Roman" w:eastAsia="Times New Roman"/>
          <w:color w:val="000000"/>
          <w:sz w:val="24"/>
        </w:rPr>
        <w:t xml:space="preserve">[Author 1]</w:t>
      </w:r>
      <w:r>
        <w:rPr>
          <w:rFonts w:ascii="Times New Roman" w:hAnsi="Times New Roman" w:cs="Times New Roman" w:eastAsia="Times New Roman"/>
          <w:color w:val="000000"/>
          <w:sz w:val="24"/>
          <w:vertAlign w:val="superscript"/>
        </w:rPr>
        <w:t xml:space="preserve">a</w:t>
      </w:r>
      <w:r>
        <w:rPr>
          <w:rFonts w:ascii="Times New Roman" w:hAnsi="Times New Roman" w:cs="Times New Roman" w:eastAsia="Times New Roman"/>
          <w:color w:val="000000"/>
          <w:sz w:val="24"/>
        </w:rPr>
        <w:t xml:space="preserve">, [Author 2]</w:t>
      </w:r>
      <w:r>
        <w:rPr>
          <w:rFonts w:ascii="Times New Roman" w:hAnsi="Times New Roman" w:cs="Times New Roman" w:eastAsia="Times New Roman"/>
          <w:color w:val="000000"/>
          <w:sz w:val="24"/>
          <w:vertAlign w:val="superscript"/>
        </w:rPr>
        <w:t xml:space="preserve">b</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[AUTHOR ACTION: names, affiliations, ORCID, corresponding author e-mail]</w:t>
      </w:r>
    </w:p>
    <w:p>
      <w:pPr>
        <w:pStyle w:val="Author"/>
        <w:spacing w:line="360" w:lineRule="auto" w:after="120"/>
      </w:pPr>
      <w:r>
        <w:rPr>
          <w:rFonts w:ascii="Times New Roman" w:hAnsi="Times New Roman" w:cs="Times New Roman" w:eastAsia="Times New Roman"/>
          <w:color w:val="000000"/>
          <w:sz w:val="24"/>
          <w:vertAlign w:val="superscript"/>
        </w:rPr>
        <w:t xml:space="preserve">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[Affiliation 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vertAlign w:val="superscript"/>
        </w:rPr>
        <w:t xml:space="preserve">b</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[Affiliation 2]</w:t>
      </w:r>
    </w:p>
    <w:bookmarkStart w:id="20" w:name="abstract"/>
    <w:p>
      <w:pPr>
        <w:pStyle w:val="Heading1"/>
        <w:keepNext/>
        <w:spacing w:before="240" w:after="120"/>
      </w:pPr>
      <w:r>
        <w:rPr>
          <w:rFonts w:ascii="Times New Roman" w:hAnsi="Times New Roman" w:cs="Times New Roman" w:eastAsia="Times New Roman"/>
          <w:b/>
          <w:color w:val="000000"/>
          <w:sz w:val="28"/>
        </w:rPr>
        <w:t xml:space="preserve">Abstract</w:t>
      </w:r>
    </w:p>
    <w:p>
      <w:pPr>
        <w:pStyle w:val="FirstParagraph"/>
        <w:spacing w:line="360" w:lineRule="auto" w:after="120"/>
        <w:jc w:val="both"/>
      </w:pPr>
      <w:r>
        <w:rPr>
          <w:rFonts w:ascii="Times New Roman" w:hAnsi="Times New Roman" w:cs="Times New Roman" w:eastAsia="Times New Roman"/>
          <w:color w:val="000000"/>
          <w:sz w:val="24"/>
        </w:rPr>
        <w:t xml:space="preserve">Forecasting models are increasingly expected to serve power systems they were not trained on. We benchmark this on hourly EIA-930 demand of 48 U.S. balancing authorities (2019–2025), using a leakage-resistant protocol frozen before test evaluation. A pooled LightGBM model applied to unseen balancing authorities lost a median 0.5% (day-ahead) to 3.4% (hour-ahead) accuracy relative to in-region training. When whole regions were held out the loss rose to 1.7% (day-ahead) and 8.0% (hour-ahead), yet zero-shot forecasts still matched local models trained on four years of target data. Fine-tuning on one to thirteen weeks of target data degraded accuracy. Static conformal intervals under-covered by more than five points in 20.8–33.3% of systems, whether seen or unseen. Adaptive conformal inference, with its step size chosen on other systems, restored per-system coverage at little cost in sharpness.</w:t>
      </w:r>
    </w:p>
    <w:p>
      <w:pPr>
        <w:pStyle w:val="BodyText"/>
        <w:spacing w:line="360" w:lineRule="auto" w:after="120"/>
        <w:jc w:val="both"/>
      </w:pPr>
      <w:r>
        <w:rPr>
          <w:bCs/>
          <w:rFonts w:ascii="Times New Roman" w:hAnsi="Times New Roman" w:cs="Times New Roman" w:eastAsia="Times New Roman"/>
          <w:b/>
          <w:color w:val="000000"/>
          <w:sz w:val="24"/>
        </w:rPr>
        <w:t xml:space="preserve">Keywords: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load forecasting; distribution shift; transfer learning; conformal prediction; global forecasting models; balancing authorities</w:t>
      </w:r>
    </w:p>
    <w:bookmarkEnd w:id="20"/>
    <w:bookmarkStart w:id="21" w:name="introduction"/>
    <w:p>
      <w:pPr>
        <w:pStyle w:val="Heading1"/>
        <w:keepNext/>
        <w:spacing w:before="240" w:after="120"/>
      </w:pPr>
      <w:r>
        <w:rPr>
          <w:rStyle w:val="SectionNumber"/>
          <w:rFonts w:ascii="Times New Roman" w:hAnsi="Times New Roman" w:cs="Times New Roman" w:eastAsia="Times New Roman"/>
          <w:b/>
          <w:color w:val="000000"/>
          <w:sz w:val="28"/>
        </w:rPr>
        <w:t xml:space="preserve">1</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Introduction</w:t>
      </w:r>
    </w:p>
    <w:p>
      <w:pPr>
        <w:pStyle w:val="FirstParagraph"/>
        <w:spacing w:line="360" w:lineRule="auto" w:after="120"/>
        <w:jc w:val="both"/>
      </w:pPr>
      <w:r>
        <w:rPr>
          <w:rFonts w:ascii="Times New Roman" w:hAnsi="Times New Roman" w:cs="Times New Roman" w:eastAsia="Times New Roman"/>
          <w:color w:val="000000"/>
          <w:sz w:val="24"/>
        </w:rPr>
        <w:t xml:space="preserve">Short-term electricity-demand forecasts underpin unit commitment, reserve procurement, interchange scheduling and market operations. Every balancing authority (BA) in the United States produces them, and their errors translate directly into reserve and balancing costs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and Fan, 2016)</w:t>
      </w:r>
      <w:r>
        <w:rPr>
          <w:rFonts w:ascii="Times New Roman" w:hAnsi="Times New Roman" w:cs="Times New Roman" w:eastAsia="Times New Roman"/>
          <w:color w:val="000000"/>
          <w:sz w:val="24"/>
        </w:rPr>
        <w:t xml:space="preserve">. Most published forecasting studies, however, train and test on the same system. In practice, three situations call for a model that works on a system it has not seen:</w:t>
      </w:r>
    </w:p>
    <w:p>
      <w:pPr>
        <w:numPr>
          <w:ilvl w:val="0"/>
          <w:numId w:val="1001"/>
        </w:numPr>
        <w:pStyle w:val="Compact"/>
        <w:spacing w:line="360" w:lineRule="auto" w:after="120"/>
        <w:jc w:val="both"/>
      </w:pPr>
      <w:r>
        <w:rPr>
          <w:rFonts w:ascii="Times New Roman" w:hAnsi="Times New Roman" w:cs="Times New Roman" w:eastAsia="Times New Roman"/>
          <w:color w:val="000000"/>
          <w:sz w:val="24"/>
        </w:rPr>
        <w:t xml:space="preserve">a new or reorganised balancing area;</w:t>
      </w:r>
    </w:p>
    <w:p>
      <w:pPr>
        <w:numPr>
          <w:ilvl w:val="0"/>
          <w:numId w:val="1001"/>
        </w:numPr>
        <w:pStyle w:val="Compact"/>
        <w:spacing w:line="360" w:lineRule="auto" w:after="120"/>
        <w:jc w:val="both"/>
      </w:pPr>
      <w:r>
        <w:rPr>
          <w:rFonts w:ascii="Times New Roman" w:hAnsi="Times New Roman" w:cs="Times New Roman" w:eastAsia="Times New Roman"/>
          <w:color w:val="000000"/>
          <w:sz w:val="24"/>
        </w:rPr>
        <w:t xml:space="preserve">a utility joining a market;</w:t>
      </w:r>
    </w:p>
    <w:p>
      <w:pPr>
        <w:numPr>
          <w:ilvl w:val="0"/>
          <w:numId w:val="1001"/>
        </w:numPr>
        <w:pStyle w:val="Compact"/>
        <w:spacing w:line="360" w:lineRule="auto" w:after="120"/>
        <w:jc w:val="both"/>
      </w:pPr>
      <w:r>
        <w:rPr>
          <w:rFonts w:ascii="Times New Roman" w:hAnsi="Times New Roman" w:cs="Times New Roman" w:eastAsia="Times New Roman"/>
          <w:color w:val="000000"/>
          <w:sz w:val="24"/>
        </w:rPr>
        <w:t xml:space="preserve">a small BA without a dedicated forecasting team.</w:t>
      </w:r>
    </w:p>
    <w:p>
      <w:pPr>
        <w:pStyle w:val="FirstParagraph"/>
        <w:spacing w:line="360" w:lineRule="auto" w:after="120"/>
        <w:jc w:val="both"/>
      </w:pPr>
      <w:r>
        <w:rPr>
          <w:rFonts w:ascii="Times New Roman" w:hAnsi="Times New Roman" w:cs="Times New Roman" w:eastAsia="Times New Roman"/>
          <w:color w:val="000000"/>
          <w:sz w:val="24"/>
        </w:rPr>
        <w:t xml:space="preserve">A forecaster that generalises across regions, and whose prediction intervals remain trustworthy when it does, has engineering value beyond a marginal accuracy gain on a familiar system.</w:t>
      </w:r>
    </w:p>
    <w:p>
      <w:pPr>
        <w:pStyle w:val="BodyText"/>
        <w:spacing w:line="360" w:lineRule="auto" w:after="120"/>
        <w:jc w:val="both"/>
      </w:pPr>
      <w:r>
        <w:rPr>
          <w:rFonts w:ascii="Times New Roman" w:hAnsi="Times New Roman" w:cs="Times New Roman" w:eastAsia="Times New Roman"/>
          <w:color w:val="000000"/>
          <w:sz w:val="24"/>
        </w:rPr>
        <w:t xml:space="preserve">Two developments make cross-region forecasting plausible. First,</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global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models fitted jointly to many series often match or outperform per-series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(Makridakis et al., 2022; Montero-Manso and Hyndman, 2021)</w:t>
      </w:r>
      <w:r>
        <w:rPr>
          <w:rFonts w:ascii="Times New Roman" w:hAnsi="Times New Roman" w:cs="Times New Roman" w:eastAsia="Times New Roman"/>
          <w:color w:val="000000"/>
          <w:sz w:val="24"/>
        </w:rPr>
        <w:t xml:space="preserve">. Second, pre-trained time-series foundation models promise zero-shot forecasting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(Ansari et al., 2024; Das et al., 2024)</w:t>
      </w:r>
      <w:r>
        <w:rPr>
          <w:rFonts w:ascii="Times New Roman" w:hAnsi="Times New Roman" w:cs="Times New Roman" w:eastAsia="Times New Roman"/>
          <w:color w:val="000000"/>
          <w:sz w:val="24"/>
        </w:rPr>
        <w:t xml:space="preserve">. Whether such transfer works for system-level electricity demand, and at what cost to uncertainty quantification, is a question of distribution shift. An unseen BA differs from the training BAs in size, climate, customer mix and data-collection practice (geographic shift), and every BA changes over time through load growth, electrification, behind-the-meter solar and membership changes (temporal shift).</w:t>
      </w:r>
    </w:p>
    <w:p>
      <w:pPr>
        <w:pStyle w:val="BodyText"/>
        <w:spacing w:line="360" w:lineRule="auto" w:after="120"/>
        <w:jc w:val="both"/>
      </w:pPr>
      <w:r>
        <w:rPr>
          <w:rFonts w:ascii="Times New Roman" w:hAnsi="Times New Roman" w:cs="Times New Roman" w:eastAsia="Times New Roman"/>
          <w:color w:val="000000"/>
          <w:sz w:val="24"/>
        </w:rPr>
        <w:t xml:space="preserve">Conformal prediction offers distribution-free coverage guarantees, but only under exchangeability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(Vovk et al., 2005)</w:t>
      </w:r>
      <w:r>
        <w:rPr>
          <w:rFonts w:ascii="Times New Roman" w:hAnsi="Times New Roman" w:cs="Times New Roman" w:eastAsia="Times New Roman"/>
          <w:color w:val="000000"/>
          <w:sz w:val="24"/>
        </w:rPr>
        <w:t xml:space="preserve">. Adaptive variants recover long-run coverage under drift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(Gibbs and Candès, 2021; Zaffran et al., 2022)</w:t>
      </w:r>
      <w:r>
        <w:rPr>
          <w:rFonts w:ascii="Times New Roman" w:hAnsi="Times New Roman" w:cs="Times New Roman" w:eastAsia="Times New Roman"/>
          <w:color w:val="000000"/>
          <w:sz w:val="24"/>
        </w:rPr>
        <w:t xml:space="preserve">. Their behaviour under geographic shift, under the delayed feedback inherent in day-ahead forecasting, and in the start-up period on a new system has not been characterised for system-level load.</w:t>
      </w:r>
    </w:p>
    <w:p>
      <w:pPr>
        <w:pStyle w:val="BodyText"/>
        <w:spacing w:line="360" w:lineRule="auto" w:after="120"/>
        <w:jc w:val="both"/>
      </w:pPr>
      <w:r>
        <w:rPr>
          <w:rFonts w:ascii="Times New Roman" w:hAnsi="Times New Roman" w:cs="Times New Roman" w:eastAsia="Times New Roman"/>
          <w:color w:val="000000"/>
          <w:sz w:val="24"/>
        </w:rPr>
        <w:t xml:space="preserve">This paper asks five research questions:</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How much does forecast accuracy deteriorate when a BA is excluded from training, compared with in-region global and local models?</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How much do one to thirteen weeks of target-region data help, through local training or fine-tuning of a global model?</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Do quantile-regression and conformal prediction intervals remain calibrated under geographic and temporal shift?</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RQ4.</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How robust are the forecasts to temporal drift and to missing input observations?</w:t>
      </w:r>
    </w:p>
    <w:p>
      <w:pPr>
        <w:numPr>
          <w:ilvl w:val="0"/>
          <w:numId w:val="1002"/>
        </w:numPr>
        <w:pStyle w:val="Compact"/>
        <w:spacing w:line="360" w:lineRule="auto" w:after="120"/>
        <w:jc w:val="both"/>
      </w:pPr>
      <w:r>
        <w:rPr>
          <w:bCs/>
          <w:rFonts w:ascii="Times New Roman" w:hAnsi="Times New Roman" w:cs="Times New Roman" w:eastAsia="Times New Roman"/>
          <w:b/>
          <w:color w:val="000000"/>
          <w:sz w:val="24"/>
        </w:rPr>
        <w:t xml:space="preserve">RQ5.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What are the trade-offs among accuracy, interval reliability, computational cost and adaptation data?</w:t>
      </w:r>
    </w:p>
    <w:p>
      <w:pPr>
        <w:pStyle w:val="FirstParagraph"/>
        <w:spacing w:line="360" w:lineRule="auto" w:after="120"/>
        <w:jc w:val="both"/>
      </w:pPr>
      <w:r>
        <w:rPr>
          <w:rFonts w:ascii="Times New Roman" w:hAnsi="Times New Roman" w:cs="Times New Roman" w:eastAsia="Times New Roman"/>
          <w:color w:val="000000"/>
          <w:sz w:val="24"/>
        </w:rPr>
        <w:t xml:space="preserve">The paper is organised as follows. Section 2 reviews related work and Section 3 states the research gap and contributions. Section 4 describes the data, Section 5 formulates the problem, Section 6 presents the methods, Section 7 details the experimental design and Section 8 the metrics. Section 9 reports the results and Section 10 discusses them. Section 11 covers robustness and ablations and Section 12 computational cost. Practical implications, limitations and threats to validity follow in Sections 13–15, and Section 16 concludes.</w:t>
      </w:r>
    </w:p>
    <w:bookmarkEnd w:id="21"/>
    <w:bookmarkStart w:id="22" w:name="related-work"/>
    <w:p>
      <w:pPr>
        <w:pStyle w:val="Heading1"/>
        <w:keepNext/>
        <w:spacing w:before="240" w:after="120"/>
      </w:pPr>
      <w:r>
        <w:rPr>
          <w:rStyle w:val="SectionNumber"/>
          <w:rFonts w:ascii="Times New Roman" w:hAnsi="Times New Roman" w:cs="Times New Roman" w:eastAsia="Times New Roman"/>
          <w:b/>
          <w:color w:val="000000"/>
          <w:sz w:val="28"/>
        </w:rPr>
        <w:t xml:space="preserve">2</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Related work</w:t>
      </w:r>
    </w:p>
    <w:p>
      <w:pPr>
        <w:pStyle w:val="FirstParagraph"/>
        <w:spacing w:line="360" w:lineRule="auto" w:after="120"/>
        <w:jc w:val="both"/>
      </w:pPr>
      <w:r>
        <w:rPr>
          <w:bCs/>
          <w:rFonts w:ascii="Times New Roman" w:hAnsi="Times New Roman" w:cs="Times New Roman" w:eastAsia="Times New Roman"/>
          <w:b/>
          <w:color w:val="000000"/>
          <w:sz w:val="24"/>
        </w:rPr>
        <w:t xml:space="preserve">Load-forecasting benchmarks and the probabilistic turn.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Short-term load forecasting was long dominated by point prediction. Hong and Fan’s tutorial review</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and Fan, 2016)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made the case for probabilistic forecasts and their evaluation. The Global Energy Forecasting Competitions established zonal and hierarchical forecasting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2014)</w:t>
      </w:r>
      <w:r>
        <w:rPr>
          <w:rFonts w:ascii="Times New Roman" w:hAnsi="Times New Roman" w:cs="Times New Roman" w:eastAsia="Times New Roman"/>
          <w:color w:val="000000"/>
          <w:sz w:val="24"/>
        </w:rPr>
        <w:t xml:space="preserve">, quantile-based scoring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2016)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hierarchical probabilistic forecasting with external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2019)</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as standard benchmarks, and later reviews stressed reproducibility and open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2020)</w:t>
      </w:r>
      <w:r>
        <w:rPr>
          <w:rFonts w:ascii="Times New Roman" w:hAnsi="Times New Roman" w:cs="Times New Roman" w:eastAsia="Times New Roman"/>
          <w:color w:val="000000"/>
          <w:sz w:val="24"/>
        </w:rPr>
        <w:t xml:space="preserve">. These benchmarks are, however,</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within-system</w:t>
      </w:r>
      <w:r>
        <w:rPr>
          <w:rFonts w:ascii="Times New Roman" w:hAnsi="Times New Roman" w:cs="Times New Roman" w:eastAsia="Times New Roman"/>
          <w:color w:val="000000"/>
          <w:sz w:val="24"/>
        </w:rPr>
        <w:t xml:space="preserve">: models are trained and tested on zones of the same utility or ISO.</w:t>
      </w:r>
    </w:p>
    <w:p>
      <w:pPr>
        <w:pStyle w:val="BodyText"/>
        <w:spacing w:line="360" w:lineRule="auto" w:after="120"/>
        <w:jc w:val="both"/>
      </w:pPr>
      <w:r>
        <w:rPr>
          <w:rFonts w:ascii="Times New Roman" w:hAnsi="Times New Roman" w:cs="Times New Roman" w:eastAsia="Times New Roman"/>
          <w:color w:val="000000"/>
          <w:sz w:val="24"/>
        </w:rPr>
        <w:t xml:space="preserve">Robustness to</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temporal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shift has received more attention since the COVID-19 pandemic. Adaptive state-space models and online aggregation performed well in a post-pandemic day-ahead competition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(Farrokhabadi et al., 2022)</w:t>
      </w:r>
      <w:r>
        <w:rPr>
          <w:rFonts w:ascii="Times New Roman" w:hAnsi="Times New Roman" w:cs="Times New Roman" w:eastAsia="Times New Roman"/>
          <w:color w:val="000000"/>
          <w:sz w:val="24"/>
        </w:rPr>
        <w:t xml:space="preserve">. Kalman-filter adaptation of additive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(Obst et al., 2021)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was later extended to adaptive probabilistic forecasting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(Vilmarest et al., 2024)</w:t>
      </w:r>
      <w:r>
        <w:rPr>
          <w:rFonts w:ascii="Times New Roman" w:hAnsi="Times New Roman" w:cs="Times New Roman" w:eastAsia="Times New Roman"/>
          <w:color w:val="000000"/>
          <w:sz w:val="24"/>
        </w:rPr>
        <w:t xml:space="preserve">. These studies concern change over time within known systems, not deployment to systems absent from training.</w:t>
      </w:r>
    </w:p>
    <w:p>
      <w:pPr>
        <w:pStyle w:val="BodyText"/>
        <w:spacing w:line="360" w:lineRule="auto" w:after="120"/>
        <w:jc w:val="both"/>
      </w:pPr>
      <w:r>
        <w:rPr>
          <w:bCs/>
          <w:rFonts w:ascii="Times New Roman" w:hAnsi="Times New Roman" w:cs="Times New Roman" w:eastAsia="Times New Roman"/>
          <w:b/>
          <w:color w:val="000000"/>
          <w:sz w:val="24"/>
        </w:rPr>
        <w:t xml:space="preserve">Global versus local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Global models fitted jointly across many series can be as expressive as local models without assuming that the series are similar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(Montero-Manso and Hyndman, 2021)</w:t>
      </w:r>
      <w:r>
        <w:rPr>
          <w:rFonts w:ascii="Times New Roman" w:hAnsi="Times New Roman" w:cs="Times New Roman" w:eastAsia="Times New Roman"/>
          <w:color w:val="000000"/>
          <w:sz w:val="24"/>
        </w:rPr>
        <w:t xml:space="preserve">. Pooled gradient boosting was prominent in the M5 competition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(Makridakis et al., 2022)</w:t>
      </w:r>
      <w:r>
        <w:rPr>
          <w:rFonts w:ascii="Times New Roman" w:hAnsi="Times New Roman" w:cs="Times New Roman" w:eastAsia="Times New Roman"/>
          <w:color w:val="000000"/>
          <w:sz w:val="24"/>
        </w:rPr>
        <w:t xml:space="preserve">, and LightGBM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(Ke et al., 2017)</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a common implementation. Global neural forecasters such as DeepAR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(Salinas et al., 2020)</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N-BEATS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(Oreshkin et al., 2020)</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share the same principle, and simulation evidence clarifies when global models help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(Hewamalage et al., 2022)</w:t>
      </w:r>
      <w:r>
        <w:rPr>
          <w:rFonts w:ascii="Times New Roman" w:hAnsi="Times New Roman" w:cs="Times New Roman" w:eastAsia="Times New Roman"/>
          <w:color w:val="000000"/>
          <w:sz w:val="24"/>
        </w:rPr>
        <w:t xml:space="preserve">. For electricity load, Ahmadi et al. report that global models outperform local ones on Alberta data and include a zero-shot evaluation on regions not used for training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(Ahmadi et al., 2025)</w:t>
      </w:r>
      <w:r>
        <w:rPr>
          <w:rFonts w:ascii="Times New Roman" w:hAnsi="Times New Roman" w:cs="Times New Roman" w:eastAsia="Times New Roman"/>
          <w:color w:val="000000"/>
          <w:sz w:val="24"/>
        </w:rPr>
        <w:t xml:space="preserve">. Ling and Wu compare global, clustered and local probabilistic LightGBM models in a non-energy setting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(Ling and Wu, 2025)</w:t>
      </w:r>
      <w:r>
        <w:rPr>
          <w:rFonts w:ascii="Times New Roman" w:hAnsi="Times New Roman" w:cs="Times New Roman" w:eastAsia="Times New Roman"/>
          <w:color w:val="000000"/>
          <w:sz w:val="24"/>
        </w:rPr>
        <w:t xml:space="preserve">. Most global-versus-local comparisons, however, evaluate series that were pooled during training. Generalisation to withheld series is seldom isolated, and its effect on uncertainty calibration is rarely reported.</w:t>
      </w:r>
    </w:p>
    <w:p>
      <w:pPr>
        <w:pStyle w:val="BodyText"/>
        <w:spacing w:line="360" w:lineRule="auto" w:after="120"/>
        <w:jc w:val="both"/>
      </w:pPr>
      <w:r>
        <w:rPr>
          <w:bCs/>
          <w:rFonts w:ascii="Times New Roman" w:hAnsi="Times New Roman" w:cs="Times New Roman" w:eastAsia="Times New Roman"/>
          <w:b/>
          <w:color w:val="000000"/>
          <w:sz w:val="24"/>
        </w:rPr>
        <w:t xml:space="preserve">Transfer and few-shot learning across regions.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Tzortzis et al. pre-train neural networks on European national demand and adapt them to held-out countries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(Tzortzis et al., 2024)</w:t>
      </w:r>
      <w:r>
        <w:rPr>
          <w:rFonts w:ascii="Times New Roman" w:hAnsi="Times New Roman" w:cs="Times New Roman" w:eastAsia="Times New Roman"/>
          <w:color w:val="000000"/>
          <w:sz w:val="24"/>
        </w:rPr>
        <w:t xml:space="preserve">. Yuan et al. propose a meta-learning initialisation that adapts to unseen German transmission-system-operator areas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(Yuan et al., 2026)</w:t>
      </w:r>
      <w:r>
        <w:rPr>
          <w:rFonts w:ascii="Times New Roman" w:hAnsi="Times New Roman" w:cs="Times New Roman" w:eastAsia="Times New Roman"/>
          <w:color w:val="000000"/>
          <w:sz w:val="24"/>
        </w:rPr>
        <w:t xml:space="preserve">. Hierarchical transfer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(Antoniadis et al., 2024)</w:t>
      </w:r>
      <w:r>
        <w:rPr>
          <w:rFonts w:ascii="Times New Roman" w:hAnsi="Times New Roman" w:cs="Times New Roman" w:eastAsia="Times New Roman"/>
          <w:color w:val="000000"/>
          <w:sz w:val="24"/>
        </w:rPr>
        <w:t xml:space="preserve">, meta-learning for data-scarce consumers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(Tsoumplekas et al., 2025)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cross-building transfer with seasonal adjustment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(Ribeiro et al., 2018)</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address related settings. At building level, BuildingsBench established zero-shot and fine-tuning evaluation on unseen buildings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(Emami et al., 2023)</w:t>
      </w:r>
      <w:r>
        <w:rPr>
          <w:rFonts w:ascii="Times New Roman" w:hAnsi="Times New Roman" w:cs="Times New Roman" w:eastAsia="Times New Roman"/>
          <w:color w:val="000000"/>
          <w:sz w:val="24"/>
        </w:rPr>
        <w:t xml:space="preserve">. These works mostly report point accuracy on a few target regions or on building-level data. Whether transfer preserves</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calibrated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uncertainty for large, independently operated systems remains largely unexamined.</w:t>
      </w:r>
    </w:p>
    <w:p>
      <w:pPr>
        <w:pStyle w:val="BodyText"/>
        <w:spacing w:line="360" w:lineRule="auto" w:after="120"/>
        <w:jc w:val="both"/>
      </w:pPr>
      <w:r>
        <w:rPr>
          <w:bCs/>
          <w:rFonts w:ascii="Times New Roman" w:hAnsi="Times New Roman" w:cs="Times New Roman" w:eastAsia="Times New Roman"/>
          <w:b/>
          <w:color w:val="000000"/>
          <w:sz w:val="24"/>
        </w:rPr>
        <w:t xml:space="preserve">Time-series foundation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Pre-trained forecasters such as Chronos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(Ansari et al., 2024)</w:t>
      </w:r>
      <w:r>
        <w:rPr>
          <w:rFonts w:ascii="Times New Roman" w:hAnsi="Times New Roman" w:cs="Times New Roman" w:eastAsia="Times New Roman"/>
          <w:color w:val="000000"/>
          <w:sz w:val="24"/>
        </w:rPr>
        <w:t xml:space="preserve">, TimesFM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(Das et al., 2024)</w:t>
      </w:r>
      <w:r>
        <w:rPr>
          <w:rFonts w:ascii="Times New Roman" w:hAnsi="Times New Roman" w:cs="Times New Roman" w:eastAsia="Times New Roman"/>
          <w:color w:val="000000"/>
          <w:sz w:val="24"/>
        </w:rPr>
        <w:t xml:space="preserve">, Moirai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(Woo et al., 2024)</w:t>
      </w:r>
      <w:r>
        <w:rPr>
          <w:rFonts w:ascii="Times New Roman" w:hAnsi="Times New Roman" w:cs="Times New Roman" w:eastAsia="Times New Roman"/>
          <w:color w:val="000000"/>
          <w:sz w:val="24"/>
        </w:rPr>
        <w:t xml:space="preserve">, Lag-Llama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(Rasul et al.,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TimeGPT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(Garza and Mergenthaler-Canseco,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claim competitive zero-shot accuracy on unseen datasets. For household load, zero-shot foundation models perform comparably to Transformers trained from scratch</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(Meyer et al., 2025)</w:t>
      </w:r>
      <w:r>
        <w:rPr>
          <w:rFonts w:ascii="Times New Roman" w:hAnsi="Times New Roman" w:cs="Times New Roman" w:eastAsia="Times New Roman"/>
          <w:color w:val="000000"/>
          <w:sz w:val="24"/>
        </w:rPr>
        <w:t xml:space="preserve">. A recent preprint on ERCOT system load reports that interval calibration differs sharply between foundation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(Simeone, 2026)</w:t>
      </w:r>
      <w:r>
        <w:rPr>
          <w:rFonts w:ascii="Times New Roman" w:hAnsi="Times New Roman" w:cs="Times New Roman" w:eastAsia="Times New Roman"/>
          <w:color w:val="000000"/>
          <w:sz w:val="24"/>
        </w:rPr>
        <w:t xml:space="preserve">, and another benchmarks deep sequence models on EIA-930 with per-grid training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2026)</w:t>
      </w:r>
      <w:r>
        <w:rPr>
          <w:rFonts w:ascii="Times New Roman" w:hAnsi="Times New Roman" w:cs="Times New Roman" w:eastAsia="Times New Roman"/>
          <w:color w:val="000000"/>
          <w:sz w:val="24"/>
        </w:rPr>
        <w:t xml:space="preserve">. Calibration of zero-shot models therefore cannot be assumed, which motivates a model-agnostic recalibration layer of the kind studied here.</w:t>
      </w:r>
    </w:p>
    <w:p>
      <w:pPr>
        <w:pStyle w:val="BodyText"/>
        <w:spacing w:line="360" w:lineRule="auto" w:after="120"/>
        <w:jc w:val="both"/>
      </w:pPr>
      <w:r>
        <w:rPr>
          <w:bCs/>
          <w:rFonts w:ascii="Times New Roman" w:hAnsi="Times New Roman" w:cs="Times New Roman" w:eastAsia="Times New Roman"/>
          <w:b/>
          <w:color w:val="000000"/>
          <w:sz w:val="24"/>
        </w:rPr>
        <w:t xml:space="preserve">Probabilistic evaluation and conformal prediction under shift.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evaluate forecasts with proper scoring rules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(Gneiting and Raftery, 2007)</w:t>
      </w:r>
      <w:r>
        <w:rPr>
          <w:rFonts w:ascii="Times New Roman" w:hAnsi="Times New Roman" w:cs="Times New Roman" w:eastAsia="Times New Roman"/>
          <w:color w:val="000000"/>
          <w:sz w:val="24"/>
        </w:rPr>
        <w:t xml:space="preserve">, following the principle of maximising sharpness subject to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(Gneiting et al., 2007)</w:t>
      </w:r>
      <w:r>
        <w:rPr>
          <w:rFonts w:ascii="Times New Roman" w:hAnsi="Times New Roman" w:cs="Times New Roman" w:eastAsia="Times New Roman"/>
          <w:color w:val="000000"/>
          <w:sz w:val="24"/>
        </w:rPr>
        <w:t xml:space="preserve">, and use quantile losses rooted in quantile regression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(Koenker and Bassett, 1978)</w:t>
      </w:r>
      <w:r>
        <w:rPr>
          <w:rFonts w:ascii="Times New Roman" w:hAnsi="Times New Roman" w:cs="Times New Roman" w:eastAsia="Times New Roman"/>
          <w:color w:val="000000"/>
          <w:sz w:val="24"/>
        </w:rPr>
        <w:t xml:space="preserve">. Split conformal prediction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(Lei et al., 2018; Vovk et al., 2005)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gives distribution-free marginal coverage under exchangeability, and conformalised quantile regression adds heteroscedastic adaptivity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(Romano et al., 2019)</w:t>
      </w:r>
      <w:r>
        <w:rPr>
          <w:rFonts w:ascii="Times New Roman" w:hAnsi="Times New Roman" w:cs="Times New Roman" w:eastAsia="Times New Roman"/>
          <w:color w:val="000000"/>
          <w:sz w:val="24"/>
        </w:rPr>
        <w:t xml:space="preserve">. For dependent and drifting data, several extensions exist:</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adaptive conformal inference (ACI) guarantees long-run coverage by updating the target miscoverage online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(Gibbs and Candès, 2021)</w:t>
      </w:r>
      <w:r>
        <w:rPr>
          <w:rFonts w:ascii="Times New Roman" w:hAnsi="Times New Roman" w:cs="Times New Roman" w:eastAsia="Times New Roman"/>
          <w:color w:val="000000"/>
          <w:sz w:val="24"/>
        </w:rPr>
        <w:t xml:space="preserv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aggregated ACI removes the step-size choice and was demonstrated on electricity prices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(Zaffran et al., 2022)</w:t>
      </w:r>
      <w:r>
        <w:rPr>
          <w:rFonts w:ascii="Times New Roman" w:hAnsi="Times New Roman" w:cs="Times New Roman" w:eastAsia="Times New Roman"/>
          <w:color w:val="000000"/>
          <w:sz w:val="24"/>
        </w:rPr>
        <w:t xml:space="preserv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weighted conformal methods bound the loss of coverage under non-exchangeability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(Barber et al., 2023)</w:t>
      </w:r>
      <w:r>
        <w:rPr>
          <w:rFonts w:ascii="Times New Roman" w:hAnsi="Times New Roman" w:cs="Times New Roman" w:eastAsia="Times New Roman"/>
          <w:color w:val="000000"/>
          <w:sz w:val="24"/>
        </w:rPr>
        <w:t xml:space="preserv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EnbPI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(Xu and Xie, 2021)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SPCI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(Xu and Xie,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exploit residual structure;</w:t>
      </w:r>
    </w:p>
    <w:p>
      <w:pPr>
        <w:numPr>
          <w:ilvl w:val="0"/>
          <w:numId w:val="1003"/>
        </w:numPr>
        <w:pStyle w:val="Compact"/>
        <w:spacing w:line="360" w:lineRule="auto" w:after="120"/>
        <w:jc w:val="both"/>
      </w:pPr>
      <w:r>
        <w:rPr>
          <w:rFonts w:ascii="Times New Roman" w:hAnsi="Times New Roman" w:cs="Times New Roman" w:eastAsia="Times New Roman"/>
          <w:color w:val="000000"/>
          <w:sz w:val="24"/>
        </w:rPr>
        <w:t xml:space="preserve">conformal PID control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(Angelopoulos et al., 2023)</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online-optimisation approaches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(Areces et al., 2025)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include electricity-demand experiments.</w:t>
      </w:r>
    </w:p>
    <w:p>
      <w:pPr>
        <w:pStyle w:val="FirstParagraph"/>
        <w:spacing w:line="360" w:lineRule="auto" w:after="120"/>
        <w:jc w:val="both"/>
      </w:pPr>
      <w:r>
        <w:rPr>
          <w:rFonts w:ascii="Times New Roman" w:hAnsi="Times New Roman" w:cs="Times New Roman" w:eastAsia="Times New Roman"/>
          <w:color w:val="000000"/>
          <w:sz w:val="24"/>
        </w:rPr>
        <w:t xml:space="preserve">Conformalised quantile regression has also been applied to transmission-level load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(Matulin et al., 2023)</w:t>
      </w:r>
      <w:r>
        <w:rPr>
          <w:rFonts w:ascii="Times New Roman" w:hAnsi="Times New Roman" w:cs="Times New Roman" w:eastAsia="Times New Roman"/>
          <w:color w:val="000000"/>
          <w:sz w:val="24"/>
        </w:rPr>
        <w:t xml:space="preserve">. Weighted conformal prediction handles known covariate shift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(Tibshirani et al., 2019)</w:t>
      </w:r>
      <w:r>
        <w:rPr>
          <w:rFonts w:ascii="Times New Roman" w:hAnsi="Times New Roman" w:cs="Times New Roman" w:eastAsia="Times New Roman"/>
          <w:color w:val="000000"/>
          <w:sz w:val="24"/>
        </w:rPr>
        <w:t xml:space="preserve">, and strongly adaptive online methods refine ACI</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(Bhatnagar et al., 2023)</w:t>
      </w:r>
      <w:r>
        <w:rPr>
          <w:rFonts w:ascii="Times New Roman" w:hAnsi="Times New Roman" w:cs="Times New Roman" w:eastAsia="Times New Roman"/>
          <w:color w:val="000000"/>
          <w:sz w:val="24"/>
        </w:rPr>
        <w:t xml:space="preserve">. The closest design precedent we found is at building level: a 2026 article in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Applied Sciences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(doi:10.3390/app16167984) holds out whole buildings, combines a LightGBM correction with persistence, and reports loss of conformal coverage on unseen buildings and under sensor missingness. [AUTHOR ACTION: we could not verify this article’s author list from a publisher page; complete the reference before submission.] Our study transfers the question to system-level balancing-authority demand and adds operator benchmarks and spatially blocked folds. Electricity applications of online conformal methods have so far mostly concerned single series under temporal drift. Coverage under</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geographic</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shift, where a model is calibrated on some regions and deployed on a region it has never seen, is less studied for system-level load.</w:t>
      </w:r>
    </w:p>
    <w:p>
      <w:pPr>
        <w:pStyle w:val="BodyText"/>
        <w:spacing w:line="360" w:lineRule="auto" w:after="120"/>
        <w:jc w:val="both"/>
      </w:pPr>
      <w:r>
        <w:rPr>
          <w:bCs/>
          <w:rFonts w:ascii="Times New Roman" w:hAnsi="Times New Roman" w:cs="Times New Roman" w:eastAsia="Times New Roman"/>
          <w:b/>
          <w:color w:val="000000"/>
          <w:sz w:val="24"/>
        </w:rPr>
        <w:t xml:space="preserve">Data quality and evaluation methodology.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EIA-930 provides hourly demand and day-ahead forecasts for U.S. balancing authorities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 Energy Information Administration, 2026)</w:t>
      </w:r>
      <w:r>
        <w:rPr>
          <w:rFonts w:ascii="Times New Roman" w:hAnsi="Times New Roman" w:cs="Times New Roman" w:eastAsia="Times New Roman"/>
          <w:color w:val="000000"/>
          <w:sz w:val="24"/>
        </w:rPr>
        <w:t xml:space="preserve">. Ruggles et al. documented its missing and anomalous values and developed the screening and imputation reimplemented in PUDL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(Catalyst Cooperative, 2026a; Ruggles et al., 2020)</w:t>
      </w:r>
      <w:r>
        <w:rPr>
          <w:rFonts w:ascii="Times New Roman" w:hAnsi="Times New Roman" w:cs="Times New Roman" w:eastAsia="Times New Roman"/>
          <w:color w:val="000000"/>
          <w:sz w:val="24"/>
        </w:rPr>
        <w:t xml:space="preserve">. The comparable European resources, OPSD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(Wiese et al., 2019)</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the ENTSO-E Transparency Platform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(Hirth et al., 2018)</w:t>
      </w:r>
      <w:r>
        <w:rPr>
          <w:rFonts w:ascii="Times New Roman" w:hAnsi="Times New Roman" w:cs="Times New Roman" w:eastAsia="Times New Roman"/>
          <w:color w:val="000000"/>
          <w:sz w:val="24"/>
        </w:rPr>
        <w:t xml:space="preserve">, have documented quality limitations. Robust optimisation has been proposed as an alternative to imputation for missing 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(Stratigakos et al., 2024)</w:t>
      </w:r>
      <w:r>
        <w:rPr>
          <w:rFonts w:ascii="Times New Roman" w:hAnsi="Times New Roman" w:cs="Times New Roman" w:eastAsia="Times New Roman"/>
          <w:color w:val="000000"/>
          <w:sz w:val="24"/>
        </w:rPr>
        <w:t xml:space="preserve">.</w:t>
      </w:r>
    </w:p>
    <w:p>
      <w:pPr>
        <w:pStyle w:val="BodyText"/>
        <w:spacing w:line="360" w:lineRule="auto" w:after="120"/>
        <w:jc w:val="both"/>
      </w:pPr>
      <w:r>
        <w:rPr>
          <w:rFonts w:ascii="Times New Roman" w:hAnsi="Times New Roman" w:cs="Times New Roman" w:eastAsia="Times New Roman"/>
          <w:color w:val="000000"/>
          <w:sz w:val="24"/>
        </w:rPr>
        <w:t xml:space="preserve">Our evaluation design follows established practice. We use rolling-origin and blocked validation for dependent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(Bergmeir et al., 2018; Bergmeir and Benítez, 2012; Tashman, 2000)</w:t>
      </w:r>
      <w:r>
        <w:rPr>
          <w:rFonts w:ascii="Times New Roman" w:hAnsi="Times New Roman" w:cs="Times New Roman" w:eastAsia="Times New Roman"/>
          <w:color w:val="000000"/>
          <w:sz w:val="24"/>
        </w:rPr>
        <w:t xml:space="preserve">, group-blocked validation analogous to spatial cross-validation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(Roberts et al., 2017)</w:t>
      </w:r>
      <w:r>
        <w:rPr>
          <w:rFonts w:ascii="Times New Roman" w:hAnsi="Times New Roman" w:cs="Times New Roman" w:eastAsia="Times New Roman"/>
          <w:color w:val="000000"/>
          <w:sz w:val="24"/>
        </w:rPr>
        <w:t xml:space="preserve">, and scale-free accuracy (MASE)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(Hyndman and Koehler, 2006)</w:t>
      </w:r>
      <w:r>
        <w:rPr>
          <w:rFonts w:ascii="Times New Roman" w:hAnsi="Times New Roman" w:cs="Times New Roman" w:eastAsia="Times New Roman"/>
          <w:color w:val="000000"/>
          <w:sz w:val="24"/>
        </w:rPr>
        <w:t xml:space="preserve">. We test differences with block-bootstrap intervals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(Künsch, 1989; Politis and Romano, 1994)</w:t>
      </w:r>
      <w:r>
        <w:rPr>
          <w:rFonts w:ascii="Times New Roman" w:hAnsi="Times New Roman" w:cs="Times New Roman" w:eastAsia="Times New Roman"/>
          <w:color w:val="000000"/>
          <w:sz w:val="24"/>
        </w:rPr>
        <w:t xml:space="preserve">, in the spirit of Diebold–Mariano comparisons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(Diebold and Mariano, 1995)</w:t>
      </w:r>
      <w:r>
        <w:rPr>
          <w:rFonts w:ascii="Times New Roman" w:hAnsi="Times New Roman" w:cs="Times New Roman" w:eastAsia="Times New Roman"/>
          <w:color w:val="000000"/>
          <w:sz w:val="24"/>
        </w:rPr>
        <w:t xml:space="preserve">, and we avoid known pitfalls in forecast evaluation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(Hewamalage et al., 2023; Lago et al., 2021)</w:t>
      </w:r>
      <w:r>
        <w:rPr>
          <w:rFonts w:ascii="Times New Roman" w:hAnsi="Times New Roman" w:cs="Times New Roman" w:eastAsia="Times New Roman"/>
          <w:color w:val="000000"/>
          <w:sz w:val="24"/>
        </w:rPr>
        <w:t xml:space="preserve">.</w:t>
      </w:r>
    </w:p>
    <w:p>
      <w:pPr>
        <w:pStyle w:val="BodyText"/>
        <w:spacing w:line="360" w:lineRule="auto" w:after="120"/>
        <w:jc w:val="both"/>
      </w:pPr>
      <w:r>
        <w:rPr>
          <w:bCs/>
          <w:rFonts w:ascii="Times New Roman" w:hAnsi="Times New Roman" w:cs="Times New Roman" w:eastAsia="Times New Roman"/>
          <w:b/>
          <w:color w:val="000000"/>
          <w:sz w:val="24"/>
        </w:rPr>
        <w:t xml:space="preserve">Positioning.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Every ingredient of this study has precedent: cross-region transfer, global gradient boosting, adaptive conformal prediction and operator-forecast data. To our knowledge, based on a non-exhaustive search, they have not been combined in a single frozen-protocol evaluation across tens of independently operated U.S. balancing authorities. Such an evaluation separates geographic from temporal shift, quantifies the value of a few weeks of target data, assesses interval coverage under both shifts, and benchmarks against the operators’ own forecasts. Our contribution is this evaluation framework and benchmark, not a new forecasting or conformal algorithm.</w:t>
      </w:r>
    </w:p>
    <w:bookmarkEnd w:id="22"/>
    <w:bookmarkStart w:id="23" w:name="research-gap-and-contributions"/>
    <w:p>
      <w:pPr>
        <w:pStyle w:val="Heading1"/>
        <w:keepNext/>
        <w:spacing w:before="240" w:after="120"/>
      </w:pPr>
      <w:r>
        <w:rPr>
          <w:rStyle w:val="SectionNumber"/>
          <w:rFonts w:ascii="Times New Roman" w:hAnsi="Times New Roman" w:cs="Times New Roman" w:eastAsia="Times New Roman"/>
          <w:b/>
          <w:color w:val="000000"/>
          <w:sz w:val="28"/>
        </w:rPr>
        <w:t xml:space="preserve">3</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Research gap and contributions</w:t>
      </w:r>
    </w:p>
    <w:p>
      <w:pPr>
        <w:pStyle w:val="FirstParagraph"/>
        <w:spacing w:line="360" w:lineRule="auto" w:after="120"/>
        <w:jc w:val="both"/>
      </w:pPr>
      <w:r>
        <w:rPr>
          <w:rFonts w:ascii="Times New Roman" w:hAnsi="Times New Roman" w:cs="Times New Roman" w:eastAsia="Times New Roman"/>
          <w:color w:val="000000"/>
          <w:sz w:val="24"/>
        </w:rPr>
        <w:t xml:space="preserve">The literature review (Section 2 and the supplementary literature matrix) shows that each ingredient of the problem has been studied in isolation:</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transfer to held-out regions, mostly for point forecasts on a few European countries or German control areas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(Tzortzis et al., 2024; Yuan et al., 2026)</w:t>
      </w:r>
      <w:r>
        <w:rPr>
          <w:rFonts w:ascii="Times New Roman" w:hAnsi="Times New Roman" w:cs="Times New Roman" w:eastAsia="Times New Roman"/>
          <w:color w:val="000000"/>
          <w:sz w:val="24"/>
        </w:rPr>
        <w:t xml:space="preserve">;</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global versus local models, mostly on series seen in training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(Ahmadi et al., 2025; Montero-Manso and Hyndman, 2021)</w:t>
      </w:r>
      <w:r>
        <w:rPr>
          <w:rFonts w:ascii="Times New Roman" w:hAnsi="Times New Roman" w:cs="Times New Roman" w:eastAsia="Times New Roman"/>
          <w:color w:val="000000"/>
          <w:sz w:val="24"/>
        </w:rPr>
        <w:t xml:space="preserve">;</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adaptive conformal prediction on single electricity series under temporal drift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(Angelopoulos et al., 2023; Gibbs and Candès, 2021; Zaffran et al., 2022)</w:t>
      </w:r>
      <w:r>
        <w:rPr>
          <w:rFonts w:ascii="Times New Roman" w:hAnsi="Times New Roman" w:cs="Times New Roman" w:eastAsia="Times New Roman"/>
          <w:color w:val="000000"/>
          <w:sz w:val="24"/>
        </w:rPr>
        <w:t xml:space="preserve">;</w:t>
      </w:r>
    </w:p>
    <w:p>
      <w:pPr>
        <w:numPr>
          <w:ilvl w:val="0"/>
          <w:numId w:val="1004"/>
        </w:numPr>
        <w:pStyle w:val="Compact"/>
        <w:spacing w:line="360" w:lineRule="auto" w:after="120"/>
        <w:jc w:val="both"/>
      </w:pPr>
      <w:r>
        <w:rPr>
          <w:rFonts w:ascii="Times New Roman" w:hAnsi="Times New Roman" w:cs="Times New Roman" w:eastAsia="Times New Roman"/>
          <w:color w:val="000000"/>
          <w:sz w:val="24"/>
        </w:rPr>
        <w:t xml:space="preserve">EIA-930 benchmarks trained per grid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(Hong et al., 2026)</w:t>
      </w:r>
      <w:r>
        <w:rPr>
          <w:rFonts w:ascii="Times New Roman" w:hAnsi="Times New Roman" w:cs="Times New Roman" w:eastAsia="Times New Roman"/>
          <w:color w:val="000000"/>
          <w:sz w:val="24"/>
        </w:rPr>
        <w:t xml:space="preserve">.</w:t>
      </w:r>
    </w:p>
    <w:p>
      <w:pPr>
        <w:pStyle w:val="FirstParagraph"/>
        <w:spacing w:line="360" w:lineRule="auto" w:after="120"/>
        <w:jc w:val="both"/>
      </w:pPr>
      <w:r>
        <w:rPr>
          <w:rFonts w:ascii="Times New Roman" w:hAnsi="Times New Roman" w:cs="Times New Roman" w:eastAsia="Times New Roman"/>
          <w:color w:val="000000"/>
          <w:sz w:val="24"/>
        </w:rPr>
        <w:t xml:space="preserve">We found no study that measures, on a common protocol, (i) the accuracy cost of never having seen a system, (ii) the value of a few weeks of target data, and (iii) whether interval coverage survives geographic and temporal shift, across tens of independently operated systems with operator forecasts as a reference. The search was not exhaustive (see Section 14).</w:t>
      </w:r>
    </w:p>
    <w:p>
      <w:pPr>
        <w:pStyle w:val="BodyText"/>
        <w:spacing w:line="360" w:lineRule="auto" w:after="120"/>
        <w:jc w:val="both"/>
      </w:pPr>
      <w:r>
        <w:rPr>
          <w:rFonts w:ascii="Times New Roman" w:hAnsi="Times New Roman" w:cs="Times New Roman" w:eastAsia="Times New Roman"/>
          <w:color w:val="000000"/>
          <w:sz w:val="24"/>
        </w:rPr>
        <w:t xml:space="preserve">The study makes four contributions.</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A leakage-resistant benchmark for cross-region load forecasting with a protocol frozen before test evaluation.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covers 48 U.S. BAs from EIA Form 930 (2019–2025), spanning three orders of magnitude in size. Its components are: leave-regions-out folds in which held-out BAs are excluded from fitting, early stopping and calibration; past-only input screening independent of the label imputation; a protocol and configuration frozen in version control before test evaluation; and a log of every subsequent amendment.</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A quantification of the geographic generalisation gap for instance-normalised global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compare zero-shot, limited-data adaptation, local and in-region regimes at 1-, 6- and 24-h horizons, with BA-level paired statistics that account for temporal dependence.</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An assessment of interval calibration by shift type.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evaluate quantile regression, split conformal prediction, conformalised quantile regression, target-calibrated conformal prediction and adaptive conformal inference with horizon-delayed feedback, separately for in-region and unseen-region deployment and by year and season. This includes the sensitivity of ACI to its step size, which we found to be decisive.</w:t>
      </w:r>
    </w:p>
    <w:p>
      <w:pPr>
        <w:numPr>
          <w:ilvl w:val="0"/>
          <w:numId w:val="1005"/>
        </w:numPr>
        <w:pStyle w:val="Compact"/>
        <w:spacing w:line="360" w:lineRule="auto" w:after="120"/>
        <w:jc w:val="both"/>
      </w:pPr>
      <w:r>
        <w:rPr>
          <w:iCs/>
          <w:rFonts w:ascii="Times New Roman" w:hAnsi="Times New Roman" w:cs="Times New Roman" w:eastAsia="Times New Roman"/>
          <w:i/>
          <w:color w:val="000000"/>
          <w:sz w:val="24"/>
        </w:rPr>
        <w:t xml:space="preserve">Engineering evidence and an open reproducible pipeline.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report robustness to missing inputs, the computational cost of each regime, and a comparison with the BAs’ own day-ahead forecasts. All code, configurations, predictions and metrics are released.</w:t>
      </w:r>
    </w:p>
    <w:p>
      <w:pPr>
        <w:pStyle w:val="FirstParagraph"/>
        <w:spacing w:line="360" w:lineRule="auto" w:after="120"/>
        <w:jc w:val="both"/>
      </w:pPr>
      <w:r>
        <w:rPr>
          <w:rFonts w:ascii="Times New Roman" w:hAnsi="Times New Roman" w:cs="Times New Roman" w:eastAsia="Times New Roman"/>
          <w:color w:val="000000"/>
          <w:sz w:val="24"/>
        </w:rPr>
        <w:t xml:space="preserve">We do not propose a new forecasting algorithm. The contribution is an evaluation framework and the empirical evidence it produces.</w:t>
      </w:r>
    </w:p>
    <w:bookmarkEnd w:id="23"/>
    <w:bookmarkStart w:id="39" w:name="data-and-data-preparation"/>
    <w:p>
      <w:pPr>
        <w:pStyle w:val="Heading1"/>
        <w:keepNext/>
        <w:spacing w:before="240" w:after="120"/>
      </w:pPr>
      <w:r>
        <w:rPr>
          <w:rStyle w:val="SectionNumber"/>
          <w:rFonts w:ascii="Times New Roman" w:hAnsi="Times New Roman" w:cs="Times New Roman" w:eastAsia="Times New Roman"/>
          <w:b/>
          <w:color w:val="000000"/>
          <w:sz w:val="28"/>
        </w:rPr>
        <w:t xml:space="preserve">4</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Data and data preparation</w:t>
      </w:r>
    </w:p>
    <w:bookmarkStart w:id="24" w:name="source-and-licence"/>
    <w:p>
      <w:pPr>
        <w:pStyle w:val="Heading2"/>
        <w:keepNext/>
        <w:spacing w:before="240" w:after="120"/>
      </w:pPr>
      <w:r>
        <w:rPr>
          <w:rStyle w:val="SectionNumber"/>
          <w:rFonts w:ascii="Times New Roman" w:hAnsi="Times New Roman" w:cs="Times New Roman" w:eastAsia="Times New Roman"/>
          <w:b/>
          <w:color w:val="000000"/>
          <w:sz w:val="24"/>
        </w:rPr>
        <w:t xml:space="preserve">4.1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Source and licence</w:t>
      </w:r>
    </w:p>
    <w:p>
      <w:pPr>
        <w:pStyle w:val="FirstParagraph"/>
        <w:spacing w:line="360" w:lineRule="auto" w:after="120"/>
        <w:jc w:val="both"/>
      </w:pPr>
      <w:r>
        <w:rPr>
          <w:rFonts w:ascii="Times New Roman" w:hAnsi="Times New Roman" w:cs="Times New Roman" w:eastAsia="Times New Roman"/>
          <w:color w:val="000000"/>
          <w:sz w:val="24"/>
        </w:rPr>
        <w:t xml:space="preserve">We use the U.S. Energy Information Administration (EIA) Form 930 hourly balancing-authority operations data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 Energy Information Administration, 2026)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as cleaned and published by the Public Utility Data Liberation (PUDL) project of Catalyst Cooperative, release v2026.10.0</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(Catalyst Cooperative, 2026b, 2026a)</w:t>
      </w:r>
      <w:r>
        <w:rPr>
          <w:rFonts w:ascii="Times New Roman" w:hAnsi="Times New Roman" w:cs="Times New Roman" w:eastAsia="Times New Roman"/>
          <w:color w:val="000000"/>
          <w:sz w:val="24"/>
        </w:rPr>
        <w:t xml:space="preserve">. A balancing authority (BA) is the entity that balances generation, interchange and load within its area in real time. A BA’s hourly</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demand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(MWh in an hour, numerically equal to the average MW) is calculated by the BA as metered net generation minus net metered interchange with neighbouring BAs. It therefore excludes behind-the-meter generation such as most rooftop photovoltaics. The EIA data are a U.S. Government work in the public domain; the PUDL release is distributed under CC-BY-4.0. Timestamps are in UTC and mark the end of the hour, so daylight-saving transitions create neither duplicate nor missing timestamps. The raw table contains 70 BAs from July 2015 to September 2026.</w:t>
      </w:r>
    </w:p>
    <w:p>
      <w:pPr>
        <w:pStyle w:val="BodyText"/>
        <w:spacing w:line="360" w:lineRule="auto" w:after="120"/>
        <w:jc w:val="both"/>
      </w:pPr>
      <w:r>
        <w:rPr>
          <w:rFonts w:ascii="Times New Roman" w:hAnsi="Times New Roman" w:cs="Times New Roman" w:eastAsia="Times New Roman"/>
          <w:color w:val="000000"/>
          <w:sz w:val="24"/>
        </w:rPr>
        <w:t xml:space="preserve">The PUDL release also provides a screened demand series in which missing, non-positive, constant-run, spike and other anomalous values are flagged and imputed with the method of Ruggles et 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(Ruggles et al., 2020)</w:t>
      </w:r>
      <w:r>
        <w:rPr>
          <w:rFonts w:ascii="Times New Roman" w:hAnsi="Times New Roman" w:cs="Times New Roman" w:eastAsia="Times New Roman"/>
          <w:color w:val="000000"/>
          <w:sz w:val="24"/>
        </w:rPr>
        <w:t xml:space="preserve">, with a reason code for every flagged hour. Each BA’s reported day-ahead demand forecast is included as well.</w:t>
      </w:r>
    </w:p>
    <w:p>
      <w:pPr>
        <w:pStyle w:val="BodyText"/>
        <w:spacing w:line="360" w:lineRule="auto" w:after="120"/>
        <w:jc w:val="both"/>
      </w:pPr>
      <w:r>
        <w:rPr>
          <w:rFonts w:ascii="Times New Roman" w:hAnsi="Times New Roman" w:cs="Times New Roman" w:eastAsia="Times New Roman"/>
          <w:color w:val="000000"/>
          <w:sz w:val="24"/>
        </w:rPr>
        <w:t xml:space="preserve">The project brief originally specified the Open Power System Data (OPSD) time-series package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(Wiese et al., 2019)</w:t>
      </w:r>
      <w:r>
        <w:rPr>
          <w:rFonts w:ascii="Times New Roman" w:hAnsi="Times New Roman" w:cs="Times New Roman" w:eastAsia="Times New Roman"/>
          <w:color w:val="000000"/>
          <w:sz w:val="24"/>
        </w:rPr>
        <w:t xml:space="preserve">. Its hosts were not reachable from the execution environment, so OPSD could not be used. A converter from the OPSD 60-minute file to our panel format is provided with the code for a European replication.</w:t>
      </w:r>
    </w:p>
    <w:bookmarkEnd w:id="24"/>
    <w:bookmarkStart w:id="37" w:name="region-selection"/>
    <w:p>
      <w:pPr>
        <w:pStyle w:val="Heading2"/>
        <w:keepNext/>
        <w:spacing w:before="240" w:after="120"/>
      </w:pPr>
      <w:r>
        <w:rPr>
          <w:rStyle w:val="SectionNumber"/>
          <w:rFonts w:ascii="Times New Roman" w:hAnsi="Times New Roman" w:cs="Times New Roman" w:eastAsia="Times New Roman"/>
          <w:b/>
          <w:color w:val="000000"/>
          <w:sz w:val="24"/>
        </w:rPr>
        <w:t xml:space="preserve">4.2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Region selection</w:t>
      </w:r>
    </w:p>
    <w:p>
      <w:pPr>
        <w:pStyle w:val="FirstParagraph"/>
        <w:spacing w:line="360" w:lineRule="auto" w:after="120"/>
        <w:jc w:val="both"/>
      </w:pPr>
      <w:r>
        <w:rPr>
          <w:rFonts w:ascii="Times New Roman" w:hAnsi="Times New Roman" w:cs="Times New Roman" w:eastAsia="Times New Roman"/>
          <w:color w:val="000000"/>
          <w:sz w:val="24"/>
        </w:rPr>
        <w:t xml:space="preserve">We fixed the study window to 2019–2025 and, before any modelling, applied the following inclusion criteria to the 66 BAs present in that window:</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not a generation-only BA;</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in the Eastern, Western or ERCOT interconnection;</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active through 2025;</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reported demand available for at least 97% of hours;</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at most 5% of hours flagged by PUDL screening, and no year discarded as 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bad year</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mean demand of at least 200 MW;</w:t>
      </w:r>
    </w:p>
    <w:p>
      <w:pPr>
        <w:numPr>
          <w:ilvl w:val="0"/>
          <w:numId w:val="1006"/>
        </w:numPr>
        <w:pStyle w:val="Compact"/>
        <w:spacing w:line="360" w:lineRule="auto" w:after="120"/>
        <w:jc w:val="both"/>
      </w:pPr>
      <w:r>
        <w:rPr>
          <w:rFonts w:ascii="Times New Roman" w:hAnsi="Times New Roman" w:cs="Times New Roman" w:eastAsia="Times New Roman"/>
          <w:color w:val="000000"/>
          <w:sz w:val="24"/>
        </w:rPr>
        <w:t xml:space="preserve">a documented reporting time zone.</w:t>
      </w:r>
    </w:p>
    <w:p>
      <w:pPr>
        <w:pStyle w:val="FirstParagraph"/>
        <w:spacing w:line="360" w:lineRule="auto" w:after="120"/>
        <w:jc w:val="both"/>
      </w:pPr>
      <w:r>
        <w:rPr>
          <w:rFonts w:ascii="Times New Roman" w:hAnsi="Times New Roman" w:cs="Times New Roman" w:eastAsia="Times New Roman"/>
          <w:color w:val="000000"/>
          <w:sz w:val="24"/>
        </w:rPr>
        <w:t xml:space="preserve">48 BAs satisfy all criteria: 21 in the Eastern interconnection, 26 in the Western and 1 in ERCOT (Fig. 2; Appendix Table A1). Their mean demand ranges from 218 MW (CHPD) to 91,577 MW (PJM), a ratio of about 419:1, and their climates range from the Pacific Northwest to Florida and the desert Southwest. Fig. 3 illustrates the resulting differences in daily and seasonal shape.</w:t>
      </w:r>
    </w:p>
    <w:p>
      <w:pPr>
        <w:pStyle w:val="BodyText"/>
        <w:spacing w:line="360" w:lineRule="auto" w:after="120"/>
        <w:jc w:val="both"/>
      </w:pPr>
      <w:r>
        <w:rPr>
          <w:rFonts w:ascii="Times New Roman" w:hAnsi="Times New Roman" w:cs="Times New Roman" w:eastAsia="Times New Roman"/>
          <w:color w:val="000000"/>
          <w:sz w:val="24"/>
        </w:rPr>
        <w:t xml:space="preserve">The panel contains 2,945,664 BA-hours (61,368 hours per BA). Of these, 0.55% are flagged by PUDL screening (Fig. 4).</w:t>
      </w:r>
    </w:p>
    <w:p>
      <w:pPr>
        <w:pStyle w:val="BodyText"/>
        <w:keepNext/>
        <w:spacing w:line="240" w:lineRule="auto"/>
        <w:jc w:val="center"/>
      </w:pPr>
      <w:r>
        <w:drawing>
          <wp:inline>
            <wp:extent cx="5334000" cy="2545736"/>
            <wp:effectExtent b="0" l="0" r="0" t="0"/>
            <wp:docPr descr="" title="" id="26" name="Picture"/>
            <a:graphic>
              <a:graphicData uri="http://schemas.openxmlformats.org/drawingml/2006/picture">
                <pic:pic>
                  <pic:nvPicPr>
                    <pic:cNvPr descr="/home/user/cross-regional-electricity-forecasting/cross_regional_electricity_forecasting/figures/fig01_workflow.png" id="27" name="Picture"/>
                    <pic:cNvPicPr>
                      <a:picLocks noChangeArrowheads="1" noChangeAspect="1"/>
                    </pic:cNvPicPr>
                  </pic:nvPicPr>
                  <pic:blipFill>
                    <a:blip r:embed="rId25"/>
                    <a:stretch>
                      <a:fillRect/>
                    </a:stretch>
                  </pic:blipFill>
                  <pic:spPr bwMode="auto">
                    <a:xfrm>
                      <a:off x="0" y="0"/>
                      <a:ext cx="5334000" cy="2545736"/>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Research workflow and leakage-resistant evaluation design.</w:t>
      </w:r>
    </w:p>
    <w:p>
      <w:pPr>
        <w:pStyle w:val="BodyText"/>
        <w:keepNext/>
        <w:spacing w:line="240" w:lineRule="auto"/>
        <w:jc w:val="center"/>
      </w:pPr>
      <w:r>
        <w:drawing>
          <wp:inline>
            <wp:extent cx="5334000" cy="4605585"/>
            <wp:effectExtent b="0" l="0" r="0" t="0"/>
            <wp:docPr descr="" title="" id="29" name="Picture"/>
            <a:graphic>
              <a:graphicData uri="http://schemas.openxmlformats.org/drawingml/2006/picture">
                <pic:pic>
                  <pic:nvPicPr>
                    <pic:cNvPr descr="/home/user/cross-regional-electricity-forecasting/cross_regional_electricity_forecasting/figures/fig02_dataset_coverage.png" id="30" name="Picture"/>
                    <pic:cNvPicPr>
                      <a:picLocks noChangeArrowheads="1" noChangeAspect="1"/>
                    </pic:cNvPicPr>
                  </pic:nvPicPr>
                  <pic:blipFill>
                    <a:blip r:embed="rId28"/>
                    <a:stretch>
                      <a:fillRect/>
                    </a:stretch>
                  </pic:blipFill>
                  <pic:spPr bwMode="auto">
                    <a:xfrm>
                      <a:off x="0" y="0"/>
                      <a:ext cx="5334000" cy="4605585"/>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Selected balancing authorities: (a) mean demand by interconnection; (b) share of hours flagged by PUDL screening or missing, by year.</w:t>
      </w:r>
    </w:p>
    <w:p>
      <w:pPr>
        <w:pStyle w:val="BodyText"/>
        <w:keepNext/>
        <w:spacing w:line="240" w:lineRule="auto"/>
        <w:jc w:val="center"/>
      </w:pPr>
      <w:r>
        <w:drawing>
          <wp:inline>
            <wp:extent cx="5334000" cy="3004310"/>
            <wp:effectExtent b="0" l="0" r="0" t="0"/>
            <wp:docPr descr="" title="" id="32" name="Picture"/>
            <a:graphic>
              <a:graphicData uri="http://schemas.openxmlformats.org/drawingml/2006/picture">
                <pic:pic>
                  <pic:nvPicPr>
                    <pic:cNvPr descr="/home/user/cross-regional-electricity-forecasting/cross_regional_electricity_forecasting/figures/fig03_example_series.png" id="33" name="Picture"/>
                    <pic:cNvPicPr>
                      <a:picLocks noChangeArrowheads="1" noChangeAspect="1"/>
                    </pic:cNvPicPr>
                  </pic:nvPicPr>
                  <pic:blipFill>
                    <a:blip r:embed="rId31"/>
                    <a:stretch>
                      <a:fillRect/>
                    </a:stretch>
                  </pic:blipFill>
                  <pic:spPr bwMode="auto">
                    <a:xfrm>
                      <a:off x="0" y="0"/>
                      <a:ext cx="5334000" cy="3004310"/>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3.</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Normalised hourly demand of three BAs of different size and climate (validation year 2023; test data not shown).</w:t>
      </w:r>
    </w:p>
    <w:p>
      <w:pPr>
        <w:pStyle w:val="BodyText"/>
        <w:keepNext/>
        <w:spacing w:line="240" w:lineRule="auto"/>
        <w:jc w:val="center"/>
      </w:pPr>
      <w:r>
        <w:drawing>
          <wp:inline>
            <wp:extent cx="5334000" cy="2127946"/>
            <wp:effectExtent b="0" l="0" r="0" t="0"/>
            <wp:docPr descr="" title="" id="35" name="Picture"/>
            <a:graphic>
              <a:graphicData uri="http://schemas.openxmlformats.org/drawingml/2006/picture">
                <pic:pic>
                  <pic:nvPicPr>
                    <pic:cNvPr descr="/home/user/cross-regional-electricity-forecasting/cross_regional_electricity_forecasting/figures/fig04_data_quality.png" id="36" name="Picture"/>
                    <pic:cNvPicPr>
                      <a:picLocks noChangeArrowheads="1" noChangeAspect="1"/>
                    </pic:cNvPicPr>
                  </pic:nvPicPr>
                  <pic:blipFill>
                    <a:blip r:embed="rId34"/>
                    <a:stretch>
                      <a:fillRect/>
                    </a:stretch>
                  </pic:blipFill>
                  <pic:spPr bwMode="auto">
                    <a:xfrm>
                      <a:off x="0" y="0"/>
                      <a:ext cx="5334000" cy="2127946"/>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4.</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PUDL screening codes by BA (2019–2025, sorted by mean demand). Flagged hours are excluded from scoring; model inputs use an independent causal screen.</w:t>
      </w:r>
    </w:p>
    <w:bookmarkEnd w:id="37"/>
    <w:bookmarkStart w:id="38" w:name="labels-inputs-and-leakage-control"/>
    <w:p>
      <w:pPr>
        <w:pStyle w:val="Heading2"/>
        <w:keepNext/>
        <w:spacing w:before="240" w:after="120"/>
      </w:pPr>
      <w:r>
        <w:rPr>
          <w:rStyle w:val="SectionNumber"/>
          <w:rFonts w:ascii="Times New Roman" w:hAnsi="Times New Roman" w:cs="Times New Roman" w:eastAsia="Times New Roman"/>
          <w:b/>
          <w:color w:val="000000"/>
          <w:sz w:val="24"/>
        </w:rPr>
        <w:t xml:space="preserve">4.3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Labels, inputs and leakage control</w:t>
      </w:r>
    </w:p>
    <w:p>
      <w:pPr>
        <w:pStyle w:val="FirstParagraph"/>
        <w:spacing w:line="360" w:lineRule="auto" w:after="120"/>
        <w:jc w:val="both"/>
      </w:pPr>
      <w:r>
        <w:rPr>
          <w:rFonts w:ascii="Times New Roman" w:hAnsi="Times New Roman" w:cs="Times New Roman" w:eastAsia="Times New Roman"/>
          <w:color w:val="000000"/>
          <w:sz w:val="24"/>
        </w:rPr>
        <w:t xml:space="preserve">Labels and inputs are deliberately constructed differently.</w:t>
      </w:r>
    </w:p>
    <w:p>
      <w:pPr>
        <w:pStyle w:val="BodyText"/>
        <w:spacing w:line="360" w:lineRule="auto" w:after="120"/>
        <w:jc w:val="both"/>
      </w:pPr>
      <w:r>
        <w:rPr>
          <w:bCs/>
          <w:rFonts w:ascii="Times New Roman" w:hAnsi="Times New Roman" w:cs="Times New Roman" w:eastAsia="Times New Roman"/>
          <w:b/>
          <w:color w:val="000000"/>
          <w:sz w:val="24"/>
        </w:rPr>
        <w:t xml:space="preserve">Labels.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training and evaluation label</w:t>
      </w:r>
      <w:r>
        <w:rPr>
          <w:rFonts w:ascii="Times New Roman" w:hAnsi="Times New Roman" w:cs="Times New Roman" w:eastAsia="Times New Roman"/>
          <w:color w:val="000000"/>
          <w:sz w:val="24"/>
        </w:rPr>
        <w:t xml:space="preserve"> </w:t>
      </w:r>
      <m:oMath>
        <m:sSub>
          <m:e>
            <m:r>
              <m:t>y</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 PUDL screened demand. Training and scoring use only hours whose reported value was retained by the screening (no reason code). Imputed hours are never scored.</w:t>
      </w:r>
    </w:p>
    <w:p>
      <w:pPr>
        <w:pStyle w:val="BodyText"/>
        <w:spacing w:line="360" w:lineRule="auto" w:after="120"/>
        <w:jc w:val="both"/>
      </w:pPr>
      <w:r>
        <w:rPr>
          <w:bCs/>
          <w:rFonts w:ascii="Times New Roman" w:hAnsi="Times New Roman" w:cs="Times New Roman" w:eastAsia="Times New Roman"/>
          <w:b/>
          <w:color w:val="000000"/>
          <w:sz w:val="24"/>
        </w:rPr>
        <w:t xml:space="preserve">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PUDL’s screening uses two-sided windows and whole-series statistics, so using screened values as model</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would leak future information. The input series</w:t>
      </w:r>
      <w:r>
        <w:rPr>
          <w:rFonts w:ascii="Times New Roman" w:hAnsi="Times New Roman" w:cs="Times New Roman" w:eastAsia="Times New Roman"/>
          <w:color w:val="000000"/>
          <w:sz w:val="24"/>
        </w:rPr>
        <w:t xml:space="preserve"> </w:t>
      </w:r>
      <m:oMath>
        <m:sSub>
          <m:e>
            <m:r>
              <m:t>x</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therefore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reported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demand after a causal screen that uses only strictly earlier hours. Non-positive values are set to missing, as is any value above 2.5 times or below 0.25 times the median of the preceding 168 hours (at least 24 observations required). This screen removes 0.33% of input hours.</w:t>
      </w:r>
    </w:p>
    <w:p>
      <w:pPr>
        <w:pStyle w:val="BodyText"/>
        <w:spacing w:line="360" w:lineRule="auto" w:after="120"/>
        <w:jc w:val="both"/>
      </w:pPr>
      <w:r>
        <w:rPr>
          <w:rFonts w:ascii="Times New Roman" w:hAnsi="Times New Roman" w:cs="Times New Roman" w:eastAsia="Times New Roman"/>
          <w:color w:val="000000"/>
          <w:sz w:val="24"/>
        </w:rPr>
        <w:t xml:space="preserve">Unit tests verify the leakage controls by perturbing every input after a forecast origin and checking that all features at that origin are unchanged.</w:t>
      </w:r>
    </w:p>
    <w:bookmarkEnd w:id="38"/>
    <w:bookmarkEnd w:id="39"/>
    <w:bookmarkStart w:id="40" w:name="problem-formulation"/>
    <w:p>
      <w:pPr>
        <w:pStyle w:val="Heading1"/>
        <w:keepNext/>
        <w:spacing w:before="240" w:after="120"/>
      </w:pPr>
      <w:r>
        <w:rPr>
          <w:rStyle w:val="SectionNumber"/>
          <w:rFonts w:ascii="Times New Roman" w:hAnsi="Times New Roman" w:cs="Times New Roman" w:eastAsia="Times New Roman"/>
          <w:b/>
          <w:color w:val="000000"/>
          <w:sz w:val="28"/>
        </w:rPr>
        <w:t xml:space="preserve">5</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Problem formulation</w:t>
      </w:r>
    </w:p>
    <w:p>
      <w:pPr>
        <w:pStyle w:val="FirstParagraph"/>
        <w:spacing w:line="360" w:lineRule="auto" w:after="120"/>
        <w:jc w:val="both"/>
      </w:pPr>
      <w:r>
        <w:rPr>
          <w:rFonts w:ascii="Times New Roman" w:hAnsi="Times New Roman" w:cs="Times New Roman" w:eastAsia="Times New Roman"/>
          <w:color w:val="000000"/>
          <w:sz w:val="24"/>
        </w:rPr>
        <w:t xml:space="preserve">Let</w:t>
      </w:r>
      <w:r>
        <w:rPr>
          <w:rFonts w:ascii="Times New Roman" w:hAnsi="Times New Roman" w:cs="Times New Roman" w:eastAsia="Times New Roman"/>
          <w:color w:val="000000"/>
          <w:sz w:val="24"/>
        </w:rPr>
        <w:t xml:space="preserve"> </w:t>
      </w:r>
      <m:oMath>
        <m:r>
          <m:t>r</m:t>
        </m:r>
        <m:r>
          <m:rPr>
            <m:sty m:val="p"/>
          </m:rPr>
          <m:t>∈</m:t>
        </m:r>
        <m:r>
          <m:rPr>
            <m:sty m:val="p"/>
            <m:scr m:val="script"/>
          </m:rPr>
          <m:t>R</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index BAs and</w:t>
      </w:r>
      <w:r>
        <w:rPr>
          <w:rFonts w:ascii="Times New Roman" w:hAnsi="Times New Roman" w:cs="Times New Roman" w:eastAsia="Times New Roman"/>
          <w:color w:val="000000"/>
          <w:sz w:val="24"/>
        </w:rPr>
        <w:t xml:space="preserve"> </w:t>
      </w:r>
      <m:oMath>
        <m:r>
          <m:t>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hours. For horizon</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6</m:t>
        </m:r>
        <m:r>
          <m:rPr>
            <m:sty m:val="p"/>
          </m:rPr>
          <m:t>,</m:t>
        </m:r>
        <m:r>
          <m:t>24</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we forecast</w:t>
      </w:r>
      <w:r>
        <w:rPr>
          <w:rFonts w:ascii="Times New Roman" w:hAnsi="Times New Roman" w:cs="Times New Roman" w:eastAsia="Times New Roman"/>
          <w:color w:val="000000"/>
          <w:sz w:val="24"/>
        </w:rPr>
        <w:t xml:space="preserve"> </w:t>
      </w:r>
      <m:oMath>
        <m:sSub>
          <m:e>
            <m:r>
              <m:t>y</m:t>
            </m:r>
          </m:e>
          <m:sub>
            <m:r>
              <m:t>r</m:t>
            </m:r>
            <m:r>
              <m:rPr>
                <m:sty m:val="p"/>
              </m:rPr>
              <m:t>,</m:t>
            </m:r>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origin</w:t>
      </w:r>
      <w:r>
        <w:rPr>
          <w:rFonts w:ascii="Times New Roman" w:hAnsi="Times New Roman" w:cs="Times New Roman" w:eastAsia="Times New Roman"/>
          <w:color w:val="000000"/>
          <w:sz w:val="24"/>
        </w:rPr>
        <w:t xml:space="preserve"> </w:t>
      </w:r>
      <m:oMath>
        <m:r>
          <m:t>o</m:t>
        </m:r>
        <m:r>
          <m:rPr>
            <m:sty m:val="p"/>
          </m:rPr>
          <m:t>=</m:t>
        </m:r>
        <m:r>
          <m:t>t</m:t>
        </m:r>
        <m:r>
          <m:rPr>
            <m:sty m:val="p"/>
          </m:rPr>
          <m:t>−</m:t>
        </m:r>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using</w:t>
      </w:r>
      <w:r>
        <w:rPr>
          <w:rFonts w:ascii="Times New Roman" w:hAnsi="Times New Roman" w:cs="Times New Roman" w:eastAsia="Times New Roman"/>
          <w:color w:val="000000"/>
          <w:sz w:val="24"/>
        </w:rPr>
        <w:t xml:space="preserve"> </w:t>
      </w:r>
      <m:oMath>
        <m:r>
          <m:rPr>
            <m:sty m:val="p"/>
          </m:rPr>
          <m:t>{</m:t>
        </m:r>
        <m:sSub>
          <m:e>
            <m:r>
              <m:t>x</m:t>
            </m:r>
          </m:e>
          <m:sub>
            <m:r>
              <m:t>r</m:t>
            </m:r>
            <m:r>
              <m:rPr>
                <m:sty m:val="p"/>
              </m:rPr>
              <m:t>,</m:t>
            </m:r>
            <m:r>
              <m:t>s</m:t>
            </m:r>
          </m:sub>
        </m:sSub>
        <m:r>
          <m:rPr>
            <m:sty m:val="p"/>
          </m:rPr>
          <m:t>:</m:t>
        </m:r>
        <m:r>
          <m:t>s</m:t>
        </m:r>
        <m:r>
          <m:rPr>
            <m:sty m:val="p"/>
          </m:rPr>
          <m:t>≤</m:t>
        </m:r>
        <m:r>
          <m:t>o</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deterministic calendar information about</w:t>
      </w:r>
      <w:r>
        <w:rPr>
          <w:rFonts w:ascii="Times New Roman" w:hAnsi="Times New Roman" w:cs="Times New Roman" w:eastAsia="Times New Roman"/>
          <w:color w:val="000000"/>
          <w:sz w:val="24"/>
        </w:rPr>
        <w:t xml:space="preserve"> </w:t>
      </w:r>
      <m:oMath>
        <m:r>
          <m:t>t</m:t>
        </m:r>
      </m:oMath>
      <w:r>
        <w:rPr>
          <w:rFonts w:ascii="Times New Roman" w:hAnsi="Times New Roman" w:cs="Times New Roman" w:eastAsia="Times New Roman"/>
          <w:color w:val="000000"/>
          <w:sz w:val="24"/>
        </w:rPr>
        <w:t xml:space="preserve">. We use the direct strategy, with one model per horizon. The 24-h horizon approximates the information set of a day-ahead forecast issued one day before each target hour. The 1-h and 6-h horizons correspond to intraday operation.</w:t>
      </w:r>
    </w:p>
    <w:p>
      <w:pPr>
        <w:pStyle w:val="BodyText"/>
        <w:spacing w:line="360" w:lineRule="auto" w:after="120"/>
        <w:jc w:val="both"/>
      </w:pPr>
      <w:r>
        <w:rPr>
          <w:rFonts w:ascii="Times New Roman" w:hAnsi="Times New Roman" w:cs="Times New Roman" w:eastAsia="Times New Roman"/>
          <w:color w:val="000000"/>
          <w:sz w:val="24"/>
        </w:rPr>
        <w:t xml:space="preserve">To allow one model to serve BAs whose demand differs by three orders of magnitude, and to forecast BAs that were never seen, we normalise each example by an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instance scale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computed at the origin:</w:t>
      </w:r>
    </w:p>
    <w:p>
      <w:pPr>
        <w:pStyle w:val="BodyText"/>
        <w:spacing w:line="360" w:lineRule="auto" w:after="120"/>
        <w:jc w:val="center"/>
      </w:pPr>
      <m:oMathPara>
        <m:oMathParaPr>
          <m:jc m:val="center"/>
        </m:oMathParaPr>
        <m:oMath>
          <m:sSub>
            <m:e>
              <m:r>
                <m:t>s</m:t>
              </m:r>
            </m:e>
            <m:sub>
              <m:r>
                <m:t>r</m:t>
              </m:r>
              <m:r>
                <m:rPr>
                  <m:sty m:val="p"/>
                </m:rPr>
                <m:t>,</m:t>
              </m:r>
              <m:r>
                <m:t>o</m:t>
              </m:r>
            </m:sub>
          </m:sSub>
          <m:r>
            <m:rPr>
              <m:sty m:val="p"/>
            </m:rPr>
            <m:t>=</m:t>
          </m:r>
          <m:f>
            <m:fPr>
              <m:type m:val="bar"/>
            </m:fPr>
            <m:num>
              <m:r>
                <m:t>1</m:t>
              </m:r>
            </m:num>
            <m:den>
              <m:d>
                <m:dPr>
                  <m:begChr m:val="|"/>
                  <m:endChr m:val="|"/>
                  <m:sepChr m:val=""/>
                  <m:grow/>
                </m:dPr>
                <m:e>
                  <m:sSub>
                    <m:e>
                      <m:r>
                        <m:t>W</m:t>
                      </m:r>
                    </m:e>
                    <m:sub>
                      <m:r>
                        <m:t>r</m:t>
                      </m:r>
                      <m:r>
                        <m:rPr>
                          <m:sty m:val="p"/>
                        </m:rPr>
                        <m:t>,</m:t>
                      </m:r>
                      <m:r>
                        <m:t>o</m:t>
                      </m:r>
                    </m:sub>
                  </m:sSub>
                </m:e>
              </m:d>
            </m:den>
          </m:f>
          <m:nary>
            <m:naryPr>
              <m:chr m:val="∑"/>
              <m:limLoc m:val="undOvr"/>
              <m:subHide m:val="off"/>
              <m:supHide m:val="on"/>
            </m:naryPr>
            <m:sub>
              <m:r>
                <m:t>s</m:t>
              </m:r>
              <m:r>
                <m:rPr>
                  <m:sty m:val="p"/>
                </m:rPr>
                <m:t>∈</m:t>
              </m:r>
              <m:sSub>
                <m:e>
                  <m:r>
                    <m:t>W</m:t>
                  </m:r>
                </m:e>
                <m:sub>
                  <m:r>
                    <m:t>r</m:t>
                  </m:r>
                  <m:r>
                    <m:rPr>
                      <m:sty m:val="p"/>
                    </m:rPr>
                    <m:t>,</m:t>
                  </m:r>
                  <m:r>
                    <m:t>o</m:t>
                  </m:r>
                </m:sub>
              </m:sSub>
            </m:sub>
            <m:sup>
              <m:r>
                <m:t>​</m:t>
              </m:r>
            </m:sup>
            <m:e>
              <m:sSub>
                <m:e>
                  <m:r>
                    <m:t>x</m:t>
                  </m:r>
                </m:e>
                <m:sub>
                  <m:r>
                    <m:t>r</m:t>
                  </m:r>
                  <m:r>
                    <m:rPr>
                      <m:sty m:val="p"/>
                    </m:rPr>
                    <m:t>,</m:t>
                  </m:r>
                  <m:r>
                    <m:t>s</m:t>
                  </m:r>
                </m:sub>
              </m:sSub>
            </m:e>
          </m:nary>
          <m:r>
            <m:rPr>
              <m:sty m:val="p"/>
            </m:rPr>
            <m:t>,</m:t>
          </m:r>
          <m:r>
            <m:t>  </m:t>
          </m:r>
          <m:sSub>
            <m:e>
              <m:r>
                <m:t>W</m:t>
              </m:r>
            </m:e>
            <m:sub>
              <m:r>
                <m:t>r</m:t>
              </m:r>
              <m:r>
                <m:rPr>
                  <m:sty m:val="p"/>
                </m:rPr>
                <m:t>,</m:t>
              </m:r>
              <m:r>
                <m:t>o</m:t>
              </m:r>
            </m:sub>
          </m:sSub>
          <m:r>
            <m:rPr>
              <m:sty m:val="p"/>
            </m:rPr>
            <m:t>=</m:t>
          </m:r>
          <m:r>
            <m:rPr>
              <m:sty m:val="p"/>
            </m:rPr>
            <m:t>{</m:t>
          </m:r>
          <m:r>
            <m:t>s</m:t>
          </m:r>
          <m:r>
            <m:rPr>
              <m:sty m:val="p"/>
            </m:rPr>
            <m:t>∈</m:t>
          </m:r>
          <m:d>
            <m:dPr>
              <m:begChr m:val="["/>
              <m:endChr m:val="]"/>
              <m:sepChr m:val=""/>
              <m:grow/>
            </m:dPr>
            <m:e>
              <m:r>
                <m:t>o</m:t>
              </m:r>
              <m:r>
                <m:rPr>
                  <m:sty m:val="p"/>
                </m:rPr>
                <m:t>−</m:t>
              </m:r>
              <m:r>
                <m:t>167</m:t>
              </m:r>
              <m:r>
                <m:rPr>
                  <m:sty m:val="p"/>
                </m:rPr>
                <m:t>,</m:t>
              </m:r>
              <m:r>
                <m:t>o</m:t>
              </m:r>
            </m:e>
          </m:d>
          <m:r>
            <m:rPr>
              <m:sty m:val="p"/>
            </m:rPr>
            <m:t>:</m:t>
          </m:r>
          <m:sSub>
            <m:e>
              <m:r>
                <m:t>x</m:t>
              </m:r>
            </m:e>
            <m:sub>
              <m:r>
                <m:t>r</m:t>
              </m:r>
              <m:r>
                <m:rPr>
                  <m:sty m:val="p"/>
                </m:rPr>
                <m:t>,</m:t>
              </m:r>
              <m:r>
                <m:t>s</m:t>
              </m:r>
            </m:sub>
          </m:sSub>
          <m:r>
            <m:t> </m:t>
          </m:r>
          <m:r>
            <m:rPr>
              <m:nor/>
              <m:sty m:val="p"/>
            </m:rPr>
            <m:t>observed</m:t>
          </m:r>
          <m:r>
            <m:rPr>
              <m:sty m:val="p"/>
            </m:rPr>
            <m:t>}</m:t>
          </m:r>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with</w:t>
      </w:r>
      <w:r>
        <w:rPr>
          <w:rFonts w:ascii="Times New Roman" w:hAnsi="Times New Roman" w:cs="Times New Roman" w:eastAsia="Times New Roman"/>
          <w:color w:val="000000"/>
          <w:sz w:val="24"/>
        </w:rPr>
        <w:t xml:space="preserve"> </w:t>
      </w:r>
      <m:oMath>
        <m:d>
          <m:dPr>
            <m:begChr m:val="|"/>
            <m:endChr m:val="|"/>
            <m:sepChr m:val=""/>
            <m:grow/>
          </m:dPr>
          <m:e>
            <m:sSub>
              <m:e>
                <m:r>
                  <m:t>W</m:t>
                </m:r>
              </m:e>
              <m:sub>
                <m:r>
                  <m:t>r</m:t>
                </m:r>
                <m:r>
                  <m:rPr>
                    <m:sty m:val="p"/>
                  </m:rPr>
                  <m:t>,</m:t>
                </m:r>
                <m:r>
                  <m:t>o</m:t>
                </m:r>
              </m:sub>
            </m:sSub>
          </m:e>
        </m:d>
        <m:r>
          <m:rPr>
            <m:sty m:val="p"/>
          </m:rPr>
          <m:t>≥</m:t>
        </m:r>
        <m:r>
          <m:t>24</m:t>
        </m:r>
      </m:oMath>
      <w:r>
        <w:rPr>
          <w:rFonts w:ascii="Times New Roman" w:hAnsi="Times New Roman" w:cs="Times New Roman" w:eastAsia="Times New Roman"/>
          <w:color w:val="000000"/>
          <w:sz w:val="24"/>
        </w:rPr>
        <w:t xml:space="preserve">. Models predict</w:t>
      </w:r>
      <w:r>
        <w:rPr>
          <w:rFonts w:ascii="Times New Roman" w:hAnsi="Times New Roman" w:cs="Times New Roman" w:eastAsia="Times New Roman"/>
          <w:color w:val="000000"/>
          <w:sz w:val="24"/>
        </w:rPr>
        <w:t xml:space="preserve"> </w:t>
      </w:r>
      <m:oMath>
        <m:sSub>
          <m:e>
            <m:r>
              <m:t>z</m:t>
            </m:r>
          </m:e>
          <m:sub>
            <m:r>
              <m:t>r</m:t>
            </m:r>
            <m:r>
              <m:rPr>
                <m:sty m:val="p"/>
              </m:rPr>
              <m:t>,</m:t>
            </m:r>
            <m:r>
              <m:t>t</m:t>
            </m:r>
          </m:sub>
        </m:sSub>
        <m:r>
          <m:rPr>
            <m:sty m:val="p"/>
          </m:rPr>
          <m:t>=</m:t>
        </m:r>
        <m:sSub>
          <m:e>
            <m:r>
              <m:t>y</m:t>
            </m:r>
          </m:e>
          <m:sub>
            <m:r>
              <m:t>r</m:t>
            </m:r>
            <m:r>
              <m:rPr>
                <m:sty m:val="p"/>
              </m:rPr>
              <m:t>,</m:t>
            </m:r>
            <m:r>
              <m:t>t</m:t>
            </m:r>
          </m:sub>
        </m:sSub>
        <m:r>
          <m:rPr>
            <m:sty m:val="p"/>
          </m:rPr>
          <m:t>/</m:t>
        </m:r>
        <m:sSub>
          <m:e>
            <m:r>
              <m:t>s</m:t>
            </m:r>
          </m:e>
          <m:sub>
            <m:r>
              <m:t>r</m:t>
            </m:r>
            <m:r>
              <m:rPr>
                <m:sty m:val="p"/>
              </m:rPr>
              <m:t>,</m:t>
            </m:r>
            <m:r>
              <m:t>o</m:t>
            </m:r>
          </m:sub>
        </m:sSub>
      </m:oMath>
      <w:r>
        <w:rPr>
          <w:rFonts w:ascii="Times New Roman" w:hAnsi="Times New Roman" w:cs="Times New Roman" w:eastAsia="Times New Roman"/>
          <w:color w:val="000000"/>
          <w:sz w:val="24"/>
        </w:rPr>
        <w:t xml:space="preserve">, and the forecast is</w:t>
      </w:r>
      <w:r>
        <w:rPr>
          <w:rFonts w:ascii="Times New Roman" w:hAnsi="Times New Roman" w:cs="Times New Roman" w:eastAsia="Times New Roman"/>
          <w:color w:val="000000"/>
          <w:sz w:val="24"/>
        </w:rPr>
        <w:t xml:space="preserve"> </w:t>
      </w:r>
      <m:oMath>
        <m:sSub>
          <m:e>
            <m:acc>
              <m:accPr>
                <m:chr m:val="̂"/>
              </m:accPr>
              <m:e>
                <m:r>
                  <m:t>y</m:t>
                </m:r>
              </m:e>
            </m:acc>
          </m:e>
          <m:sub>
            <m:r>
              <m:t>r</m:t>
            </m:r>
            <m:r>
              <m:rPr>
                <m:sty m:val="p"/>
              </m:rPr>
              <m:t>,</m:t>
            </m:r>
            <m:r>
              <m:t>t</m:t>
            </m:r>
          </m:sub>
        </m:sSub>
        <m:r>
          <m:rPr>
            <m:sty m:val="p"/>
          </m:rPr>
          <m:t>=</m:t>
        </m:r>
        <m:sSub>
          <m:e>
            <m:acc>
              <m:accPr>
                <m:chr m:val="̂"/>
              </m:accPr>
              <m:e>
                <m:r>
                  <m:t>z</m:t>
                </m:r>
              </m:e>
            </m:acc>
          </m:e>
          <m:sub>
            <m:r>
              <m:t>r</m:t>
            </m:r>
            <m:r>
              <m:rPr>
                <m:sty m:val="p"/>
              </m:rPr>
              <m:t>,</m:t>
            </m:r>
            <m:r>
              <m:t>t</m:t>
            </m:r>
          </m:sub>
        </m:sSub>
        <m:r>
          <m:t> </m:t>
        </m:r>
        <m:sSub>
          <m:e>
            <m:r>
              <m:t>s</m:t>
            </m:r>
          </m:e>
          <m:sub>
            <m:r>
              <m:t>r</m:t>
            </m:r>
            <m:r>
              <m:rPr>
                <m:sty m:val="p"/>
              </m:rPr>
              <m:t>,</m:t>
            </m:r>
            <m:r>
              <m:t>o</m:t>
            </m:r>
          </m:sub>
        </m:sSub>
      </m:oMath>
      <w:r>
        <w:rPr>
          <w:rFonts w:ascii="Times New Roman" w:hAnsi="Times New Roman" w:cs="Times New Roman" w:eastAsia="Times New Roman"/>
          <w:color w:val="000000"/>
          <w:sz w:val="24"/>
        </w:rPr>
        <w:t xml:space="preserve">.</w:t>
      </w:r>
    </w:p>
    <w:p>
      <w:pPr>
        <w:pStyle w:val="BodyText"/>
        <w:spacing w:line="360" w:lineRule="auto" w:after="120"/>
        <w:jc w:val="both"/>
      </w:pPr>
      <w:r>
        <w:rPr>
          <w:rFonts w:ascii="Times New Roman" w:hAnsi="Times New Roman" w:cs="Times New Roman" w:eastAsia="Times New Roman"/>
          <w:color w:val="000000"/>
          <w:sz w:val="24"/>
        </w:rPr>
        <w:t xml:space="preserve">The features, all divided by</w:t>
      </w:r>
      <w:r>
        <w:rPr>
          <w:rFonts w:ascii="Times New Roman" w:hAnsi="Times New Roman" w:cs="Times New Roman" w:eastAsia="Times New Roman"/>
          <w:color w:val="000000"/>
          <w:sz w:val="24"/>
        </w:rPr>
        <w:t xml:space="preserve"> </w:t>
      </w:r>
      <m:oMath>
        <m:sSub>
          <m:e>
            <m:r>
              <m:t>s</m:t>
            </m:r>
          </m:e>
          <m:sub>
            <m:r>
              <m:t>r</m:t>
            </m:r>
            <m:r>
              <m:rPr>
                <m:sty m:val="p"/>
              </m:rPr>
              <m:t>,</m:t>
            </m:r>
            <m:r>
              <m:t>o</m:t>
            </m:r>
          </m:sub>
        </m:sSub>
      </m:oMath>
      <w:r>
        <w:rPr>
          <w:rFonts w:ascii="Times New Roman" w:hAnsi="Times New Roman" w:cs="Times New Roman" w:eastAsia="Times New Roman"/>
          <w:color w:val="000000"/>
          <w:sz w:val="24"/>
        </w:rPr>
        <w:t xml:space="preserve">, are: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24 most recent values</w:t>
      </w:r>
      <w:r>
        <w:rPr>
          <w:rFonts w:ascii="Times New Roman" w:hAnsi="Times New Roman" w:cs="Times New Roman" w:eastAsia="Times New Roman"/>
          <w:color w:val="000000"/>
          <w:sz w:val="24"/>
        </w:rPr>
        <w:t xml:space="preserve"> </w:t>
      </w:r>
      <m:oMath>
        <m:sSub>
          <m:e>
            <m:r>
              <m:t>x</m:t>
            </m:r>
          </m:e>
          <m:sub>
            <m:r>
              <m:t>r</m:t>
            </m:r>
            <m:r>
              <m:rPr>
                <m:sty m:val="p"/>
              </m:rPr>
              <m:t>,</m:t>
            </m:r>
            <m:r>
              <m:t>o</m:t>
            </m:r>
            <m:r>
              <m:rPr>
                <m:sty m:val="p"/>
              </m:rPr>
              <m:t>−</m:t>
            </m:r>
            <m:r>
              <m:t>k</m:t>
            </m:r>
          </m:sub>
        </m:sSub>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m:oMath>
        <m:r>
          <m:t>k</m:t>
        </m:r>
        <m:r>
          <m:rPr>
            <m:sty m:val="p"/>
          </m:rPr>
          <m:t>=</m:t>
        </m:r>
        <m:r>
          <m:t>0</m:t>
        </m:r>
        <m:r>
          <m:rPr>
            <m:sty m:val="p"/>
          </m:rPr>
          <m:t>,</m:t>
        </m:r>
        <m:r>
          <m:rPr>
            <m:sty m:val="p"/>
          </m:rPr>
          <m:t>…</m:t>
        </m:r>
        <m:r>
          <m:rPr>
            <m:sty m:val="p"/>
          </m:rPr>
          <m:t>,</m:t>
        </m:r>
        <m:r>
          <m:t>23</m:t>
        </m:r>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values at the same hour on the previous one or two days,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24</m:t>
            </m:r>
            <m:r>
              <m:t>m</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w:t>
      </w:r>
      <w:r>
        <w:rPr>
          <w:rFonts w:ascii="Times New Roman" w:hAnsi="Times New Roman" w:cs="Times New Roman" w:eastAsia="Times New Roman"/>
          <w:color w:val="000000"/>
          <w:sz w:val="24"/>
        </w:rPr>
        <w:t xml:space="preserve"> </w:t>
      </w:r>
      <m:oMath>
        <m:r>
          <m:t>m</m:t>
        </m:r>
        <m:r>
          <m:rPr>
            <m:sty m:val="p"/>
          </m:rPr>
          <m:t>=</m:t>
        </m:r>
        <m:r>
          <m:rPr>
            <m:sty m:val="p"/>
          </m:rPr>
          <m:t>⌈</m:t>
        </m:r>
        <m:r>
          <m:t>h</m:t>
        </m:r>
        <m:r>
          <m:rPr>
            <m:sty m:val="p"/>
          </m:rPr>
          <m:t>/</m:t>
        </m:r>
        <m:r>
          <m:t>24</m:t>
        </m:r>
        <m:r>
          <m:rPr>
            <m:sty m:val="p"/>
          </m:rPr>
          <m:t>⌉</m:t>
        </m:r>
        <m:r>
          <m:rPr>
            <m:sty m:val="p"/>
          </m:rPr>
          <m:t>,</m:t>
        </m:r>
        <m:r>
          <m:rPr>
            <m:sty m:val="p"/>
          </m:rPr>
          <m:t>⌈</m:t>
        </m:r>
        <m:r>
          <m:t>h</m:t>
        </m:r>
        <m:r>
          <m:rPr>
            <m:sty m:val="p"/>
          </m:rPr>
          <m:t>/</m:t>
        </m:r>
        <m:r>
          <m:t>24</m:t>
        </m:r>
        <m:r>
          <m:rPr>
            <m:sty m:val="p"/>
          </m:rPr>
          <m:t>⌉</m:t>
        </m:r>
        <m:r>
          <m:rPr>
            <m:sty m:val="p"/>
          </m:rPr>
          <m:t>+</m:t>
        </m:r>
        <m:r>
          <m:t>1</m:t>
        </m:r>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weekly lags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168</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336</m:t>
            </m:r>
          </m:sub>
        </m:sSub>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trailing 24-h mean, minimum and maximum and the 168-h standard deviation at</w:t>
      </w:r>
      <w:r>
        <w:rPr>
          <w:rFonts w:ascii="Times New Roman" w:hAnsi="Times New Roman" w:cs="Times New Roman" w:eastAsia="Times New Roman"/>
          <w:color w:val="000000"/>
          <w:sz w:val="24"/>
        </w:rPr>
        <w:t xml:space="preserve"> </w:t>
      </w:r>
      <m:oMath>
        <m:r>
          <m:t>o</m:t>
        </m:r>
      </m:oMath>
      <w:r>
        <w:rPr>
          <w:rFonts w:ascii="Times New Roman" w:hAnsi="Times New Roman" w:cs="Times New Roman" w:eastAsia="Times New Roman"/>
          <w:color w:val="000000"/>
          <w:sz w:val="24"/>
        </w:rPr>
        <w:t xml:space="preserve">;</w:t>
      </w:r>
    </w:p>
    <w:p>
      <w:pPr>
        <w:numPr>
          <w:ilvl w:val="0"/>
          <w:numId w:val="1007"/>
        </w:numPr>
        <w:pStyle w:val="Compact"/>
        <w:spacing w:line="360" w:lineRule="auto" w:after="120"/>
        <w:jc w:val="both"/>
      </w:pPr>
      <w:r>
        <w:rPr>
          <w:rFonts w:ascii="Times New Roman" w:hAnsi="Times New Roman" w:cs="Times New Roman" w:eastAsia="Times New Roman"/>
          <w:color w:val="000000"/>
          <w:sz w:val="24"/>
        </w:rPr>
        <w:t xml:space="preserve">the share of missing inputs in the last 24 h.</w:t>
      </w:r>
    </w:p>
    <w:p>
      <w:pPr>
        <w:pStyle w:val="FirstParagraph"/>
        <w:spacing w:line="360" w:lineRule="auto" w:after="120"/>
        <w:jc w:val="both"/>
      </w:pPr>
      <w:r>
        <w:rPr>
          <w:rFonts w:ascii="Times New Roman" w:hAnsi="Times New Roman" w:cs="Times New Roman" w:eastAsia="Times New Roman"/>
          <w:color w:val="000000"/>
          <w:sz w:val="24"/>
        </w:rPr>
        <w:t xml:space="preserve">Calendar features are taken in the BA’s reporting time zone: hour of day, day of week, month, day-of-year sine and cosine, weekend, and U.S. federal holiday. No region identifier or absolute-level feature is used, so every model can be applied to an unseen BA.</w:t>
      </w:r>
    </w:p>
    <w:bookmarkEnd w:id="40"/>
    <w:bookmarkStart w:id="44" w:name="methodology"/>
    <w:p>
      <w:pPr>
        <w:pStyle w:val="Heading1"/>
        <w:keepNext/>
        <w:spacing w:before="240" w:after="120"/>
      </w:pPr>
      <w:r>
        <w:rPr>
          <w:rStyle w:val="SectionNumber"/>
          <w:rFonts w:ascii="Times New Roman" w:hAnsi="Times New Roman" w:cs="Times New Roman" w:eastAsia="Times New Roman"/>
          <w:b/>
          <w:color w:val="000000"/>
          <w:sz w:val="28"/>
        </w:rPr>
        <w:t xml:space="preserve">6</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Methodology</w:t>
      </w:r>
    </w:p>
    <w:bookmarkStart w:id="41" w:name="point-forecasting-methods"/>
    <w:p>
      <w:pPr>
        <w:pStyle w:val="Heading2"/>
        <w:keepNext/>
        <w:spacing w:before="240" w:after="120"/>
      </w:pPr>
      <w:r>
        <w:rPr>
          <w:rStyle w:val="SectionNumber"/>
          <w:rFonts w:ascii="Times New Roman" w:hAnsi="Times New Roman" w:cs="Times New Roman" w:eastAsia="Times New Roman"/>
          <w:b/>
          <w:color w:val="000000"/>
          <w:sz w:val="24"/>
        </w:rPr>
        <w:t xml:space="preserve">6.1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Point forecasting methods</w:t>
      </w:r>
    </w:p>
    <w:p>
      <w:pPr>
        <w:pStyle w:val="FirstParagraph"/>
        <w:spacing w:line="360" w:lineRule="auto" w:after="120"/>
        <w:jc w:val="both"/>
      </w:pPr>
      <w:r>
        <w:rPr>
          <w:rFonts w:ascii="Times New Roman" w:hAnsi="Times New Roman" w:cs="Times New Roman" w:eastAsia="Times New Roman"/>
          <w:color w:val="000000"/>
          <w:sz w:val="24"/>
        </w:rPr>
        <w:t xml:space="preserve">We compare simple references with linear and gradient-boosted models that receive identical inputs.</w:t>
      </w:r>
    </w:p>
    <w:p>
      <w:pPr>
        <w:pStyle w:val="BodyText"/>
        <w:spacing w:line="360" w:lineRule="auto" w:after="120"/>
        <w:jc w:val="both"/>
      </w:pPr>
      <w:r>
        <w:rPr>
          <w:bCs/>
          <w:rFonts w:ascii="Times New Roman" w:hAnsi="Times New Roman" w:cs="Times New Roman" w:eastAsia="Times New Roman"/>
          <w:b/>
          <w:color w:val="000000"/>
          <w:sz w:val="24"/>
        </w:rPr>
        <w:t xml:space="preserve">Seasonal naive and persistence.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SN24 uses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24</m:t>
            </m:r>
            <m:r>
              <m:rPr>
                <m:sty m:val="p"/>
              </m:rPr>
              <m:t>⌈</m:t>
            </m:r>
            <m:r>
              <m:t>h</m:t>
            </m:r>
            <m:r>
              <m:rPr>
                <m:sty m:val="p"/>
              </m:rPr>
              <m:t>/</m:t>
            </m:r>
            <m:r>
              <m:t>24</m:t>
            </m:r>
            <m:r>
              <m:rPr>
                <m:sty m:val="p"/>
              </m:rPr>
              <m: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SN168 uses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168</m:t>
            </m:r>
          </m:sub>
        </m:sSub>
      </m:oMath>
      <w:r>
        <w:rPr>
          <w:rFonts w:ascii="Times New Roman" w:hAnsi="Times New Roman" w:cs="Times New Roman" w:eastAsia="Times New Roman"/>
          <w:color w:val="000000"/>
          <w:sz w:val="24"/>
        </w:rPr>
        <w:t xml:space="preserve">, both causally forward-filled. Persistence uses</w:t>
      </w:r>
      <w:r>
        <w:rPr>
          <w:rFonts w:ascii="Times New Roman" w:hAnsi="Times New Roman" w:cs="Times New Roman" w:eastAsia="Times New Roman"/>
          <w:color w:val="000000"/>
          <w:sz w:val="24"/>
        </w:rPr>
        <w:t xml:space="preserve"> </w:t>
      </w:r>
      <m:oMath>
        <m:sSub>
          <m:e>
            <m:r>
              <m:t>x</m:t>
            </m:r>
          </m:e>
          <m:sub>
            <m:r>
              <m:t>r</m:t>
            </m:r>
            <m:r>
              <m:rPr>
                <m:sty m:val="p"/>
              </m:rPr>
              <m:t>,</m:t>
            </m:r>
            <m:r>
              <m:t>t</m:t>
            </m:r>
            <m:r>
              <m:rPr>
                <m:sty m:val="p"/>
              </m:rPr>
              <m:t>−</m:t>
            </m:r>
            <m:r>
              <m:t>h</m:t>
            </m:r>
          </m:sub>
        </m:sSub>
      </m:oMath>
      <w:r>
        <w:rPr>
          <w:rFonts w:ascii="Times New Roman" w:hAnsi="Times New Roman" w:cs="Times New Roman" w:eastAsia="Times New Roman"/>
          <w:color w:val="000000"/>
          <w:sz w:val="24"/>
        </w:rPr>
        <w:t xml:space="preserve">;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coincides with SN24.</w:t>
      </w:r>
    </w:p>
    <w:p>
      <w:pPr>
        <w:pStyle w:val="BodyText"/>
        <w:spacing w:line="360" w:lineRule="auto" w:after="120"/>
        <w:jc w:val="both"/>
      </w:pPr>
      <w:r>
        <w:rPr>
          <w:bCs/>
          <w:rFonts w:ascii="Times New Roman" w:hAnsi="Times New Roman" w:cs="Times New Roman" w:eastAsia="Times New Roman"/>
          <w:b/>
          <w:color w:val="000000"/>
          <w:sz w:val="24"/>
        </w:rPr>
        <w:t xml:space="preserve">Ridge regression.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Ridge regression (</w:t>
      </w:r>
      <m:oMath>
        <m:r>
          <m:t>λ</m:t>
        </m:r>
        <m:r>
          <m:rPr>
            <m:sty m:val="p"/>
          </m:rPr>
          <m:t>=</m:t>
        </m:r>
        <m:r>
          <m:t>1</m:t>
        </m:r>
      </m:oMath>
      <w:r>
        <w:rPr>
          <w:rFonts w:ascii="Times New Roman" w:hAnsi="Times New Roman" w:cs="Times New Roman" w:eastAsia="Times New Roman"/>
          <w:color w:val="000000"/>
          <w:sz w:val="24"/>
        </w:rPr>
        <w:t xml:space="preserve">) is fitted on standardised numeric features and one-hot hour, weekday and month, pooled across training BAs.</w:t>
      </w:r>
    </w:p>
    <w:p>
      <w:pPr>
        <w:pStyle w:val="BodyText"/>
        <w:spacing w:line="360" w:lineRule="auto" w:after="120"/>
        <w:jc w:val="both"/>
      </w:pPr>
      <w:r>
        <w:rPr>
          <w:bCs/>
          <w:rFonts w:ascii="Times New Roman" w:hAnsi="Times New Roman" w:cs="Times New Roman" w:eastAsia="Times New Roman"/>
          <w:b/>
          <w:color w:val="000000"/>
          <w:sz w:val="24"/>
        </w:rPr>
        <w:t xml:space="preserve">LightGBM.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use LightGBM</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(Ke et al., 2017)</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an absolute-error objective, so the model targets the conditional median of</w:t>
      </w:r>
      <w:r>
        <w:rPr>
          <w:rFonts w:ascii="Times New Roman" w:hAnsi="Times New Roman" w:cs="Times New Roman" w:eastAsia="Times New Roman"/>
          <w:color w:val="000000"/>
          <w:sz w:val="24"/>
        </w:rPr>
        <w:t xml:space="preserve"> </w:t>
      </w:r>
      <m:oMath>
        <m:r>
          <m:t>z</m:t>
        </m:r>
      </m:oMath>
      <w:r>
        <w:rPr>
          <w:rFonts w:ascii="Times New Roman" w:hAnsi="Times New Roman" w:cs="Times New Roman" w:eastAsia="Times New Roman"/>
          <w:color w:val="000000"/>
          <w:sz w:val="24"/>
        </w:rPr>
        <w:t xml:space="preserve">, consistent with MAE scoring. It is trained in three regimes:</w:t>
      </w:r>
    </w:p>
    <w:p>
      <w:pPr>
        <w:numPr>
          <w:ilvl w:val="0"/>
          <w:numId w:val="1008"/>
        </w:numPr>
        <w:pStyle w:val="Compact"/>
        <w:spacing w:line="360" w:lineRule="auto" w:after="120"/>
        <w:jc w:val="both"/>
      </w:pPr>
      <w:r>
        <w:rPr>
          <w:iCs/>
          <w:rFonts w:ascii="Times New Roman" w:hAnsi="Times New Roman" w:cs="Times New Roman" w:eastAsia="Times New Roman"/>
          <w:i/>
          <w:color w:val="000000"/>
          <w:sz w:val="24"/>
        </w:rPr>
        <w:t xml:space="preserve">local</w:t>
      </w:r>
      <w:r>
        <w:rPr>
          <w:rFonts w:ascii="Times New Roman" w:hAnsi="Times New Roman" w:cs="Times New Roman" w:eastAsia="Times New Roman"/>
          <w:color w:val="000000"/>
          <w:sz w:val="24"/>
        </w:rPr>
        <w:t xml:space="preserve">: one model per BA, trained on that BA only;</w:t>
      </w:r>
    </w:p>
    <w:p>
      <w:pPr>
        <w:numPr>
          <w:ilvl w:val="0"/>
          <w:numId w:val="1008"/>
        </w:numPr>
        <w:pStyle w:val="Compact"/>
        <w:spacing w:line="360" w:lineRule="auto" w:after="120"/>
        <w:jc w:val="both"/>
      </w:pPr>
      <w:r>
        <w:rPr>
          <w:iCs/>
          <w:rFonts w:ascii="Times New Roman" w:hAnsi="Times New Roman" w:cs="Times New Roman" w:eastAsia="Times New Roman"/>
          <w:i/>
          <w:color w:val="000000"/>
          <w:sz w:val="24"/>
        </w:rPr>
        <w:t xml:space="preserve">global in-region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(G-IN): one model pooled over all 48 BAs;</w:t>
      </w:r>
    </w:p>
    <w:p>
      <w:pPr>
        <w:numPr>
          <w:ilvl w:val="0"/>
          <w:numId w:val="1008"/>
        </w:numPr>
        <w:pStyle w:val="Compact"/>
        <w:spacing w:line="360" w:lineRule="auto" w:after="120"/>
        <w:jc w:val="both"/>
      </w:pPr>
      <w:r>
        <w:rPr>
          <w:iCs/>
          <w:rFonts w:ascii="Times New Roman" w:hAnsi="Times New Roman" w:cs="Times New Roman" w:eastAsia="Times New Roman"/>
          <w:i/>
          <w:color w:val="000000"/>
          <w:sz w:val="24"/>
        </w:rPr>
        <w:t xml:space="preserve">global leave-regions-out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(G-LRO): pooled over the BAs of the other five folds, so that the evaluated BA is unseen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(Montero-Manso and Hyndman, 2021)</w:t>
      </w:r>
      <w:r>
        <w:rPr>
          <w:rFonts w:ascii="Times New Roman" w:hAnsi="Times New Roman" w:cs="Times New Roman" w:eastAsia="Times New Roman"/>
          <w:color w:val="000000"/>
          <w:sz w:val="24"/>
        </w:rPr>
        <w:t xml:space="preserve">.</w:t>
      </w:r>
    </w:p>
    <w:p>
      <w:pPr>
        <w:pStyle w:val="FirstParagraph"/>
        <w:spacing w:line="360" w:lineRule="auto" w:after="120"/>
        <w:jc w:val="both"/>
      </w:pPr>
      <w:r>
        <w:rPr>
          <w:bCs/>
          <w:rFonts w:ascii="Times New Roman" w:hAnsi="Times New Roman" w:cs="Times New Roman" w:eastAsia="Times New Roman"/>
          <w:b/>
          <w:color w:val="000000"/>
          <w:sz w:val="24"/>
        </w:rPr>
        <w:t xml:space="preserve">Operator reference.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BA-DA is each BA’s own reported day-ahead forecast. It is reported only as an operational reference, for two reasons: operators use weather forecasts, which our models do not, and issuance times are undocumented.</w:t>
      </w:r>
    </w:p>
    <w:p>
      <w:pPr>
        <w:pStyle w:val="BodyText"/>
        <w:spacing w:line="360" w:lineRule="auto" w:after="120"/>
        <w:jc w:val="both"/>
      </w:pPr>
      <w:r>
        <w:rPr>
          <w:bCs/>
          <w:rFonts w:ascii="Times New Roman" w:hAnsi="Times New Roman" w:cs="Times New Roman" w:eastAsia="Times New Roman"/>
          <w:b/>
          <w:color w:val="000000"/>
          <w:sz w:val="24"/>
        </w:rPr>
        <w:t xml:space="preserve">Hyper-parameters.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These were selected by grid search on the odd ISO weeks of 2023 and fixed for all horizons and folds. The global model uses 255 leaves with at least 100 samples per leaf; local models use 127 leaves with at least 100. Settings that are not tuned are a learning rate of 0.05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feature and bagging fractions of 0.8, and L2 regularisation of 1. At</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6</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1-h model reached the 3,000-tree cap at a learning rate of 0.05, so all LightGBM models at these horizons use a learning rate of 0.2. This compute-driven amendment was made before any 1-h or 6-h test evaluation. Early stopping uses 100 rounds on the same weeks. In leave-regions-out runs it uses only the source BAs.</w:t>
      </w:r>
    </w:p>
    <w:bookmarkEnd w:id="41"/>
    <w:bookmarkStart w:id="42" w:name="limited-target-data-adaptation"/>
    <w:p>
      <w:pPr>
        <w:pStyle w:val="Heading2"/>
        <w:keepNext/>
        <w:spacing w:before="240" w:after="120"/>
      </w:pPr>
      <w:r>
        <w:rPr>
          <w:rStyle w:val="SectionNumber"/>
          <w:rFonts w:ascii="Times New Roman" w:hAnsi="Times New Roman" w:cs="Times New Roman" w:eastAsia="Times New Roman"/>
          <w:b/>
          <w:color w:val="000000"/>
          <w:sz w:val="24"/>
        </w:rPr>
        <w:t xml:space="preserve">6.2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Limited target-data adaptation</w:t>
      </w:r>
    </w:p>
    <w:p>
      <w:pPr>
        <w:pStyle w:val="FirstParagraph"/>
        <w:spacing w:line="360" w:lineRule="auto" w:after="120"/>
        <w:jc w:val="both"/>
      </w:pPr>
      <w:r>
        <w:rPr>
          <w:rFonts w:ascii="Times New Roman" w:hAnsi="Times New Roman" w:cs="Times New Roman" w:eastAsia="Times New Roman"/>
          <w:color w:val="000000"/>
          <w:sz w:val="24"/>
        </w:rPr>
        <w:t xml:space="preserve">For an unseen BA with</w:t>
      </w:r>
      <w:r>
        <w:rPr>
          <w:rFonts w:ascii="Times New Roman" w:hAnsi="Times New Roman" w:cs="Times New Roman" w:eastAsia="Times New Roman"/>
          <w:color w:val="000000"/>
          <w:sz w:val="24"/>
        </w:rPr>
        <w:t xml:space="preserve"> </w:t>
      </w:r>
      <m:oMath>
        <m:r>
          <m:t>k</m:t>
        </m:r>
        <m:r>
          <m:rPr>
            <m:sty m:val="p"/>
          </m:rPr>
          <m:t>∈</m:t>
        </m:r>
        <m:r>
          <m:rPr>
            <m:sty m:val="p"/>
          </m:rPr>
          <m:t>{</m:t>
        </m:r>
        <m:r>
          <m:t>1</m:t>
        </m:r>
        <m:r>
          <m:rPr>
            <m:sty m:val="p"/>
          </m:rPr>
          <m:t>,</m:t>
        </m:r>
        <m:r>
          <m:t>4</m:t>
        </m:r>
        <m:r>
          <m:rPr>
            <m:sty m:val="p"/>
          </m:rPr>
          <m:t>,</m:t>
        </m:r>
        <m:r>
          <m:t>13</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 of history immediately before the test period, we compare two adaptation methods:</w:t>
      </w:r>
    </w:p>
    <w:p>
      <w:pPr>
        <w:numPr>
          <w:ilvl w:val="0"/>
          <w:numId w:val="1009"/>
        </w:numPr>
        <w:pStyle w:val="Compact"/>
        <w:spacing w:line="360" w:lineRule="auto" w:after="120"/>
        <w:jc w:val="both"/>
      </w:pPr>
      <w:r>
        <w:rPr>
          <w:bCs/>
          <w:rFonts w:ascii="Times New Roman" w:hAnsi="Times New Roman" w:cs="Times New Roman" w:eastAsia="Times New Roman"/>
          <w:b/>
          <w:color w:val="000000"/>
          <w:sz w:val="24"/>
        </w:rPr>
        <w:t xml:space="preserve">LGB-L-k</w:t>
      </w:r>
      <w:r>
        <w:rPr>
          <w:rFonts w:ascii="Times New Roman" w:hAnsi="Times New Roman" w:cs="Times New Roman" w:eastAsia="Times New Roman"/>
          <w:color w:val="000000"/>
          <w:sz w:val="24"/>
        </w:rPr>
        <w:t xml:space="preserve">, a local LightGBM model with 15 leaves, at least 10 samples per leaf and 300 trees, trained only on those</w:t>
      </w:r>
      <w:r>
        <w:rPr>
          <w:rFonts w:ascii="Times New Roman" w:hAnsi="Times New Roman" w:cs="Times New Roman" w:eastAsia="Times New Roman"/>
          <w:color w:val="000000"/>
          <w:sz w:val="24"/>
        </w:rPr>
        <w:t xml:space="preserve"> </w:t>
      </w:r>
      <m:oMath>
        <m:r>
          <m:t>k</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w:t>
      </w:r>
    </w:p>
    <w:p>
      <w:pPr>
        <w:numPr>
          <w:ilvl w:val="0"/>
          <w:numId w:val="1009"/>
        </w:numPr>
        <w:pStyle w:val="Compact"/>
        <w:spacing w:line="360" w:lineRule="auto" w:after="120"/>
        <w:jc w:val="both"/>
      </w:pPr>
      <w:r>
        <w:rPr>
          <w:bCs/>
          <w:rFonts w:ascii="Times New Roman" w:hAnsi="Times New Roman" w:cs="Times New Roman" w:eastAsia="Times New Roman"/>
          <w:b/>
          <w:color w:val="000000"/>
          <w:sz w:val="24"/>
        </w:rPr>
        <w:t xml:space="preserve">LGB-FT-k</w:t>
      </w:r>
      <w:r>
        <w:rPr>
          <w:rFonts w:ascii="Times New Roman" w:hAnsi="Times New Roman" w:cs="Times New Roman" w:eastAsia="Times New Roman"/>
          <w:color w:val="000000"/>
          <w:sz w:val="24"/>
        </w:rPr>
        <w:t xml:space="preserve">, which continues boosting the G-LRO model with 200 further trees (learning rate 0.02, 15 leaves) on the same</w:t>
      </w:r>
      <w:r>
        <w:rPr>
          <w:rFonts w:ascii="Times New Roman" w:hAnsi="Times New Roman" w:cs="Times New Roman" w:eastAsia="Times New Roman"/>
          <w:color w:val="000000"/>
          <w:sz w:val="24"/>
        </w:rPr>
        <w:t xml:space="preserve"> </w:t>
      </w:r>
      <m:oMath>
        <m:r>
          <m:t>k</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w:t>
      </w:r>
    </w:p>
    <w:p>
      <w:pPr>
        <w:pStyle w:val="FirstParagraph"/>
        <w:spacing w:line="360" w:lineRule="auto" w:after="120"/>
        <w:jc w:val="both"/>
      </w:pPr>
      <w:r>
        <w:rPr>
          <w:rFonts w:ascii="Times New Roman" w:hAnsi="Times New Roman" w:cs="Times New Roman" w:eastAsia="Times New Roman"/>
          <w:color w:val="000000"/>
          <w:sz w:val="24"/>
        </w:rPr>
        <w:t xml:space="preserve">Both use only labels observable at the start of the test period.</w:t>
      </w:r>
    </w:p>
    <w:bookmarkEnd w:id="42"/>
    <w:bookmarkStart w:id="43" w:name="X052652fdb53409274df12ec5d2503abc2f4a43f"/>
    <w:p>
      <w:pPr>
        <w:pStyle w:val="Heading2"/>
        <w:keepNext/>
        <w:spacing w:before="240" w:after="120"/>
      </w:pPr>
      <w:r>
        <w:rPr>
          <w:rStyle w:val="SectionNumber"/>
          <w:rFonts w:ascii="Times New Roman" w:hAnsi="Times New Roman" w:cs="Times New Roman" w:eastAsia="Times New Roman"/>
          <w:b/>
          <w:color w:val="000000"/>
          <w:sz w:val="24"/>
        </w:rPr>
        <w:t xml:space="preserve">6.3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Probabilistic forecasting and calibration</w:t>
      </w:r>
    </w:p>
    <w:p>
      <w:pPr>
        <w:pStyle w:val="FirstParagraph"/>
        <w:spacing w:line="360" w:lineRule="auto" w:after="120"/>
        <w:jc w:val="both"/>
      </w:pPr>
      <w:r>
        <w:rPr>
          <w:rFonts w:ascii="Times New Roman" w:hAnsi="Times New Roman" w:cs="Times New Roman" w:eastAsia="Times New Roman"/>
          <w:color w:val="000000"/>
          <w:sz w:val="24"/>
        </w:rPr>
        <w:t xml:space="preserve">For</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24</m:t>
        </m:r>
        <m:r>
          <m:rPr>
            <m:sty m:val="p"/>
          </m:rPr>
          <m:t>}</m:t>
        </m:r>
      </m:oMath>
      <w:r>
        <w:rPr>
          <w:rFonts w:ascii="Times New Roman" w:hAnsi="Times New Roman" w:cs="Times New Roman" w:eastAsia="Times New Roman"/>
          <w:color w:val="000000"/>
          <w:sz w:val="24"/>
        </w:rPr>
        <w:t xml:space="preserve">, central intervals with nominal coverage</w:t>
      </w:r>
      <w:r>
        <w:rPr>
          <w:rFonts w:ascii="Times New Roman" w:hAnsi="Times New Roman" w:cs="Times New Roman" w:eastAsia="Times New Roman"/>
          <w:color w:val="000000"/>
          <w:sz w:val="24"/>
        </w:rPr>
        <w:t xml:space="preserve"> </w:t>
      </w:r>
      <m:oMath>
        <m:r>
          <m:t>1</m:t>
        </m:r>
        <m:r>
          <m:rPr>
            <m:sty m:val="p"/>
          </m:rPr>
          <m:t>−</m:t>
        </m:r>
        <m:r>
          <m:t>α</m:t>
        </m:r>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m:oMath>
        <m:r>
          <m:t>α</m:t>
        </m:r>
        <m:r>
          <m:rPr>
            <m:sty m:val="p"/>
          </m:rPr>
          <m:t>∈</m:t>
        </m:r>
        <m:r>
          <m:rPr>
            <m:sty m:val="p"/>
          </m:rPr>
          <m:t>{</m:t>
        </m:r>
        <m:r>
          <m:t>0.1</m:t>
        </m:r>
        <m:r>
          <m:rPr>
            <m:sty m:val="p"/>
          </m:rPr>
          <m:t>,</m:t>
        </m:r>
        <m:r>
          <m:t>0.5</m:t>
        </m:r>
        <m:r>
          <m:rPr>
            <m:sty m:val="p"/>
          </m:rPr>
          <m:t>}</m:t>
        </m:r>
      </m:oMath>
      <w:r>
        <w:rPr>
          <w:rFonts w:ascii="Times New Roman" w:hAnsi="Times New Roman" w:cs="Times New Roman" w:eastAsia="Times New Roman"/>
          <w:color w:val="000000"/>
          <w:sz w:val="24"/>
        </w:rPr>
        <w:t xml:space="preserve">, are built on the normalised scale and multiplied by</w:t>
      </w:r>
      <w:r>
        <w:rPr>
          <w:rFonts w:ascii="Times New Roman" w:hAnsi="Times New Roman" w:cs="Times New Roman" w:eastAsia="Times New Roman"/>
          <w:color w:val="000000"/>
          <w:sz w:val="24"/>
        </w:rPr>
        <w:t xml:space="preserve"> </w:t>
      </w:r>
      <m:oMath>
        <m:sSub>
          <m:e>
            <m:r>
              <m:t>s</m:t>
            </m:r>
          </m:e>
          <m:sub>
            <m:r>
              <m:t>r</m:t>
            </m:r>
            <m:r>
              <m:rPr>
                <m:sty m:val="p"/>
              </m:rPr>
              <m:t>,</m:t>
            </m:r>
            <m:r>
              <m:t>o</m:t>
            </m:r>
          </m:sub>
        </m:sSub>
      </m:oMath>
      <w:r>
        <w:rPr>
          <w:rFonts w:ascii="Times New Roman" w:hAnsi="Times New Roman" w:cs="Times New Roman" w:eastAsia="Times New Roman"/>
          <w:color w:val="000000"/>
          <w:sz w:val="24"/>
        </w:rPr>
        <w:t xml:space="preserve">:</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QR</w:t>
      </w:r>
      <w:r>
        <w:rPr>
          <w:rFonts w:ascii="Times New Roman" w:hAnsi="Times New Roman" w:cs="Times New Roman" w:eastAsia="Times New Roman"/>
          <w:color w:val="000000"/>
          <w:sz w:val="24"/>
        </w:rPr>
        <w:t xml:space="preserve">: LightGBM quantile models at</w:t>
      </w:r>
      <w:r>
        <w:rPr>
          <w:rFonts w:ascii="Times New Roman" w:hAnsi="Times New Roman" w:cs="Times New Roman" w:eastAsia="Times New Roman"/>
          <w:color w:val="000000"/>
          <w:sz w:val="24"/>
        </w:rPr>
        <w:t xml:space="preserve"> </w:t>
      </w:r>
      <m:oMath>
        <m:r>
          <m:t>τ</m:t>
        </m:r>
        <m:r>
          <m:rPr>
            <m:sty m:val="p"/>
          </m:rPr>
          <m:t>∈</m:t>
        </m:r>
        <m:r>
          <m:rPr>
            <m:sty m:val="p"/>
          </m:rPr>
          <m:t>{</m:t>
        </m:r>
        <m:r>
          <m:t>0.05</m:t>
        </m:r>
        <m:r>
          <m:rPr>
            <m:sty m:val="p"/>
          </m:rPr>
          <m:t>,</m:t>
        </m:r>
        <m:r>
          <m:t>0.25</m:t>
        </m:r>
        <m:r>
          <m:rPr>
            <m:sty m:val="p"/>
          </m:rPr>
          <m:t>,</m:t>
        </m:r>
        <m:r>
          <m:t>0.75</m:t>
        </m:r>
        <m:r>
          <m:rPr>
            <m:sty m:val="p"/>
          </m:rPr>
          <m:t>,</m:t>
        </m:r>
        <m:r>
          <m:t>0.95</m:t>
        </m:r>
        <m:r>
          <m:rPr>
            <m:sty m:val="p"/>
          </m:rPr>
          <m:t>}</m:t>
        </m:r>
      </m:oMath>
      <w:r>
        <w:rPr>
          <w:rFonts w:ascii="Times New Roman" w:hAnsi="Times New Roman" w:cs="Times New Roman" w:eastAsia="Times New Roman"/>
          <w:color w:val="000000"/>
          <w:sz w:val="24"/>
        </w:rPr>
        <w:t xml:space="preserve">, with the L1 point model as the median.</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SCP</w:t>
      </w:r>
      <w:r>
        <w:rPr>
          <w:rFonts w:ascii="Times New Roman" w:hAnsi="Times New Roman" w:cs="Times New Roman" w:eastAsia="Times New Roman"/>
          <w:color w:val="000000"/>
          <w:sz w:val="24"/>
        </w:rPr>
        <w:t xml:space="preserve">: split conformal prediction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(Lei et al., 2018; Vovk et al., 2005)</w:t>
      </w:r>
      <w:r>
        <w:rPr>
          <w:rFonts w:ascii="Times New Roman" w:hAnsi="Times New Roman" w:cs="Times New Roman" w:eastAsia="Times New Roman"/>
          <w:color w:val="000000"/>
          <w:sz w:val="24"/>
        </w:rPr>
        <w:t xml:space="preserve">, giving</w:t>
      </w:r>
      <w:r>
        <w:rPr>
          <w:rFonts w:ascii="Times New Roman" w:hAnsi="Times New Roman" w:cs="Times New Roman" w:eastAsia="Times New Roman"/>
          <w:color w:val="000000"/>
          <w:sz w:val="24"/>
        </w:rPr>
        <w:t xml:space="preserve"> </w:t>
      </w:r>
      <m:oMath>
        <m:acc>
          <m:accPr>
            <m:chr m:val="̂"/>
          </m:accPr>
          <m:e>
            <m:r>
              <m:t>z</m:t>
            </m:r>
          </m:e>
        </m:acc>
        <m:r>
          <m:rPr>
            <m:sty m:val="p"/>
          </m:rPr>
          <m:t>±</m:t>
        </m:r>
        <m:acc>
          <m:accPr>
            <m:chr m:val="̂"/>
          </m:accPr>
          <m:e>
            <m:r>
              <m:t>q</m:t>
            </m:r>
          </m:e>
        </m:acc>
      </m:oMath>
      <w:r>
        <w:rPr>
          <w:rFonts w:ascii="Times New Roman" w:hAnsi="Times New Roman" w:cs="Times New Roman" w:eastAsia="Times New Roman"/>
          <w:color w:val="000000"/>
          <w:sz w:val="24"/>
        </w:rPr>
        <w:t xml:space="preserve">, where</w:t>
      </w:r>
      <w:r>
        <w:rPr>
          <w:rFonts w:ascii="Times New Roman" w:hAnsi="Times New Roman" w:cs="Times New Roman" w:eastAsia="Times New Roman"/>
          <w:color w:val="000000"/>
          <w:sz w:val="24"/>
        </w:rPr>
        <w:t xml:space="preserve"> </w:t>
      </w:r>
      <m:oMath>
        <m:acc>
          <m:accPr>
            <m:chr m:val="̂"/>
          </m:accPr>
          <m:e>
            <m:r>
              <m:t>q</m:t>
            </m:r>
          </m:e>
        </m:acc>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w:t>
      </w:r>
      <w:r>
        <w:rPr>
          <w:rFonts w:ascii="Times New Roman" w:hAnsi="Times New Roman" w:cs="Times New Roman" w:eastAsia="Times New Roman"/>
          <w:color w:val="000000"/>
          <w:sz w:val="24"/>
        </w:rPr>
        <w:t xml:space="preserve"> </w:t>
      </w:r>
      <m:oMath>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oMath>
      <w:r>
        <w:rPr>
          <w:rFonts w:ascii="Times New Roman" w:hAnsi="Times New Roman" w:cs="Times New Roman" w:eastAsia="Times New Roman"/>
          <w:color w:val="000000"/>
          <w:sz w:val="24"/>
        </w:rPr>
        <w:t xml:space="preserve">-th smallest absolute residual</w:t>
      </w:r>
      <w:r>
        <w:rPr>
          <w:rFonts w:ascii="Times New Roman" w:hAnsi="Times New Roman" w:cs="Times New Roman" w:eastAsia="Times New Roman"/>
          <w:color w:val="000000"/>
          <w:sz w:val="24"/>
        </w:rPr>
        <w:t xml:space="preserve"> </w:t>
      </w:r>
      <m:oMath>
        <m:d>
          <m:dPr>
            <m:begChr m:val="|"/>
            <m:endChr m:val="|"/>
            <m:sepChr m:val=""/>
            <m:grow/>
          </m:dPr>
          <m:e>
            <m:r>
              <m:t>z</m:t>
            </m:r>
            <m:r>
              <m:rPr>
                <m:sty m:val="p"/>
              </m:rPr>
              <m:t>−</m:t>
            </m:r>
            <m:acc>
              <m:accPr>
                <m:chr m:val="̂"/>
              </m:accPr>
              <m:e>
                <m:r>
                  <m:t>z</m:t>
                </m:r>
              </m:e>
            </m:acc>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 the calibration set.</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CQR</w:t>
      </w:r>
      <w:r>
        <w:rPr>
          <w:rFonts w:ascii="Times New Roman" w:hAnsi="Times New Roman" w:cs="Times New Roman" w:eastAsia="Times New Roman"/>
          <w:color w:val="000000"/>
          <w:sz w:val="24"/>
        </w:rPr>
        <w:t xml:space="preserve">: conformalised quantile regression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(Romano et al., 2019)</w:t>
      </w:r>
      <w:r>
        <w:rPr>
          <w:rFonts w:ascii="Times New Roman" w:hAnsi="Times New Roman" w:cs="Times New Roman" w:eastAsia="Times New Roman"/>
          <w:color w:val="000000"/>
          <w:sz w:val="24"/>
        </w:rPr>
        <w:t xml:space="preserve">, giving</w:t>
      </w:r>
      <w:r>
        <w:rPr>
          <w:rFonts w:ascii="Times New Roman" w:hAnsi="Times New Roman" w:cs="Times New Roman" w:eastAsia="Times New Roman"/>
          <w:color w:val="000000"/>
          <w:sz w:val="24"/>
        </w:rPr>
        <w:t xml:space="preserve"> </w:t>
      </w:r>
      <m:oMath>
        <m:d>
          <m:dPr>
            <m:begChr m:val="["/>
            <m:endChr m:val="]"/>
            <m:sepChr m:val=""/>
            <m:grow/>
          </m:dPr>
          <m:e>
            <m:sSub>
              <m:e>
                <m:acc>
                  <m:accPr>
                    <m:chr m:val="̂"/>
                  </m:accPr>
                  <m:e>
                    <m:r>
                      <m:t>q</m:t>
                    </m:r>
                  </m:e>
                </m:acc>
              </m:e>
              <m:sub>
                <m:r>
                  <m:t>α</m:t>
                </m:r>
                <m:r>
                  <m:rPr>
                    <m:sty m:val="p"/>
                  </m:rPr>
                  <m:t>/</m:t>
                </m:r>
                <m:r>
                  <m:t>2</m:t>
                </m:r>
              </m:sub>
            </m:sSub>
            <m:r>
              <m:rPr>
                <m:sty m:val="p"/>
              </m:rPr>
              <m:t>−</m:t>
            </m:r>
            <m:acc>
              <m:accPr>
                <m:chr m:val="̂"/>
              </m:accPr>
              <m:e>
                <m:r>
                  <m:t>c</m:t>
                </m:r>
              </m:e>
            </m:acc>
            <m:r>
              <m:rPr>
                <m:sty m:val="p"/>
              </m:rPr>
              <m:t>,</m:t>
            </m:r>
            <m:r>
              <m:t> </m:t>
            </m:r>
            <m:sSub>
              <m:e>
                <m:acc>
                  <m:accPr>
                    <m:chr m:val="̂"/>
                  </m:accPr>
                  <m:e>
                    <m:r>
                      <m:t>q</m:t>
                    </m:r>
                  </m:e>
                </m:acc>
              </m:e>
              <m:sub>
                <m:r>
                  <m:t>1</m:t>
                </m:r>
                <m:r>
                  <m:rPr>
                    <m:sty m:val="p"/>
                  </m:rPr>
                  <m:t>−</m:t>
                </m:r>
                <m:r>
                  <m:t>α</m:t>
                </m:r>
                <m:r>
                  <m:rPr>
                    <m:sty m:val="p"/>
                  </m:rPr>
                  <m:t>/</m:t>
                </m:r>
                <m:r>
                  <m:t>2</m:t>
                </m:r>
              </m:sub>
            </m:sSub>
            <m:r>
              <m:rPr>
                <m:sty m:val="p"/>
              </m:rPr>
              <m:t>+</m:t>
            </m:r>
            <m:acc>
              <m:accPr>
                <m:chr m:val="̂"/>
              </m:accPr>
              <m:e>
                <m:r>
                  <m:t>c</m:t>
                </m:r>
              </m:e>
            </m:acc>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conformity scores</w:t>
      </w:r>
      <w:r>
        <w:rPr>
          <w:rFonts w:ascii="Times New Roman" w:hAnsi="Times New Roman" w:cs="Times New Roman" w:eastAsia="Times New Roman"/>
          <w:color w:val="000000"/>
          <w:sz w:val="24"/>
        </w:rPr>
        <w:t xml:space="preserve"> </w:t>
      </w:r>
      <m:oMath>
        <m:r>
          <m:rPr>
            <m:sty m:val="p"/>
          </m:rPr>
          <m:t>max</m:t>
        </m:r>
        <m:d>
          <m:dPr>
            <m:begChr m:val="("/>
            <m:endChr m:val=")"/>
            <m:sepChr m:val=""/>
            <m:grow/>
          </m:dPr>
          <m:e>
            <m:sSub>
              <m:e>
                <m:acc>
                  <m:accPr>
                    <m:chr m:val="̂"/>
                  </m:accPr>
                  <m:e>
                    <m:r>
                      <m:t>q</m:t>
                    </m:r>
                  </m:e>
                </m:acc>
              </m:e>
              <m:sub>
                <m:r>
                  <m:t>α</m:t>
                </m:r>
                <m:r>
                  <m:rPr>
                    <m:sty m:val="p"/>
                  </m:rPr>
                  <m:t>/</m:t>
                </m:r>
                <m:r>
                  <m:t>2</m:t>
                </m:r>
              </m:sub>
            </m:sSub>
            <m:r>
              <m:rPr>
                <m:sty m:val="p"/>
              </m:rPr>
              <m:t>−</m:t>
            </m:r>
            <m:r>
              <m:t>z</m:t>
            </m:r>
            <m:r>
              <m:rPr>
                <m:sty m:val="p"/>
              </m:rPr>
              <m:t>,</m:t>
            </m:r>
            <m:r>
              <m:t> </m:t>
            </m:r>
            <m:r>
              <m:t>z</m:t>
            </m:r>
            <m:r>
              <m:rPr>
                <m:sty m:val="p"/>
              </m:rPr>
              <m:t>−</m:t>
            </m:r>
            <m:sSub>
              <m:e>
                <m:acc>
                  <m:accPr>
                    <m:chr m:val="̂"/>
                  </m:accPr>
                  <m:e>
                    <m:r>
                      <m:t>q</m:t>
                    </m:r>
                  </m:e>
                </m:acc>
              </m:e>
              <m:sub>
                <m:r>
                  <m:t>1</m:t>
                </m:r>
                <m:r>
                  <m:rPr>
                    <m:sty m:val="p"/>
                  </m:rPr>
                  <m:t>−</m:t>
                </m:r>
                <m:r>
                  <m:t>α</m:t>
                </m:r>
                <m:r>
                  <m:rPr>
                    <m:sty m:val="p"/>
                  </m:rPr>
                  <m:t>/</m:t>
                </m:r>
                <m:r>
                  <m:t>2</m:t>
                </m:r>
              </m:sub>
            </m:sSub>
          </m:e>
        </m:d>
      </m:oMath>
      <w:r>
        <w:rPr>
          <w:rFonts w:ascii="Times New Roman" w:hAnsi="Times New Roman" w:cs="Times New Roman" w:eastAsia="Times New Roman"/>
          <w:color w:val="000000"/>
          <w:sz w:val="24"/>
        </w:rPr>
        <w:t xml:space="preserve">.</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SCP-T4</w:t>
      </w:r>
      <w:r>
        <w:rPr>
          <w:rFonts w:ascii="Times New Roman" w:hAnsi="Times New Roman" w:cs="Times New Roman" w:eastAsia="Times New Roman"/>
          <w:color w:val="000000"/>
          <w:sz w:val="24"/>
        </w:rPr>
        <w:t xml:space="preserve">: SCP calibrated on the target BA’s own last four weeks before the test period, the only target information that would be available when onboarding a new BA.</w:t>
      </w:r>
    </w:p>
    <w:p>
      <w:pPr>
        <w:numPr>
          <w:ilvl w:val="0"/>
          <w:numId w:val="1010"/>
        </w:numPr>
        <w:pStyle w:val="Compact"/>
        <w:spacing w:line="360" w:lineRule="auto" w:after="120"/>
        <w:jc w:val="both"/>
      </w:pPr>
      <w:r>
        <w:rPr>
          <w:bCs/>
          <w:rFonts w:ascii="Times New Roman" w:hAnsi="Times New Roman" w:cs="Times New Roman" w:eastAsia="Times New Roman"/>
          <w:b/>
          <w:color w:val="000000"/>
          <w:sz w:val="24"/>
        </w:rPr>
        <w:t xml:space="preserve">ACI-CQR</w:t>
      </w:r>
      <w:r>
        <w:rPr>
          <w:rFonts w:ascii="Times New Roman" w:hAnsi="Times New Roman" w:cs="Times New Roman" w:eastAsia="Times New Roman"/>
          <w:color w:val="000000"/>
          <w:sz w:val="24"/>
        </w:rPr>
        <w:t xml:space="preserve">: adaptive conformal inference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(Gibbs and Candès, 2021)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applied online per BA to CQR scores, described next.</w:t>
      </w:r>
    </w:p>
    <w:p>
      <w:pPr>
        <w:pStyle w:val="FirstParagraph"/>
        <w:spacing w:line="360" w:lineRule="auto" w:after="120"/>
        <w:jc w:val="both"/>
      </w:pPr>
      <w:r>
        <w:rPr>
          <w:bCs/>
          <w:rFonts w:ascii="Times New Roman" w:hAnsi="Times New Roman" w:cs="Times New Roman" w:eastAsia="Times New Roman"/>
          <w:b/>
          <w:color w:val="000000"/>
          <w:sz w:val="24"/>
        </w:rPr>
        <w:t xml:space="preserve">Calibration sets.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calibration set consists of the even ISO weeks of 2023, which are never used for fitting or early stopping. For unseen-region models it is restricted to the source BAs.</w:t>
      </w:r>
    </w:p>
    <w:p>
      <w:pPr>
        <w:pStyle w:val="BodyText"/>
        <w:spacing w:line="360" w:lineRule="auto" w:after="120"/>
        <w:jc w:val="both"/>
      </w:pPr>
      <w:r>
        <w:rPr>
          <w:bCs/>
          <w:rFonts w:ascii="Times New Roman" w:hAnsi="Times New Roman" w:cs="Times New Roman" w:eastAsia="Times New Roman"/>
          <w:b/>
          <w:color w:val="000000"/>
          <w:sz w:val="24"/>
        </w:rPr>
        <w:t xml:space="preserve">ACI-CQR.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working miscoverage level is updated as</w:t>
      </w:r>
    </w:p>
    <w:p>
      <w:pPr>
        <w:pStyle w:val="BodyText"/>
        <w:spacing w:line="360" w:lineRule="auto" w:after="120"/>
        <w:jc w:val="center"/>
      </w:pPr>
      <m:oMathPara>
        <m:oMathParaPr>
          <m:jc m:val="center"/>
        </m:oMathParaPr>
        <m:oMath>
          <m:sSub>
            <m:e>
              <m:r>
                <m:t>α</m:t>
              </m:r>
            </m:e>
            <m:sub>
              <m:r>
                <m:t>t</m:t>
              </m:r>
              <m:r>
                <m:rPr>
                  <m:sty m:val="p"/>
                </m:rPr>
                <m:t>+</m:t>
              </m:r>
              <m:r>
                <m:t>1</m:t>
              </m:r>
            </m:sub>
          </m:sSub>
          <m:r>
            <m:rPr>
              <m:sty m:val="p"/>
            </m:rPr>
            <m:t>=</m:t>
          </m:r>
          <m:sSub>
            <m:e>
              <m:r>
                <m:t>α</m:t>
              </m:r>
            </m:e>
            <m:sub>
              <m:r>
                <m:t>t</m:t>
              </m:r>
            </m:sub>
          </m:sSub>
          <m:r>
            <m:rPr>
              <m:sty m:val="p"/>
            </m:rPr>
            <m:t>+</m:t>
          </m:r>
          <m:r>
            <m:t>γ</m:t>
          </m:r>
          <m:r>
            <m:t> </m:t>
          </m:r>
          <m:d>
            <m:dPr>
              <m:begChr m:val="("/>
              <m:endChr m:val=")"/>
              <m:sepChr m:val=""/>
              <m:grow/>
            </m:dPr>
            <m:e>
              <m:r>
                <m:t>α</m:t>
              </m:r>
              <m:r>
                <m:rPr>
                  <m:sty m:val="p"/>
                </m:rPr>
                <m:t>−</m:t>
              </m:r>
              <m:sSub>
                <m:e>
                  <m:r>
                    <m:rPr>
                      <m:sty m:val="p"/>
                    </m:rPr>
                    <m:t>e</m:t>
                  </m:r>
                  <m:r>
                    <m:rPr>
                      <m:sty m:val="p"/>
                    </m:rPr>
                    <m:t>r</m:t>
                  </m:r>
                  <m:r>
                    <m:rPr>
                      <m:sty m:val="p"/>
                    </m:rPr>
                    <m:t>r</m:t>
                  </m:r>
                </m:e>
                <m:sub>
                  <m:r>
                    <m:t>t</m:t>
                  </m:r>
                  <m:r>
                    <m:rPr>
                      <m:sty m:val="p"/>
                    </m:rPr>
                    <m:t>−</m:t>
                  </m:r>
                  <m:r>
                    <m:t>h</m:t>
                  </m:r>
                </m:sub>
              </m:sSub>
            </m:e>
          </m:d>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where</w:t>
      </w:r>
      <w:r>
        <w:rPr>
          <w:rFonts w:ascii="Times New Roman" w:hAnsi="Times New Roman" w:cs="Times New Roman" w:eastAsia="Times New Roman"/>
          <w:color w:val="000000"/>
          <w:sz w:val="24"/>
        </w:rPr>
        <w:t xml:space="preserve"> </w:t>
      </w:r>
      <m:oMath>
        <m:sSub>
          <m:e>
            <m:r>
              <m:rPr>
                <m:sty m:val="p"/>
              </m:rPr>
              <m:t>e</m:t>
            </m:r>
            <m:r>
              <m:rPr>
                <m:sty m:val="p"/>
              </m:rPr>
              <m:t>r</m:t>
            </m:r>
            <m:r>
              <m:rPr>
                <m:sty m:val="p"/>
              </m:rPr>
              <m:t>r</m:t>
            </m:r>
          </m:e>
          <m:sub>
            <m:r>
              <m:t>t</m:t>
            </m:r>
            <m:r>
              <m:rPr>
                <m:sty m:val="p"/>
              </m:rPr>
              <m:t>−</m:t>
            </m:r>
            <m:r>
              <m:t>h</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indicates whether the interval issued for hour</w:t>
      </w:r>
      <w:r>
        <w:rPr>
          <w:rFonts w:ascii="Times New Roman" w:hAnsi="Times New Roman" w:cs="Times New Roman" w:eastAsia="Times New Roman"/>
          <w:color w:val="000000"/>
          <w:sz w:val="24"/>
        </w:rPr>
        <w:t xml:space="preserve"> </w:t>
      </w:r>
      <m:oMath>
        <m:r>
          <m:t>t</m:t>
        </m:r>
        <m:r>
          <m:rPr>
            <m:sty m:val="p"/>
          </m:rPr>
          <m:t>−</m:t>
        </m:r>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missed. Feedback is therefore delayed by the horizon. Scores enter the calibration pool once their outcomes are observed. When</w:t>
      </w:r>
      <w:r>
        <w:rPr>
          <w:rFonts w:ascii="Times New Roman" w:hAnsi="Times New Roman" w:cs="Times New Roman" w:eastAsia="Times New Roman"/>
          <w:color w:val="000000"/>
          <w:sz w:val="24"/>
        </w:rPr>
        <w:t xml:space="preserve"> </w:t>
      </w:r>
      <m:oMath>
        <m:sSub>
          <m:e>
            <m:r>
              <m:t>α</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leaves</w:t>
      </w:r>
      <w:r>
        <w:rPr>
          <w:rFonts w:ascii="Times New Roman" w:hAnsi="Times New Roman" w:cs="Times New Roman" w:eastAsia="Times New Roman"/>
          <w:color w:val="000000"/>
          <w:sz w:val="24"/>
        </w:rPr>
        <w:t xml:space="preserve"> </w:t>
      </w:r>
      <m:oMath>
        <m:d>
          <m:dPr>
            <m:begChr m:val="("/>
            <m:endChr m:val=")"/>
            <m:sepChr m:val=""/>
            <m:grow/>
          </m:dPr>
          <m:e>
            <m:r>
              <m:t>0</m:t>
            </m:r>
            <m:r>
              <m:rPr>
                <m:sty m:val="p"/>
              </m:rPr>
              <m:t>,</m:t>
            </m:r>
            <m:r>
              <m:t>1</m:t>
            </m:r>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exact ACI interval is unbounded or empty; we cap it at the most extreme score observed so far and report the share of capped hours. Two implementation details: the online stream runs over scored (unflagged) hours only, so the delay of</w:t>
      </w:r>
      <w:r>
        <w:rPr>
          <w:rFonts w:ascii="Times New Roman" w:hAnsi="Times New Roman" w:cs="Times New Roman" w:eastAsia="Times New Roman"/>
          <w:color w:val="000000"/>
          <w:sz w:val="24"/>
        </w:rPr>
        <w:t xml:space="preserve"> </w:t>
      </w:r>
      <m:oMath>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steps corresponds to at least</w:t>
      </w:r>
      <w:r>
        <w:rPr>
          <w:rFonts w:ascii="Times New Roman" w:hAnsi="Times New Roman" w:cs="Times New Roman" w:eastAsia="Times New Roman"/>
          <w:color w:val="000000"/>
          <w:sz w:val="24"/>
        </w:rPr>
        <w:t xml:space="preserve"> </w:t>
      </w:r>
      <m:oMath>
        <m:r>
          <m:t>h</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hours, a conservative choice; and at nominal 50% coverage the threshold never needed capping. ACI-CQR uses the step size fixed in the frozen protocol,</w:t>
      </w:r>
      <w:r>
        <w:rPr>
          <w:rFonts w:ascii="Times New Roman" w:hAnsi="Times New Roman" w:cs="Times New Roman" w:eastAsia="Times New Roman"/>
          <w:color w:val="000000"/>
          <w:sz w:val="24"/>
        </w:rPr>
        <w:t xml:space="preserve"> </w:t>
      </w:r>
      <m:oMath>
        <m:r>
          <m:t>γ</m:t>
        </m:r>
        <m:r>
          <m:rPr>
            <m:sty m:val="p"/>
          </m:rPr>
          <m:t>=</m:t>
        </m:r>
        <m:r>
          <m:t>0.005</m:t>
        </m:r>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w:r>
        <w:rPr>
          <w:bCs/>
          <w:rFonts w:ascii="Times New Roman" w:hAnsi="Times New Roman" w:cs="Times New Roman" w:eastAsia="Times New Roman"/>
          <w:b/>
          <w:color w:val="000000"/>
          <w:sz w:val="24"/>
        </w:rPr>
        <w:t xml:space="preserve">ACI-CQR-V</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uses</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selected from</w:t>
      </w:r>
      <w:r>
        <w:rPr>
          <w:rFonts w:ascii="Times New Roman" w:hAnsi="Times New Roman" w:cs="Times New Roman" w:eastAsia="Times New Roman"/>
          <w:color w:val="000000"/>
          <w:sz w:val="24"/>
        </w:rPr>
        <w:t xml:space="preserve"> </w:t>
      </w:r>
      <m:oMath>
        <m:r>
          <m:rPr>
            <m:sty m:val="p"/>
          </m:rPr>
          <m:t>{</m:t>
        </m:r>
        <m:r>
          <m:t>0.001</m:t>
        </m:r>
        <m:r>
          <m:rPr>
            <m:sty m:val="p"/>
          </m:rPr>
          <m:t>,</m:t>
        </m:r>
        <m:r>
          <m:t>0.002</m:t>
        </m:r>
        <m:r>
          <m:rPr>
            <m:sty m:val="p"/>
          </m:rPr>
          <m:t>,</m:t>
        </m:r>
        <m:r>
          <m:t>0.005</m:t>
        </m:r>
        <m:r>
          <m:rPr>
            <m:sty m:val="p"/>
          </m:rPr>
          <m:t>,</m:t>
        </m:r>
        <m:r>
          <m:t>0.01</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interval score on the 2023 data of held-out BAs; this variant was added after the freeze (Section 15).</w:t>
      </w:r>
    </w:p>
    <w:bookmarkEnd w:id="43"/>
    <w:bookmarkEnd w:id="44"/>
    <w:bookmarkStart w:id="45" w:name="experimental-design"/>
    <w:p>
      <w:pPr>
        <w:pStyle w:val="Heading1"/>
        <w:keepNext/>
        <w:spacing w:before="240" w:after="120"/>
      </w:pPr>
      <w:r>
        <w:rPr>
          <w:rStyle w:val="SectionNumber"/>
          <w:rFonts w:ascii="Times New Roman" w:hAnsi="Times New Roman" w:cs="Times New Roman" w:eastAsia="Times New Roman"/>
          <w:b/>
          <w:color w:val="000000"/>
          <w:sz w:val="28"/>
        </w:rPr>
        <w:t xml:space="preserve">7</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Experimental design</w:t>
      </w:r>
    </w:p>
    <w:p>
      <w:pPr>
        <w:pStyle w:val="FirstParagraph"/>
        <w:spacing w:line="360" w:lineRule="auto" w:after="120"/>
        <w:jc w:val="both"/>
      </w:pPr>
      <w:r>
        <w:rPr>
          <w:rFonts w:ascii="Times New Roman" w:hAnsi="Times New Roman" w:cs="Times New Roman" w:eastAsia="Times New Roman"/>
          <w:color w:val="000000"/>
          <w:sz w:val="24"/>
        </w:rPr>
        <w:t xml:space="preserve">All settings were fixed in a configuration file before test-set evaluation (Fig. 1).</w:t>
      </w:r>
    </w:p>
    <w:p>
      <w:pPr>
        <w:pStyle w:val="BodyText"/>
        <w:spacing w:line="360" w:lineRule="auto" w:after="120"/>
        <w:jc w:val="both"/>
      </w:pPr>
      <w:r>
        <w:rPr>
          <w:bCs/>
          <w:rFonts w:ascii="Times New Roman" w:hAnsi="Times New Roman" w:cs="Times New Roman" w:eastAsia="Times New Roman"/>
          <w:b/>
          <w:color w:val="000000"/>
          <w:sz w:val="24"/>
        </w:rPr>
        <w:t xml:space="preserve">Splits.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data are divided chronologically:</w:t>
      </w:r>
    </w:p>
    <w:p>
      <w:pPr>
        <w:numPr>
          <w:ilvl w:val="0"/>
          <w:numId w:val="1011"/>
        </w:numPr>
        <w:pStyle w:val="Compact"/>
        <w:spacing w:line="360" w:lineRule="auto" w:after="120"/>
        <w:jc w:val="both"/>
      </w:pPr>
      <w:r>
        <w:rPr>
          <w:rFonts w:ascii="Times New Roman" w:hAnsi="Times New Roman" w:cs="Times New Roman" w:eastAsia="Times New Roman"/>
          <w:color w:val="000000"/>
          <w:sz w:val="24"/>
        </w:rPr>
        <w:t xml:space="preserve">training: 2019–2022;</w:t>
      </w:r>
    </w:p>
    <w:p>
      <w:pPr>
        <w:numPr>
          <w:ilvl w:val="0"/>
          <w:numId w:val="1011"/>
        </w:numPr>
        <w:pStyle w:val="Compact"/>
        <w:spacing w:line="360" w:lineRule="auto" w:after="120"/>
        <w:jc w:val="both"/>
      </w:pPr>
      <w:r>
        <w:rPr>
          <w:rFonts w:ascii="Times New Roman" w:hAnsi="Times New Roman" w:cs="Times New Roman" w:eastAsia="Times New Roman"/>
          <w:color w:val="000000"/>
          <w:sz w:val="24"/>
        </w:rPr>
        <w:t xml:space="preserve">validation: 2023, split by ISO week parity into an early-stopping/selection set (odd weeks) and a conformal calibration set (even weeks);</w:t>
      </w:r>
    </w:p>
    <w:p>
      <w:pPr>
        <w:numPr>
          <w:ilvl w:val="0"/>
          <w:numId w:val="1011"/>
        </w:numPr>
        <w:pStyle w:val="Compact"/>
        <w:spacing w:line="360" w:lineRule="auto" w:after="120"/>
        <w:jc w:val="both"/>
      </w:pPr>
      <w:r>
        <w:rPr>
          <w:rFonts w:ascii="Times New Roman" w:hAnsi="Times New Roman" w:cs="Times New Roman" w:eastAsia="Times New Roman"/>
          <w:color w:val="000000"/>
          <w:sz w:val="24"/>
        </w:rPr>
        <w:t xml:space="preserve">test: 2024–2025, used once.</w:t>
      </w:r>
    </w:p>
    <w:p>
      <w:pPr>
        <w:pStyle w:val="FirstParagraph"/>
        <w:spacing w:line="360" w:lineRule="auto" w:after="120"/>
        <w:jc w:val="both"/>
      </w:pPr>
      <w:r>
        <w:rPr>
          <w:bCs/>
          <w:rFonts w:ascii="Times New Roman" w:hAnsi="Times New Roman" w:cs="Times New Roman" w:eastAsia="Times New Roman"/>
          <w:b/>
          <w:color w:val="000000"/>
          <w:sz w:val="24"/>
        </w:rPr>
        <w:t xml:space="preserve">Folds.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leave-regions-out evaluation, BAs were ranked by mean demand, dealt into blocks of six and randomly permuted within each block. This gives six folds of eight BAs with similar size distributions. Every model, early-stopping set and calibration set for a held-out fold excludes that fold’s BAs.</w:t>
      </w:r>
    </w:p>
    <w:p>
      <w:pPr>
        <w:pStyle w:val="BodyText"/>
        <w:spacing w:line="360" w:lineRule="auto" w:after="120"/>
        <w:jc w:val="both"/>
      </w:pPr>
      <w:r>
        <w:rPr>
          <w:bCs/>
          <w:rFonts w:ascii="Times New Roman" w:hAnsi="Times New Roman" w:cs="Times New Roman" w:eastAsia="Times New Roman"/>
          <w:b/>
          <w:color w:val="000000"/>
          <w:sz w:val="24"/>
        </w:rPr>
        <w:t xml:space="preserve">Experiments.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experiments are:</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(E1) point accuracy and the geographic generalisation gap;</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(E2) limited-data adaptation;</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(E3) temporal shift, comprising validation-year versus test-year error, 2024 versus 2025 error and seasonal breakdowns, plus a rolling-origin refit (training through 2023, validation on 2024, testing on 2025);</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(E4) interval calibration;</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(E5) robustness to missing inputs;</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(E6) ablations;</w:t>
      </w:r>
    </w:p>
    <w:p>
      <w:pPr>
        <w:numPr>
          <w:ilvl w:val="0"/>
          <w:numId w:val="1012"/>
        </w:numPr>
        <w:pStyle w:val="Compact"/>
        <w:spacing w:line="360" w:lineRule="auto" w:after="120"/>
        <w:jc w:val="both"/>
      </w:pPr>
      <w:r>
        <w:rPr>
          <w:rFonts w:ascii="Times New Roman" w:hAnsi="Times New Roman" w:cs="Times New Roman" w:eastAsia="Times New Roman"/>
          <w:color w:val="000000"/>
          <w:sz w:val="24"/>
        </w:rPr>
        <w:t xml:space="preserve">(E7) computational cost.</w:t>
      </w:r>
    </w:p>
    <w:p>
      <w:pPr>
        <w:pStyle w:val="FirstParagraph"/>
        <w:spacing w:line="360" w:lineRule="auto" w:after="120"/>
        <w:jc w:val="both"/>
      </w:pPr>
      <w:r>
        <w:rPr>
          <w:bCs/>
          <w:rFonts w:ascii="Times New Roman" w:hAnsi="Times New Roman" w:cs="Times New Roman" w:eastAsia="Times New Roman"/>
          <w:b/>
          <w:color w:val="000000"/>
          <w:sz w:val="24"/>
        </w:rPr>
        <w:t xml:space="preserve">Missing inputs (E5).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Test-period inputs, but not labels, are corrupted with missing-completely-at-random (MCAR) gaps at 5–40% rates and with random 24-h or 168-h outages removing about 10% of hours. Four strategies are compared:</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LightGBM’s native handling of missing values;</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causal last-observation-carried-forward imputation;</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causal weekly-seasonal imputation;</w:t>
      </w:r>
    </w:p>
    <w:p>
      <w:pPr>
        <w:numPr>
          <w:ilvl w:val="0"/>
          <w:numId w:val="1013"/>
        </w:numPr>
        <w:pStyle w:val="Compact"/>
        <w:spacing w:line="360" w:lineRule="auto" w:after="120"/>
        <w:jc w:val="both"/>
      </w:pPr>
      <w:r>
        <w:rPr>
          <w:rFonts w:ascii="Times New Roman" w:hAnsi="Times New Roman" w:cs="Times New Roman" w:eastAsia="Times New Roman"/>
          <w:color w:val="000000"/>
          <w:sz w:val="24"/>
        </w:rPr>
        <w:t xml:space="preserve">a global model trained with 10% MCAR input augmentation.</w:t>
      </w:r>
    </w:p>
    <w:p>
      <w:pPr>
        <w:pStyle w:val="FirstParagraph"/>
        <w:spacing w:line="360" w:lineRule="auto" w:after="120"/>
        <w:jc w:val="both"/>
      </w:pPr>
      <w:r>
        <w:rPr>
          <w:bCs/>
          <w:rFonts w:ascii="Times New Roman" w:hAnsi="Times New Roman" w:cs="Times New Roman" w:eastAsia="Times New Roman"/>
          <w:b/>
          <w:color w:val="000000"/>
          <w:sz w:val="24"/>
        </w:rPr>
        <w:t xml:space="preserve">Ablations (E6).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unseen BAs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we remove the calendar features, the weekly lags, or the recent lags beyond the first four, and we shrink the source pool to 5, 10 or 20 randomly drawn BAs (three draws each).</w:t>
      </w:r>
    </w:p>
    <w:p>
      <w:pPr>
        <w:pStyle w:val="BodyText"/>
        <w:spacing w:line="360" w:lineRule="auto" w:after="120"/>
        <w:jc w:val="both"/>
      </w:pPr>
      <w:r>
        <w:rPr>
          <w:bCs/>
          <w:rFonts w:ascii="Times New Roman" w:hAnsi="Times New Roman" w:cs="Times New Roman" w:eastAsia="Times New Roman"/>
          <w:b/>
          <w:color w:val="000000"/>
          <w:sz w:val="24"/>
        </w:rPr>
        <w:t xml:space="preserve">Hardware.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All runs used a 4-core CPU with 15 GB of memory and no GPU. Fixed seeds and LightGBM’s deterministic mode were used throughout.</w:t>
      </w:r>
    </w:p>
    <w:p>
      <w:pPr>
        <w:pStyle w:val="BodyText"/>
        <w:spacing w:line="360" w:lineRule="auto" w:after="120"/>
        <w:jc w:val="both"/>
      </w:pPr>
      <w:r>
        <w:rPr>
          <w:bCs/>
          <w:rFonts w:ascii="Times New Roman" w:hAnsi="Times New Roman" w:cs="Times New Roman" w:eastAsia="Times New Roman"/>
          <w:b/>
          <w:color w:val="000000"/>
          <w:sz w:val="24"/>
        </w:rPr>
        <w:t xml:space="preserve">Post-review analyses.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following analyses were added after an internal review, after the test results had been seen, and are reported as such (DECISION_LOG D14–D16):</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spatially blocked folds: nine blocks of contiguous EIA regions,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(point and quantile models) and</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(point);</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ACI with</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selected per fold on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source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calibration weeks only (ACI-CQR-S), with a</w:t>
      </w:r>
      <w:r>
        <w:rPr>
          <w:rFonts w:ascii="Times New Roman" w:hAnsi="Times New Roman" w:cs="Times New Roman" w:eastAsia="Times New Roman"/>
          <w:color w:val="000000"/>
          <w:sz w:val="24"/>
        </w:rPr>
        <w:t xml:space="preserve"> </w:t>
      </w:r>
      <m:oMath>
        <m:r>
          <m:t>γ</m:t>
        </m:r>
        <m:r>
          <m:rPr>
            <m:sty m:val="p"/>
          </m:rPr>
          <m:t>=</m:t>
        </m:r>
        <m:r>
          <m:t>0</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expanding-pool control;</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split conformal calibrated on each BA’s most recent four weeks of observed residuals (SCP-R4);</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conditional coverage by season and load decile, and peak-hour diagnostics;</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adaptation at three further onboarding origins (1 April, 1 July and 1 October 2024;</w:t>
      </w:r>
      <w:r>
        <w:rPr>
          <w:rFonts w:ascii="Times New Roman" w:hAnsi="Times New Roman" w:cs="Times New Roman" w:eastAsia="Times New Roman"/>
          <w:color w:val="000000"/>
          <w:sz w:val="24"/>
        </w:rPr>
        <w:t xml:space="preserve"> </w:t>
      </w:r>
      <m:oMath>
        <m:r>
          <m:t>k</m:t>
        </m:r>
        <m:r>
          <m:rPr>
            <m:sty m:val="p"/>
          </m:rPr>
          <m:t>∈</m:t>
        </m:r>
        <m:r>
          <m:rPr>
            <m:sty m:val="p"/>
          </m:rPr>
          <m:t>{</m:t>
        </m:r>
        <m:r>
          <m:t>4</m:t>
        </m:r>
        <m:r>
          <m:rPr>
            <m:sty m:val="p"/>
          </m:rPr>
          <m:t>,</m:t>
        </m:r>
        <m:r>
          <m:t>13</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weeks;</w:t>
      </w:r>
      <w:r>
        <w:rPr>
          <w:rFonts w:ascii="Times New Roman" w:hAnsi="Times New Roman" w:cs="Times New Roman" w:eastAsia="Times New Roman"/>
          <w:color w:val="000000"/>
          <w:sz w:val="24"/>
        </w:rPr>
        <w:t xml:space="preserve"> </w:t>
      </w:r>
      <m:oMath>
        <m:r>
          <m:t>h</m:t>
        </m:r>
        <m:r>
          <m:rPr>
            <m:sty m:val="p"/>
          </m:rPr>
          <m:t>∈</m:t>
        </m:r>
        <m:r>
          <m:rPr>
            <m:sty m:val="p"/>
          </m:rPr>
          <m:t>{</m:t>
        </m:r>
        <m:r>
          <m:t>6</m:t>
        </m:r>
        <m:r>
          <m:rPr>
            <m:sty m:val="p"/>
          </m:rPr>
          <m:t>,</m:t>
        </m:r>
        <m:r>
          <m:t>24</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zero-shot forecasts for the five excluded BAs;</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 ridge penalty grid;</w:t>
      </w:r>
    </w:p>
    <w:p>
      <w:pPr>
        <w:numPr>
          <w:ilvl w:val="0"/>
          <w:numId w:val="1014"/>
        </w:numPr>
        <w:pStyle w:val="Compact"/>
        <w:spacing w:line="360" w:lineRule="auto" w:after="120"/>
        <w:jc w:val="both"/>
      </w:pPr>
      <w:r>
        <w:rPr>
          <w:rFonts w:ascii="Times New Roman" w:hAnsi="Times New Roman" w:cs="Times New Roman" w:eastAsia="Times New Roman"/>
          <w:color w:val="000000"/>
          <w:sz w:val="24"/>
        </w:rPr>
        <w:t xml:space="preserve">a cluster bootstrap over the nine spatial blocks and non-inferiority bounds with post-hoc margins of 1% and 2%.</w:t>
      </w:r>
    </w:p>
    <w:bookmarkEnd w:id="45"/>
    <w:bookmarkStart w:id="46" w:name="evaluation-metrics"/>
    <w:p>
      <w:pPr>
        <w:pStyle w:val="Heading1"/>
        <w:keepNext/>
        <w:spacing w:before="240" w:after="120"/>
      </w:pPr>
      <w:r>
        <w:rPr>
          <w:rStyle w:val="SectionNumber"/>
          <w:rFonts w:ascii="Times New Roman" w:hAnsi="Times New Roman" w:cs="Times New Roman" w:eastAsia="Times New Roman"/>
          <w:b/>
          <w:color w:val="000000"/>
          <w:sz w:val="28"/>
        </w:rPr>
        <w:t xml:space="preserve">8</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Evaluation metrics</w:t>
      </w:r>
    </w:p>
    <w:p>
      <w:pPr>
        <w:pStyle w:val="FirstParagraph"/>
        <w:spacing w:line="360" w:lineRule="auto" w:after="120"/>
        <w:jc w:val="both"/>
      </w:pPr>
      <w:r>
        <w:rPr>
          <w:rFonts w:ascii="Times New Roman" w:hAnsi="Times New Roman" w:cs="Times New Roman" w:eastAsia="Times New Roman"/>
          <w:color w:val="000000"/>
          <w:sz w:val="24"/>
        </w:rPr>
        <w:t xml:space="preserve">For BA</w:t>
      </w:r>
      <w:r>
        <w:rPr>
          <w:rFonts w:ascii="Times New Roman" w:hAnsi="Times New Roman" w:cs="Times New Roman" w:eastAsia="Times New Roman"/>
          <w:color w:val="000000"/>
          <w:sz w:val="24"/>
        </w:rPr>
        <w:t xml:space="preserve"> </w:t>
      </w:r>
      <m:oMath>
        <m:r>
          <m:t>r</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scored hours</w:t>
      </w:r>
      <w:r>
        <w:rPr>
          <w:rFonts w:ascii="Times New Roman" w:hAnsi="Times New Roman" w:cs="Times New Roman" w:eastAsia="Times New Roman"/>
          <w:color w:val="000000"/>
          <w:sz w:val="24"/>
        </w:rPr>
        <w:t xml:space="preserve"> </w:t>
      </w:r>
      <m:oMath>
        <m:sSub>
          <m:e>
            <m:r>
              <m:t>T</m:t>
            </m:r>
          </m:e>
          <m:sub>
            <m:r>
              <m:t>r</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(test period, unflagged label, all compared methods available):</w:t>
      </w:r>
    </w:p>
    <w:p>
      <w:pPr>
        <w:pStyle w:val="BodyText"/>
        <w:spacing w:line="360" w:lineRule="auto" w:after="120"/>
        <w:jc w:val="center"/>
      </w:pPr>
      <m:oMathPara>
        <m:oMathParaPr>
          <m:jc m:val="center"/>
        </m:oMathParaPr>
        <m:oMath>
          <m:sSub>
            <m:e>
              <m:r>
                <m:rPr>
                  <m:sty m:val="p"/>
                </m:rPr>
                <m:t>M</m:t>
              </m:r>
              <m:r>
                <m:rPr>
                  <m:sty m:val="p"/>
                </m:rPr>
                <m:t>A</m:t>
              </m:r>
              <m:r>
                <m:rPr>
                  <m:sty m:val="p"/>
                </m:rPr>
                <m:t>E</m:t>
              </m:r>
            </m:e>
            <m:sub>
              <m:r>
                <m:t>r</m:t>
              </m:r>
            </m:sub>
          </m:sSub>
          <m:r>
            <m:rPr>
              <m:sty m:val="p"/>
            </m:rPr>
            <m:t>=</m:t>
          </m:r>
          <m:f>
            <m:fPr>
              <m:type m:val="bar"/>
            </m:fPr>
            <m:num>
              <m:r>
                <m:t>1</m:t>
              </m:r>
            </m:num>
            <m:den>
              <m:d>
                <m:dPr>
                  <m:begChr m:val="|"/>
                  <m:endChr m:val="|"/>
                  <m:sepChr m:val=""/>
                  <m:grow/>
                </m:dPr>
                <m:e>
                  <m:sSub>
                    <m:e>
                      <m:r>
                        <m:t>T</m:t>
                      </m:r>
                    </m:e>
                    <m:sub>
                      <m:r>
                        <m:t>r</m:t>
                      </m:r>
                    </m:sub>
                  </m:sSub>
                </m:e>
              </m:d>
            </m:den>
          </m:f>
          <m:nary>
            <m:naryPr>
              <m:chr m:val="∑"/>
              <m:limLoc m:val="undOvr"/>
              <m:subHide m:val="off"/>
              <m:supHide m:val="on"/>
            </m:naryPr>
            <m:sub>
              <m:r>
                <m:t>t</m:t>
              </m:r>
              <m:r>
                <m:rPr>
                  <m:sty m:val="p"/>
                </m:rPr>
                <m:t>∈</m:t>
              </m:r>
              <m:sSub>
                <m:e>
                  <m:r>
                    <m:t>T</m:t>
                  </m:r>
                </m:e>
                <m:sub>
                  <m:r>
                    <m:t>r</m:t>
                  </m:r>
                </m:sub>
              </m:sSub>
            </m:sub>
            <m:sup>
              <m:r>
                <m:t>​</m:t>
              </m:r>
            </m:sup>
            <m:e>
              <m:d>
                <m:dPr>
                  <m:begChr m:val="|"/>
                  <m:endChr m:val="|"/>
                  <m:sepChr m:val=""/>
                  <m:grow/>
                </m:dPr>
                <m:e>
                  <m:sSub>
                    <m:e>
                      <m:r>
                        <m:t>y</m:t>
                      </m:r>
                    </m:e>
                    <m:sub>
                      <m:r>
                        <m:t>r</m:t>
                      </m:r>
                      <m:r>
                        <m:rPr>
                          <m:sty m:val="p"/>
                        </m:rPr>
                        <m:t>,</m:t>
                      </m:r>
                      <m:r>
                        <m:t>t</m:t>
                      </m:r>
                    </m:sub>
                  </m:sSub>
                  <m:r>
                    <m:rPr>
                      <m:sty m:val="p"/>
                    </m:rPr>
                    <m:t>−</m:t>
                  </m:r>
                  <m:sSub>
                    <m:e>
                      <m:acc>
                        <m:accPr>
                          <m:chr m:val="̂"/>
                        </m:accPr>
                        <m:e>
                          <m:r>
                            <m:t>y</m:t>
                          </m:r>
                        </m:e>
                      </m:acc>
                    </m:e>
                    <m:sub>
                      <m:r>
                        <m:t>r</m:t>
                      </m:r>
                      <m:r>
                        <m:rPr>
                          <m:sty m:val="p"/>
                        </m:rPr>
                        <m:t>,</m:t>
                      </m:r>
                      <m:r>
                        <m:t>t</m:t>
                      </m:r>
                    </m:sub>
                  </m:sSub>
                </m:e>
              </m:d>
            </m:e>
          </m:nary>
          <m:r>
            <m:rPr>
              <m:sty m:val="p"/>
            </m:rPr>
            <m:t>,</m:t>
          </m:r>
          <m:r>
            <m:t>  </m:t>
          </m:r>
          <m:sSub>
            <m:e>
              <m:r>
                <m:rPr>
                  <m:sty m:val="p"/>
                </m:rPr>
                <m:t>n</m:t>
              </m:r>
              <m:r>
                <m:rPr>
                  <m:sty m:val="p"/>
                </m:rPr>
                <m:t>M</m:t>
              </m:r>
              <m:r>
                <m:rPr>
                  <m:sty m:val="p"/>
                </m:rPr>
                <m:t>A</m:t>
              </m:r>
              <m:r>
                <m:rPr>
                  <m:sty m:val="p"/>
                </m:rPr>
                <m:t>E</m:t>
              </m:r>
            </m:e>
            <m:sub>
              <m:r>
                <m:t>r</m:t>
              </m:r>
            </m:sub>
          </m:sSub>
          <m:r>
            <m:rPr>
              <m:sty m:val="p"/>
            </m:rPr>
            <m:t>=</m:t>
          </m:r>
          <m:f>
            <m:fPr>
              <m:type m:val="bar"/>
            </m:fPr>
            <m:num>
              <m:sSub>
                <m:e>
                  <m:r>
                    <m:rPr>
                      <m:sty m:val="p"/>
                    </m:rPr>
                    <m:t>M</m:t>
                  </m:r>
                  <m:r>
                    <m:rPr>
                      <m:sty m:val="p"/>
                    </m:rPr>
                    <m:t>A</m:t>
                  </m:r>
                  <m:r>
                    <m:rPr>
                      <m:sty m:val="p"/>
                    </m:rPr>
                    <m:t>E</m:t>
                  </m:r>
                </m:e>
                <m:sub>
                  <m:r>
                    <m:t>r</m:t>
                  </m:r>
                </m:sub>
              </m:sSub>
            </m:num>
            <m:den>
              <m:sSub>
                <m:e>
                  <m:acc>
                    <m:accPr>
                      <m:chr m:val="‾"/>
                    </m:accPr>
                    <m:e>
                      <m:r>
                        <m:t>y</m:t>
                      </m:r>
                    </m:e>
                  </m:acc>
                </m:e>
                <m:sub>
                  <m:r>
                    <m:t>r</m:t>
                  </m:r>
                </m:sub>
              </m:sSub>
            </m:den>
          </m:f>
          <m:r>
            <m:rPr>
              <m:sty m:val="p"/>
            </m:rPr>
            <m:t>,</m:t>
          </m:r>
          <m:r>
            <m:t>  </m:t>
          </m:r>
          <m:sSub>
            <m:e>
              <m:r>
                <m:rPr>
                  <m:sty m:val="p"/>
                </m:rPr>
                <m:t>n</m:t>
              </m:r>
              <m:r>
                <m:rPr>
                  <m:sty m:val="p"/>
                </m:rPr>
                <m:t>R</m:t>
              </m:r>
              <m:r>
                <m:rPr>
                  <m:sty m:val="p"/>
                </m:rPr>
                <m:t>M</m:t>
              </m:r>
              <m:r>
                <m:rPr>
                  <m:sty m:val="p"/>
                </m:rPr>
                <m:t>S</m:t>
              </m:r>
              <m:r>
                <m:rPr>
                  <m:sty m:val="p"/>
                </m:rPr>
                <m:t>E</m:t>
              </m:r>
            </m:e>
            <m:sub>
              <m:r>
                <m:t>r</m:t>
              </m:r>
            </m:sub>
          </m:sSub>
          <m:r>
            <m:rPr>
              <m:sty m:val="p"/>
            </m:rPr>
            <m:t>=</m:t>
          </m:r>
          <m:f>
            <m:fPr>
              <m:type m:val="bar"/>
            </m:fPr>
            <m:num>
              <m:r>
                <m:t>1</m:t>
              </m:r>
            </m:num>
            <m:den>
              <m:sSub>
                <m:e>
                  <m:acc>
                    <m:accPr>
                      <m:chr m:val="‾"/>
                    </m:accPr>
                    <m:e>
                      <m:r>
                        <m:t>y</m:t>
                      </m:r>
                    </m:e>
                  </m:acc>
                </m:e>
                <m:sub>
                  <m:r>
                    <m:t>r</m:t>
                  </m:r>
                </m:sub>
              </m:sSub>
            </m:den>
          </m:f>
          <m:rad>
            <m:radPr>
              <m:degHide m:val="on"/>
            </m:radPr>
            <m:deg/>
            <m:e>
              <m:f>
                <m:fPr>
                  <m:type m:val="bar"/>
                </m:fPr>
                <m:num>
                  <m:r>
                    <m:t>1</m:t>
                  </m:r>
                </m:num>
                <m:den>
                  <m:d>
                    <m:dPr>
                      <m:begChr m:val="|"/>
                      <m:endChr m:val="|"/>
                      <m:sepChr m:val=""/>
                      <m:grow/>
                    </m:dPr>
                    <m:e>
                      <m:sSub>
                        <m:e>
                          <m:r>
                            <m:t>T</m:t>
                          </m:r>
                        </m:e>
                        <m:sub>
                          <m:r>
                            <m:t>r</m:t>
                          </m:r>
                        </m:sub>
                      </m:sSub>
                    </m:e>
                  </m:d>
                </m:den>
              </m:f>
              <m:nary>
                <m:naryPr>
                  <m:chr m:val="∑"/>
                  <m:limLoc m:val="undOvr"/>
                  <m:subHide m:val="off"/>
                  <m:supHide m:val="on"/>
                </m:naryPr>
                <m:sub>
                  <m:r>
                    <m:t>t</m:t>
                  </m:r>
                  <m:r>
                    <m:rPr>
                      <m:sty m:val="p"/>
                    </m:rPr>
                    <m:t>∈</m:t>
                  </m:r>
                  <m:sSub>
                    <m:e>
                      <m:r>
                        <m:t>T</m:t>
                      </m:r>
                    </m:e>
                    <m:sub>
                      <m:r>
                        <m:t>r</m:t>
                      </m:r>
                    </m:sub>
                  </m:sSub>
                </m:sub>
                <m:sup>
                  <m:r>
                    <m:t>​</m:t>
                  </m:r>
                </m:sup>
                <m:e>
                  <m:sSup>
                    <m:e>
                      <m:d>
                        <m:dPr>
                          <m:begChr m:val="("/>
                          <m:endChr m:val=")"/>
                          <m:sepChr m:val=""/>
                          <m:grow/>
                        </m:dPr>
                        <m:e>
                          <m:sSub>
                            <m:e>
                              <m:r>
                                <m:t>y</m:t>
                              </m:r>
                            </m:e>
                            <m:sub>
                              <m:r>
                                <m:t>r</m:t>
                              </m:r>
                              <m:r>
                                <m:rPr>
                                  <m:sty m:val="p"/>
                                </m:rPr>
                                <m:t>,</m:t>
                              </m:r>
                              <m:r>
                                <m:t>t</m:t>
                              </m:r>
                            </m:sub>
                          </m:sSub>
                          <m:r>
                            <m:rPr>
                              <m:sty m:val="p"/>
                            </m:rPr>
                            <m:t>−</m:t>
                          </m:r>
                          <m:sSub>
                            <m:e>
                              <m:acc>
                                <m:accPr>
                                  <m:chr m:val="̂"/>
                                </m:accPr>
                                <m:e>
                                  <m:r>
                                    <m:t>y</m:t>
                                  </m:r>
                                </m:e>
                              </m:acc>
                            </m:e>
                            <m:sub>
                              <m:r>
                                <m:t>r</m:t>
                              </m:r>
                              <m:r>
                                <m:rPr>
                                  <m:sty m:val="p"/>
                                </m:rPr>
                                <m:t>,</m:t>
                              </m:r>
                              <m:r>
                                <m:t>t</m:t>
                              </m:r>
                            </m:sub>
                          </m:sSub>
                        </m:e>
                      </m:d>
                    </m:e>
                    <m:sup>
                      <m:r>
                        <m:t>2</m:t>
                      </m:r>
                    </m:sup>
                  </m:sSup>
                </m:e>
              </m:nary>
            </m:e>
          </m:rad>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where</w:t>
      </w:r>
      <w:r>
        <w:rPr>
          <w:rFonts w:ascii="Times New Roman" w:hAnsi="Times New Roman" w:cs="Times New Roman" w:eastAsia="Times New Roman"/>
          <w:color w:val="000000"/>
          <w:sz w:val="24"/>
        </w:rPr>
        <w:t xml:space="preserve"> </w:t>
      </w:r>
      <m:oMath>
        <m:sSub>
          <m:e>
            <m:acc>
              <m:accPr>
                <m:chr m:val="‾"/>
              </m:accPr>
              <m:e>
                <m:r>
                  <m:t>y</m:t>
                </m:r>
              </m:e>
            </m:acc>
          </m:e>
          <m:sub>
            <m:r>
              <m:t>r</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is the mean observed demand over</w:t>
      </w:r>
      <w:r>
        <w:rPr>
          <w:rFonts w:ascii="Times New Roman" w:hAnsi="Times New Roman" w:cs="Times New Roman" w:eastAsia="Times New Roman"/>
          <w:color w:val="000000"/>
          <w:sz w:val="24"/>
        </w:rPr>
        <w:t xml:space="preserve"> </w:t>
      </w:r>
      <m:oMath>
        <m:sSub>
          <m:e>
            <m:r>
              <m:t>T</m:t>
            </m:r>
          </m:e>
          <m:sub>
            <m:r>
              <m:t>r</m:t>
            </m:r>
          </m:sub>
        </m:sSub>
      </m:oMath>
      <w:r>
        <w:rPr>
          <w:rFonts w:ascii="Times New Roman" w:hAnsi="Times New Roman" w:cs="Times New Roman" w:eastAsia="Times New Roman"/>
          <w:color w:val="000000"/>
          <w:sz w:val="24"/>
        </w:rPr>
        <w:t xml:space="preserve">. The mean absolute scaled error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(Hyndman and Koehler, 2006)</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divides</w:t>
      </w:r>
      <w:r>
        <w:rPr>
          <w:rFonts w:ascii="Times New Roman" w:hAnsi="Times New Roman" w:cs="Times New Roman" w:eastAsia="Times New Roman"/>
          <w:color w:val="000000"/>
          <w:sz w:val="24"/>
        </w:rPr>
        <w:t xml:space="preserve"> </w:t>
      </w:r>
      <m:oMath>
        <m:sSub>
          <m:e>
            <m:r>
              <m:rPr>
                <m:sty m:val="p"/>
              </m:rPr>
              <m:t>M</m:t>
            </m:r>
            <m:r>
              <m:rPr>
                <m:sty m:val="p"/>
              </m:rPr>
              <m:t>A</m:t>
            </m:r>
            <m:r>
              <m:rPr>
                <m:sty m:val="p"/>
              </m:rPr>
              <m:t>E</m:t>
            </m:r>
          </m:e>
          <m:sub>
            <m:r>
              <m:t>r</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the training-period mean absolute 24-h seasonal difference. Bias is</w:t>
      </w:r>
      <w:r>
        <w:rPr>
          <w:rFonts w:ascii="Times New Roman" w:hAnsi="Times New Roman" w:cs="Times New Roman" w:eastAsia="Times New Roman"/>
          <w:color w:val="000000"/>
          <w:sz w:val="24"/>
        </w:rPr>
        <w:t xml:space="preserve"> </w:t>
      </w:r>
      <m:oMath>
        <m:nary>
          <m:naryPr>
            <m:chr m:val="∑"/>
            <m:limLoc m:val="undOvr"/>
            <m:subHide m:val="off"/>
            <m:supHide m:val="on"/>
          </m:naryPr>
          <m:sub>
            <m:r>
              <m:t>t</m:t>
            </m:r>
          </m:sub>
          <m:sup>
            <m:r>
              <m:t>​</m:t>
            </m:r>
          </m:sup>
          <m:e>
            <m:d>
              <m:dPr>
                <m:begChr m:val="("/>
                <m:endChr m:val=")"/>
                <m:sepChr m:val=""/>
                <m:grow/>
              </m:dPr>
              <m:e>
                <m:sSub>
                  <m:e>
                    <m:acc>
                      <m:accPr>
                        <m:chr m:val="̂"/>
                      </m:accPr>
                      <m:e>
                        <m:r>
                          <m:t>y</m:t>
                        </m:r>
                      </m:e>
                    </m:acc>
                  </m:e>
                  <m:sub>
                    <m:r>
                      <m:t>r</m:t>
                    </m:r>
                    <m:r>
                      <m:rPr>
                        <m:sty m:val="p"/>
                      </m:rPr>
                      <m:t>,</m:t>
                    </m:r>
                    <m:r>
                      <m:t>t</m:t>
                    </m:r>
                  </m:sub>
                </m:sSub>
                <m:r>
                  <m:rPr>
                    <m:sty m:val="p"/>
                  </m:rPr>
                  <m:t>−</m:t>
                </m:r>
                <m:sSub>
                  <m:e>
                    <m:r>
                      <m:t>y</m:t>
                    </m:r>
                  </m:e>
                  <m:sub>
                    <m:r>
                      <m:t>r</m:t>
                    </m:r>
                    <m:r>
                      <m:rPr>
                        <m:sty m:val="p"/>
                      </m:rPr>
                      <m:t>,</m:t>
                    </m:r>
                    <m:r>
                      <m:t>t</m:t>
                    </m:r>
                  </m:sub>
                </m:sSub>
              </m:e>
            </m:d>
          </m:e>
        </m:nary>
        <m:r>
          <m:rPr>
            <m:sty m:val="p"/>
          </m:rPr>
          <m:t>/</m:t>
        </m:r>
        <m:nary>
          <m:naryPr>
            <m:chr m:val="∑"/>
            <m:limLoc m:val="undOvr"/>
            <m:subHide m:val="off"/>
            <m:supHide m:val="on"/>
          </m:naryPr>
          <m:sub>
            <m:r>
              <m:t>t</m:t>
            </m:r>
          </m:sub>
          <m:sup>
            <m:r>
              <m:t>​</m:t>
            </m:r>
          </m:sup>
          <m:e>
            <m:sSub>
              <m:e>
                <m:r>
                  <m:t>y</m:t>
                </m:r>
              </m:e>
              <m:sub>
                <m:r>
                  <m:t>r</m:t>
                </m:r>
                <m:r>
                  <m:rPr>
                    <m:sty m:val="p"/>
                  </m:rPr>
                  <m:t>,</m:t>
                </m:r>
                <m:r>
                  <m:t>t</m:t>
                </m:r>
              </m:sub>
            </m:sSub>
          </m:e>
        </m:nary>
      </m:oMath>
      <w:r>
        <w:rPr>
          <w:rFonts w:ascii="Times New Roman" w:hAnsi="Times New Roman" w:cs="Times New Roman" w:eastAsia="Times New Roman"/>
          <w:color w:val="000000"/>
          <w:sz w:val="24"/>
        </w:rPr>
        <w:t xml:space="preserve">.</w:t>
      </w:r>
    </w:p>
    <w:p>
      <w:pPr>
        <w:pStyle w:val="BodyText"/>
        <w:spacing w:line="360" w:lineRule="auto" w:after="120"/>
        <w:jc w:val="both"/>
      </w:pPr>
      <w:r>
        <w:rPr>
          <w:bCs/>
          <w:rFonts w:ascii="Times New Roman" w:hAnsi="Times New Roman" w:cs="Times New Roman" w:eastAsia="Times New Roman"/>
          <w:b/>
          <w:color w:val="000000"/>
          <w:sz w:val="24"/>
        </w:rPr>
        <w:t xml:space="preserve">Probabilistic metrics.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intervals</w:t>
      </w:r>
      <w:r>
        <w:rPr>
          <w:rFonts w:ascii="Times New Roman" w:hAnsi="Times New Roman" w:cs="Times New Roman" w:eastAsia="Times New Roman"/>
          <w:color w:val="000000"/>
          <w:sz w:val="24"/>
        </w:rPr>
        <w:t xml:space="preserve"> </w:t>
      </w:r>
      <m:oMath>
        <m:d>
          <m:dPr>
            <m:begChr m:val="["/>
            <m:endChr m:val="]"/>
            <m:sepChr m:val=""/>
            <m:grow/>
          </m:dPr>
          <m:e>
            <m:sSub>
              <m:e>
                <m:r>
                  <m:t>l</m:t>
                </m:r>
              </m:e>
              <m:sub>
                <m:r>
                  <m:t>r</m:t>
                </m:r>
                <m:r>
                  <m:rPr>
                    <m:sty m:val="p"/>
                  </m:rPr>
                  <m:t>,</m:t>
                </m:r>
                <m:r>
                  <m:t>t</m:t>
                </m:r>
              </m:sub>
            </m:sSub>
            <m:r>
              <m:rPr>
                <m:sty m:val="p"/>
              </m:rPr>
              <m:t>,</m:t>
            </m:r>
            <m:sSub>
              <m:e>
                <m:r>
                  <m:t>u</m:t>
                </m:r>
              </m:e>
              <m:sub>
                <m:r>
                  <m:t>r</m:t>
                </m:r>
                <m:r>
                  <m:rPr>
                    <m:sty m:val="p"/>
                  </m:rPr>
                  <m:t>,</m:t>
                </m:r>
                <m:r>
                  <m:t>t</m:t>
                </m:r>
              </m:sub>
            </m:sSub>
          </m:e>
        </m:d>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report:</w:t>
      </w:r>
    </w:p>
    <w:p>
      <w:pPr>
        <w:numPr>
          <w:ilvl w:val="0"/>
          <w:numId w:val="1015"/>
        </w:numPr>
        <w:pStyle w:val="Compact"/>
        <w:spacing w:line="360" w:lineRule="auto" w:after="120"/>
        <w:jc w:val="both"/>
      </w:pPr>
      <w:r>
        <w:rPr>
          <w:rFonts w:ascii="Times New Roman" w:hAnsi="Times New Roman" w:cs="Times New Roman" w:eastAsia="Times New Roman"/>
          <w:color w:val="000000"/>
          <w:sz w:val="24"/>
        </w:rPr>
        <w:t xml:space="preserve">empirical coverage;</w:t>
      </w:r>
    </w:p>
    <w:p>
      <w:pPr>
        <w:numPr>
          <w:ilvl w:val="0"/>
          <w:numId w:val="1015"/>
        </w:numPr>
        <w:pStyle w:val="Compact"/>
        <w:spacing w:line="360" w:lineRule="auto" w:after="120"/>
        <w:jc w:val="both"/>
      </w:pPr>
      <w:r>
        <w:rPr>
          <w:rFonts w:ascii="Times New Roman" w:hAnsi="Times New Roman" w:cs="Times New Roman" w:eastAsia="Times New Roman"/>
          <w:color w:val="000000"/>
          <w:sz w:val="24"/>
        </w:rPr>
        <w:t xml:space="preserve">width normalised by</w:t>
      </w:r>
      <w:r>
        <w:rPr>
          <w:rFonts w:ascii="Times New Roman" w:hAnsi="Times New Roman" w:cs="Times New Roman" w:eastAsia="Times New Roman"/>
          <w:color w:val="000000"/>
          <w:sz w:val="24"/>
        </w:rPr>
        <w:t xml:space="preserve"> </w:t>
      </w:r>
      <m:oMath>
        <m:sSub>
          <m:e>
            <m:acc>
              <m:accPr>
                <m:chr m:val="‾"/>
              </m:accPr>
              <m:e>
                <m:r>
                  <m:t>y</m:t>
                </m:r>
              </m:e>
            </m:acc>
          </m:e>
          <m:sub>
            <m:r>
              <m:t>r</m:t>
            </m:r>
          </m:sub>
        </m:sSub>
      </m:oMath>
      <w:r>
        <w:rPr>
          <w:rFonts w:ascii="Times New Roman" w:hAnsi="Times New Roman" w:cs="Times New Roman" w:eastAsia="Times New Roman"/>
          <w:color w:val="000000"/>
          <w:sz w:val="24"/>
        </w:rPr>
        <w:t xml:space="preserve">, both mean and median over hours;</w:t>
      </w:r>
    </w:p>
    <w:p>
      <w:pPr>
        <w:numPr>
          <w:ilvl w:val="0"/>
          <w:numId w:val="1015"/>
        </w:numPr>
        <w:pStyle w:val="Compact"/>
        <w:spacing w:line="360" w:lineRule="auto" w:after="120"/>
        <w:jc w:val="both"/>
      </w:pPr>
      <w:r>
        <w:rPr>
          <w:rFonts w:ascii="Times New Roman" w:hAnsi="Times New Roman" w:cs="Times New Roman" w:eastAsia="Times New Roman"/>
          <w:color w:val="000000"/>
          <w:sz w:val="24"/>
        </w:rPr>
        <w:t xml:space="preserve">the interval score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(Gneiting and Raftery, 2007)</w:t>
      </w:r>
      <w:r>
        <w:rPr>
          <w:rFonts w:ascii="Times New Roman" w:hAnsi="Times New Roman" w:cs="Times New Roman" w:eastAsia="Times New Roman"/>
          <w:color w:val="000000"/>
          <w:sz w:val="24"/>
        </w:rPr>
        <w:t xml:space="preserve">:</w:t>
      </w:r>
    </w:p>
    <w:p>
      <w:pPr>
        <w:pStyle w:val="Compact"/>
        <w:spacing w:line="360" w:lineRule="auto" w:after="120"/>
        <w:jc w:val="center"/>
      </w:pPr>
      <m:oMathPara>
        <m:oMathParaPr>
          <m:jc m:val="center"/>
        </m:oMathParaPr>
        <m:oMath>
          <m:sSub>
            <m:e>
              <m:r>
                <m:rPr>
                  <m:sty m:val="p"/>
                </m:rPr>
                <m:t>I</m:t>
              </m:r>
              <m:r>
                <m:rPr>
                  <m:sty m:val="p"/>
                </m:rPr>
                <m:t>S</m:t>
              </m:r>
            </m:e>
            <m:sub>
              <m:r>
                <m:t>α</m:t>
              </m:r>
            </m:sub>
          </m:sSub>
          <m:r>
            <m:rPr>
              <m:sty m:val="p"/>
            </m:rPr>
            <m:t>=</m:t>
          </m:r>
          <m:d>
            <m:dPr>
              <m:begChr m:val="("/>
              <m:endChr m:val=")"/>
              <m:sepChr m:val=""/>
              <m:grow/>
            </m:dPr>
            <m:e>
              <m:r>
                <m:t>u</m:t>
              </m:r>
              <m:r>
                <m:rPr>
                  <m:sty m:val="p"/>
                </m:rPr>
                <m:t>−</m:t>
              </m:r>
              <m:r>
                <m:t>l</m:t>
              </m:r>
            </m:e>
          </m:d>
          <m:r>
            <m:rPr>
              <m:sty m:val="p"/>
            </m:rPr>
            <m:t>+</m:t>
          </m:r>
          <m:f>
            <m:fPr>
              <m:type m:val="bar"/>
            </m:fPr>
            <m:num>
              <m:r>
                <m:t>2</m:t>
              </m:r>
            </m:num>
            <m:den>
              <m:r>
                <m:t>α</m:t>
              </m:r>
            </m:den>
          </m:f>
          <m:d>
            <m:dPr>
              <m:begChr m:val="("/>
              <m:endChr m:val=")"/>
              <m:sepChr m:val=""/>
              <m:grow/>
            </m:dPr>
            <m:e>
              <m:r>
                <m:t>l</m:t>
              </m:r>
              <m:r>
                <m:rPr>
                  <m:sty m:val="p"/>
                </m:rPr>
                <m:t>−</m:t>
              </m:r>
              <m:r>
                <m:t>y</m:t>
              </m:r>
            </m:e>
          </m:d>
          <m:r>
            <m:t> </m:t>
          </m:r>
          <m:r>
            <m:rPr>
              <m:sty m:val="p"/>
              <m:scr m:val="double-struck"/>
            </m:rPr>
            <m:t>1</m:t>
          </m:r>
          <m:r>
            <m:rPr>
              <m:sty m:val="p"/>
            </m:rPr>
            <m:t>{</m:t>
          </m:r>
          <m:r>
            <m:t>y</m:t>
          </m:r>
          <m:r>
            <m:rPr>
              <m:sty m:val="p"/>
            </m:rPr>
            <m:t>&lt;</m:t>
          </m:r>
          <m:r>
            <m:t>l</m:t>
          </m:r>
          <m:r>
            <m:rPr>
              <m:sty m:val="p"/>
            </m:rPr>
            <m:t>}</m:t>
          </m:r>
          <m:r>
            <m:rPr>
              <m:sty m:val="p"/>
            </m:rPr>
            <m:t>+</m:t>
          </m:r>
          <m:f>
            <m:fPr>
              <m:type m:val="bar"/>
            </m:fPr>
            <m:num>
              <m:r>
                <m:t>2</m:t>
              </m:r>
            </m:num>
            <m:den>
              <m:r>
                <m:t>α</m:t>
              </m:r>
            </m:den>
          </m:f>
          <m:d>
            <m:dPr>
              <m:begChr m:val="("/>
              <m:endChr m:val=")"/>
              <m:sepChr m:val=""/>
              <m:grow/>
            </m:dPr>
            <m:e>
              <m:r>
                <m:t>y</m:t>
              </m:r>
              <m:r>
                <m:rPr>
                  <m:sty m:val="p"/>
                </m:rPr>
                <m:t>−</m:t>
              </m:r>
              <m:r>
                <m:t>u</m:t>
              </m:r>
            </m:e>
          </m:d>
          <m:r>
            <m:t> </m:t>
          </m:r>
          <m:r>
            <m:rPr>
              <m:sty m:val="p"/>
              <m:scr m:val="double-struck"/>
            </m:rPr>
            <m:t>1</m:t>
          </m:r>
          <m:r>
            <m:rPr>
              <m:sty m:val="p"/>
            </m:rPr>
            <m:t>{</m:t>
          </m:r>
          <m:r>
            <m:t>y</m:t>
          </m:r>
          <m:r>
            <m:rPr>
              <m:sty m:val="p"/>
            </m:rPr>
            <m:t>&gt;</m:t>
          </m:r>
          <m:r>
            <m:t>u</m:t>
          </m:r>
          <m:r>
            <m:rPr>
              <m:sty m:val="p"/>
            </m:rPr>
            <m:t>}</m:t>
          </m:r>
          <m:r>
            <m:rPr>
              <m:sty m:val="p"/>
            </m:rPr>
            <m:t>.</m:t>
          </m:r>
        </m:oMath>
      </m:oMathPara>
    </w:p>
    <w:p>
      <w:pPr>
        <w:pStyle w:val="FirstParagraph"/>
        <w:spacing w:line="360" w:lineRule="auto" w:after="120"/>
        <w:jc w:val="both"/>
      </w:pPr>
      <w:r>
        <w:rPr>
          <w:rFonts w:ascii="Times New Roman" w:hAnsi="Times New Roman" w:cs="Times New Roman" w:eastAsia="Times New Roman"/>
          <w:color w:val="000000"/>
          <w:sz w:val="24"/>
        </w:rPr>
        <w:t xml:space="preserve">The quantile grid is scored with the average pinball loss</w:t>
      </w:r>
      <w:r>
        <w:rPr>
          <w:rFonts w:ascii="Times New Roman" w:hAnsi="Times New Roman" w:cs="Times New Roman" w:eastAsia="Times New Roman"/>
          <w:color w:val="000000"/>
          <w:sz w:val="24"/>
        </w:rPr>
        <w:t xml:space="preserve"> </w:t>
      </w:r>
      <m:oMath>
        <m:sSub>
          <m:e>
            <m:r>
              <m:t>ρ</m:t>
            </m:r>
          </m:e>
          <m:sub>
            <m:r>
              <m:t>τ</m:t>
            </m:r>
          </m:sub>
        </m:sSub>
        <m:d>
          <m:dPr>
            <m:begChr m:val="("/>
            <m:endChr m:val=")"/>
            <m:sepChr m:val=""/>
            <m:grow/>
          </m:dPr>
          <m:e>
            <m:r>
              <m:t>e</m:t>
            </m:r>
          </m:e>
        </m:d>
        <m:r>
          <m:rPr>
            <m:sty m:val="p"/>
          </m:rPr>
          <m:t>=</m:t>
        </m:r>
        <m:r>
          <m:rPr>
            <m:sty m:val="p"/>
          </m:rPr>
          <m:t>max</m:t>
        </m:r>
        <m:d>
          <m:dPr>
            <m:begChr m:val="("/>
            <m:endChr m:val=")"/>
            <m:sepChr m:val=""/>
            <m:grow/>
          </m:dPr>
          <m:e>
            <m:r>
              <m:t>τ</m:t>
            </m:r>
            <m:r>
              <m:t>e</m:t>
            </m:r>
            <m:r>
              <m:rPr>
                <m:sty m:val="p"/>
              </m:rPr>
              <m:t>,</m:t>
            </m:r>
            <m:d>
              <m:dPr>
                <m:begChr m:val="("/>
                <m:endChr m:val=")"/>
                <m:sepChr m:val=""/>
                <m:grow/>
              </m:dPr>
              <m:e>
                <m:r>
                  <m:t>τ</m:t>
                </m:r>
                <m:r>
                  <m:rPr>
                    <m:sty m:val="p"/>
                  </m:rPr>
                  <m:t>−</m:t>
                </m:r>
                <m:r>
                  <m:t>1</m:t>
                </m:r>
              </m:e>
            </m:d>
            <m:r>
              <m:t>e</m:t>
            </m:r>
          </m:e>
        </m:d>
      </m:oMath>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m:oMath>
        <m:r>
          <m:t>e</m:t>
        </m:r>
        <m:r>
          <m:rPr>
            <m:sty m:val="p"/>
          </m:rPr>
          <m:t>=</m:t>
        </m:r>
        <m:r>
          <m:t>y</m:t>
        </m:r>
        <m:r>
          <m:rPr>
            <m:sty m:val="p"/>
          </m:rPr>
          <m:t>−</m:t>
        </m:r>
        <m:sSub>
          <m:e>
            <m:acc>
              <m:accPr>
                <m:chr m:val="̂"/>
              </m:accPr>
              <m:e>
                <m:r>
                  <m:t>q</m:t>
                </m:r>
              </m:e>
            </m:acc>
          </m:e>
          <m:sub>
            <m:r>
              <m:t>τ</m:t>
            </m:r>
          </m:sub>
        </m:sSub>
      </m:oMath>
      <w:r>
        <w:rPr>
          <w:rFonts w:ascii="Times New Roman" w:hAnsi="Times New Roman" w:cs="Times New Roman" w:eastAsia="Times New Roman"/>
          <w:color w:val="000000"/>
          <w:sz w:val="24"/>
        </w:rPr>
        <w:t xml:space="preserve">, normalised by</w:t>
      </w:r>
      <w:r>
        <w:rPr>
          <w:rFonts w:ascii="Times New Roman" w:hAnsi="Times New Roman" w:cs="Times New Roman" w:eastAsia="Times New Roman"/>
          <w:color w:val="000000"/>
          <w:sz w:val="24"/>
        </w:rPr>
        <w:t xml:space="preserve"> </w:t>
      </w:r>
      <m:oMath>
        <m:sSub>
          <m:e>
            <m:acc>
              <m:accPr>
                <m:chr m:val="‾"/>
              </m:accPr>
              <m:e>
                <m:r>
                  <m:t>y</m:t>
                </m:r>
              </m:e>
            </m:acc>
          </m:e>
          <m:sub>
            <m:r>
              <m:t>r</m:t>
            </m:r>
          </m:sub>
        </m:sSub>
      </m:oMath>
      <w:r>
        <w:rPr>
          <w:rFonts w:ascii="Times New Roman" w:hAnsi="Times New Roman" w:cs="Times New Roman" w:eastAsia="Times New Roman"/>
          <w:color w:val="000000"/>
          <w:sz w:val="24"/>
        </w:rPr>
        <w:t xml:space="preserve">. Calibration across BAs is summarised by the mean absolute coverage deviation and by the share of BAs whose coverage falls more than 5 percentage points below nominal.</w:t>
      </w:r>
    </w:p>
    <w:p>
      <w:pPr>
        <w:pStyle w:val="BodyText"/>
        <w:spacing w:line="360" w:lineRule="auto" w:after="120"/>
        <w:jc w:val="both"/>
      </w:pPr>
      <w:r>
        <w:rPr>
          <w:bCs/>
          <w:rFonts w:ascii="Times New Roman" w:hAnsi="Times New Roman" w:cs="Times New Roman" w:eastAsia="Times New Roman"/>
          <w:b/>
          <w:color w:val="000000"/>
          <w:sz w:val="24"/>
        </w:rPr>
        <w:t xml:space="preserve">Aggregation.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Cross-BA summaries are medians (with interquartile ranges) of per-BA metrics, so each BA counts equally. This is deliberate: pooled MWh errors would be dominated by PJM, MISO and ERCOT.</w:t>
      </w:r>
    </w:p>
    <w:p>
      <w:pPr>
        <w:pStyle w:val="BodyText"/>
        <w:spacing w:line="360" w:lineRule="auto" w:after="120"/>
        <w:jc w:val="both"/>
      </w:pPr>
      <w:r>
        <w:rPr>
          <w:bCs/>
          <w:rFonts w:ascii="Times New Roman" w:hAnsi="Times New Roman" w:cs="Times New Roman" w:eastAsia="Times New Roman"/>
          <w:b/>
          <w:color w:val="000000"/>
          <w:sz w:val="24"/>
        </w:rPr>
        <w:t xml:space="preserve">Statistical comparisons.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Paired comparisons across BAs use the Wilcoxon signed-rank test on per-BA nMAE. Holm adjustment is applied within families: the 72 point-forecast tests (8 pairs, 3 metrics, 3 horizons), the adaptation tests, the refit tests and the ablation tests. Effect sizes are median relative changes, with 95% percentile bootstrap intervals over BAs (1,000 resamples). Within each BA, temporal dependence is handled by a moving-block bootstrap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(Künsch, 1989)</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of the hourly absolute-error differential (168-h blocks, 1,000 resamples); we report the share of BAs whose 95% interval excludes zero. BAs are spatially correlated, so region-level tests overstate the effective sample size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(Roberts et al., 2017)</w:t>
      </w:r>
      <w:r>
        <w:rPr>
          <w:rFonts w:ascii="Times New Roman" w:hAnsi="Times New Roman" w:cs="Times New Roman" w:eastAsia="Times New Roman"/>
          <w:color w:val="000000"/>
          <w:sz w:val="24"/>
        </w:rPr>
        <w:t xml:space="preserve">. We therefore emphasise effect sizes.</w:t>
      </w:r>
    </w:p>
    <w:bookmarkEnd w:id="46"/>
    <w:bookmarkStart w:id="69" w:name="results"/>
    <w:p>
      <w:pPr>
        <w:pStyle w:val="Heading1"/>
        <w:keepNext/>
        <w:spacing w:before="240" w:after="120"/>
      </w:pPr>
      <w:r>
        <w:rPr>
          <w:rStyle w:val="SectionNumber"/>
          <w:rFonts w:ascii="Times New Roman" w:hAnsi="Times New Roman" w:cs="Times New Roman" w:eastAsia="Times New Roman"/>
          <w:b/>
          <w:color w:val="000000"/>
          <w:sz w:val="28"/>
        </w:rPr>
        <w:t xml:space="preserve">9</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Results</w:t>
      </w:r>
    </w:p>
    <w:p>
      <w:pPr>
        <w:pStyle w:val="FirstParagraph"/>
        <w:spacing w:line="360" w:lineRule="auto" w:after="120"/>
        <w:jc w:val="both"/>
      </w:pPr>
      <w:r>
        <w:rPr>
          <w:rFonts w:ascii="Times New Roman" w:hAnsi="Times New Roman" w:cs="Times New Roman" w:eastAsia="Times New Roman"/>
          <w:color w:val="000000"/>
          <w:sz w:val="24"/>
        </w:rPr>
        <w:t xml:space="preserve">All results refer to the 2024–2025 test period unless stated otherwise. They are computed on the 48 BAs, using hours where the label is unflagged and every compared method has a forecast. This covers more than 99.5% of test hours at every horizon.</w:t>
      </w:r>
    </w:p>
    <w:bookmarkStart w:id="53" w:name="X3bca7586c9f56c2dd749ad064f4711f83d508b3"/>
    <w:p>
      <w:pPr>
        <w:pStyle w:val="Heading2"/>
        <w:keepNext/>
        <w:spacing w:before="240" w:after="120"/>
      </w:pPr>
      <w:r>
        <w:rPr>
          <w:rStyle w:val="SectionNumber"/>
          <w:rFonts w:ascii="Times New Roman" w:hAnsi="Times New Roman" w:cs="Times New Roman" w:eastAsia="Times New Roman"/>
          <w:b/>
          <w:color w:val="000000"/>
          <w:sz w:val="24"/>
        </w:rPr>
        <w:t xml:space="preserve">9.1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Point accuracy and the geographic generalisation gap (RQ1)</w:t>
      </w:r>
    </w:p>
    <w:p>
      <w:pPr>
        <w:pStyle w:val="FirstParagraph"/>
        <w:spacing w:line="360" w:lineRule="auto" w:after="120"/>
        <w:jc w:val="both"/>
      </w:pPr>
      <w:r>
        <w:rPr>
          <w:rFonts w:ascii="Times New Roman" w:hAnsi="Times New Roman" w:cs="Times New Roman" w:eastAsia="Times New Roman"/>
          <w:color w:val="000000"/>
          <w:sz w:val="24"/>
        </w:rPr>
        <w:t xml:space="preserve">Table 1 and Fig. 5 summarise per-BA accuracy.</w:t>
      </w:r>
    </w:p>
    <w:p>
      <w:pPr>
        <w:pStyle w:val="BodyText"/>
        <w:spacing w:line="360" w:lineRule="auto" w:after="120"/>
        <w:jc w:val="both"/>
      </w:pPr>
      <w:r>
        <w:rPr>
          <w:bCs/>
          <w:rFonts w:ascii="Times New Roman" w:hAnsi="Times New Roman" w:cs="Times New Roman" w:eastAsia="Times New Roman"/>
          <w:b/>
          <w:color w:val="000000"/>
          <w:sz w:val="24"/>
        </w:rPr>
        <w:t xml:space="preserve">Day-ahead horizon.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global LightGBM model trained on all BAs (G-IN) attains a median nMAE of 4.64% (MASE 0.884). The same model class with the evaluated BA held out (G-LRO, zero-shot) attains 4.75%, against 4.72% for local models trained on four years of each BA’s own data, 5.05% for pooled ridge regression and 5.48% for the 24-h seasonal naive.</w:t>
      </w:r>
    </w:p>
    <w:p>
      <w:pPr>
        <w:pStyle w:val="BodyText"/>
        <w:spacing w:line="360" w:lineRule="auto" w:after="120"/>
        <w:jc w:val="both"/>
      </w:pPr>
      <w:r>
        <w:rPr>
          <w:bCs/>
          <w:rFonts w:ascii="Times New Roman" w:hAnsi="Times New Roman" w:cs="Times New Roman" w:eastAsia="Times New Roman"/>
          <w:b/>
          <w:color w:val="000000"/>
          <w:sz w:val="24"/>
        </w:rPr>
        <w:t xml:space="preserve">Shorter horizons.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6</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medians are 3.50% (G-IN), 3.66% (G-LRO) and 3.78% (local). 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they are 1.14%, 1.17% and 1.28%.</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Test-period (2024–2025) point accuracy across 48 BAs.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516"/>
        <w:gridCol w:w="2582"/>
        <w:gridCol w:w="1320"/>
        <w:gridCol w:w="1033"/>
        <w:gridCol w:w="860"/>
        <w:gridCol w:w="975"/>
        <w:gridCol w:w="631"/>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nMAE % median [IQR]</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nRMSE % median</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MASE median</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Bias % median</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Regions</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6"/>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(168 h)</w:t>
            </w:r>
          </w:p>
        </w:tc>
        <w:tc>
          <w:tcPr/>
          <w:p>
            <w:pPr>
              <w:pStyle w:val="Compact"/>
              <w:spacing w:line="240" w:lineRule="auto" w:before="20" w:after="20"/>
              <w:jc w:val="left"/>
            </w:pPr>
            <w:r>
              <w:rPr>
                <w:rFonts w:ascii="Times New Roman" w:hAnsi="Times New Roman" w:cs="Times New Roman" w:eastAsia="Times New Roman"/>
                <w:color w:val="000000"/>
                <w:sz w:val="16"/>
              </w:rPr>
              <w:t xml:space="preserve">9.12 [8.17, 11.40]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1.731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Persistence</w:t>
            </w:r>
          </w:p>
        </w:tc>
        <w:tc>
          <w:tcPr/>
          <w:p>
            <w:pPr>
              <w:pStyle w:val="Compact"/>
              <w:spacing w:line="240" w:lineRule="auto" w:before="20" w:after="20"/>
              <w:jc w:val="left"/>
            </w:pPr>
            <w:r>
              <w:rPr>
                <w:rFonts w:ascii="Times New Roman" w:hAnsi="Times New Roman" w:cs="Times New Roman" w:eastAsia="Times New Roman"/>
                <w:color w:val="000000"/>
                <w:sz w:val="16"/>
              </w:rPr>
              <w:t xml:space="preserve">3.49 [3.12, 4.23]</w:t>
            </w:r>
          </w:p>
        </w:tc>
        <w:tc>
          <w:tcPr/>
          <w:p>
            <w:pPr>
              <w:pStyle w:val="Compact"/>
              <w:spacing w:line="240" w:lineRule="auto" w:before="20" w:after="20"/>
              <w:jc w:val="left"/>
            </w:pPr>
            <w:r>
              <w:rPr>
                <w:rFonts w:ascii="Times New Roman" w:hAnsi="Times New Roman" w:cs="Times New Roman" w:eastAsia="Times New Roman"/>
                <w:color w:val="000000"/>
                <w:sz w:val="16"/>
              </w:rPr>
              <w:t xml:space="preserve">4.42</w:t>
            </w:r>
          </w:p>
        </w:tc>
        <w:tc>
          <w:tcPr/>
          <w:p>
            <w:pPr>
              <w:pStyle w:val="Compact"/>
              <w:spacing w:line="240" w:lineRule="auto" w:before="20" w:after="20"/>
              <w:jc w:val="left"/>
            </w:pPr>
            <w:r>
              <w:rPr>
                <w:rFonts w:ascii="Times New Roman" w:hAnsi="Times New Roman" w:cs="Times New Roman" w:eastAsia="Times New Roman"/>
                <w:color w:val="000000"/>
                <w:sz w:val="16"/>
              </w:rPr>
              <w:t xml:space="preserve">0.626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1.42 [1.16, 1.71]</w:t>
            </w:r>
          </w:p>
        </w:tc>
        <w:tc>
          <w:tcPr/>
          <w:p>
            <w:pPr>
              <w:pStyle w:val="Compact"/>
              <w:spacing w:line="240" w:lineRule="auto" w:before="20" w:after="20"/>
              <w:jc w:val="left"/>
            </w:pPr>
            <w:r>
              <w:rPr>
                <w:rFonts w:ascii="Times New Roman" w:hAnsi="Times New Roman" w:cs="Times New Roman" w:eastAsia="Times New Roman"/>
                <w:color w:val="000000"/>
                <w:sz w:val="16"/>
              </w:rPr>
              <w:t xml:space="preserve">2.16</w:t>
            </w:r>
          </w:p>
        </w:tc>
        <w:tc>
          <w:tcPr/>
          <w:p>
            <w:pPr>
              <w:pStyle w:val="Compact"/>
              <w:spacing w:line="240" w:lineRule="auto" w:before="20" w:after="20"/>
              <w:jc w:val="left"/>
            </w:pPr>
            <w:r>
              <w:rPr>
                <w:rFonts w:ascii="Times New Roman" w:hAnsi="Times New Roman" w:cs="Times New Roman" w:eastAsia="Times New Roman"/>
                <w:color w:val="000000"/>
                <w:sz w:val="16"/>
              </w:rPr>
              <w:t xml:space="preserve">0.246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(unseen 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1.40 [1.16, 1.69]</w:t>
            </w:r>
          </w:p>
        </w:tc>
        <w:tc>
          <w:tcPr/>
          <w:p>
            <w:pPr>
              <w:pStyle w:val="Compact"/>
              <w:spacing w:line="240" w:lineRule="auto" w:before="20" w:after="20"/>
              <w:jc w:val="left"/>
            </w:pPr>
            <w:r>
              <w:rPr>
                <w:rFonts w:ascii="Times New Roman" w:hAnsi="Times New Roman" w:cs="Times New Roman" w:eastAsia="Times New Roman"/>
                <w:color w:val="000000"/>
                <w:sz w:val="16"/>
              </w:rPr>
              <w:t xml:space="preserve">2.16</w:t>
            </w:r>
          </w:p>
        </w:tc>
        <w:tc>
          <w:tcPr/>
          <w:p>
            <w:pPr>
              <w:pStyle w:val="Compact"/>
              <w:spacing w:line="240" w:lineRule="auto" w:before="20" w:after="20"/>
              <w:jc w:val="left"/>
            </w:pPr>
            <w:r>
              <w:rPr>
                <w:rFonts w:ascii="Times New Roman" w:hAnsi="Times New Roman" w:cs="Times New Roman" w:eastAsia="Times New Roman"/>
                <w:color w:val="000000"/>
                <w:sz w:val="16"/>
              </w:rPr>
              <w:t xml:space="preserve">0.245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 [1.01, 1.61]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1.84</w:t>
            </w:r>
          </w:p>
        </w:tc>
        <w:tc>
          <w:tcPr/>
          <w:p>
            <w:pPr>
              <w:pStyle w:val="Compact"/>
              <w:spacing w:line="240" w:lineRule="auto" w:before="20" w:after="20"/>
              <w:jc w:val="left"/>
            </w:pPr>
            <w:r>
              <w:rPr>
                <w:rFonts w:ascii="Times New Roman" w:hAnsi="Times New Roman" w:cs="Times New Roman" w:eastAsia="Times New Roman"/>
                <w:color w:val="000000"/>
                <w:sz w:val="16"/>
              </w:rPr>
              <w:t xml:space="preserve">0.22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1.14 [0.87, 1.51]</w:t>
            </w:r>
          </w:p>
        </w:tc>
        <w:tc>
          <w:tcPr/>
          <w:p>
            <w:pPr>
              <w:pStyle w:val="Compact"/>
              <w:spacing w:line="240" w:lineRule="auto" w:before="20" w:after="20"/>
              <w:jc w:val="left"/>
            </w:pPr>
            <w:r>
              <w:rPr>
                <w:rFonts w:ascii="Times New Roman" w:hAnsi="Times New Roman" w:cs="Times New Roman" w:eastAsia="Times New Roman"/>
                <w:color w:val="000000"/>
                <w:sz w:val="16"/>
              </w:rPr>
              <w:t xml:space="preserve">1.63</w:t>
            </w:r>
          </w:p>
        </w:tc>
        <w:tc>
          <w:tcPr/>
          <w:p>
            <w:pPr>
              <w:pStyle w:val="Compact"/>
              <w:spacing w:line="240" w:lineRule="auto" w:before="20" w:after="20"/>
              <w:jc w:val="left"/>
            </w:pPr>
            <w:r>
              <w:rPr>
                <w:rFonts w:ascii="Times New Roman" w:hAnsi="Times New Roman" w:cs="Times New Roman" w:eastAsia="Times New Roman"/>
                <w:color w:val="000000"/>
                <w:sz w:val="16"/>
              </w:rPr>
              <w:t xml:space="preserve">0.194</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6"/>
              </w:rPr>
              <w:t xml:space="preserve">1.17 [0.90, 1.55]</w:t>
            </w:r>
          </w:p>
        </w:tc>
        <w:tc>
          <w:tcPr/>
          <w:p>
            <w:pPr>
              <w:pStyle w:val="Compact"/>
              <w:spacing w:line="240" w:lineRule="auto" w:before="20" w:after="20"/>
              <w:jc w:val="left"/>
            </w:pPr>
            <w:r>
              <w:rPr>
                <w:rFonts w:ascii="Times New Roman" w:hAnsi="Times New Roman" w:cs="Times New Roman" w:eastAsia="Times New Roman"/>
                <w:color w:val="000000"/>
                <w:sz w:val="16"/>
              </w:rPr>
              <w:t xml:space="preserve">1.67</w:t>
            </w:r>
          </w:p>
        </w:tc>
        <w:tc>
          <w:tcPr/>
          <w:p>
            <w:pPr>
              <w:pStyle w:val="Compact"/>
              <w:spacing w:line="240" w:lineRule="auto" w:before="20" w:after="20"/>
              <w:jc w:val="left"/>
            </w:pPr>
            <w:r>
              <w:rPr>
                <w:rFonts w:ascii="Times New Roman" w:hAnsi="Times New Roman" w:cs="Times New Roman" w:eastAsia="Times New Roman"/>
                <w:color w:val="000000"/>
                <w:sz w:val="16"/>
              </w:rPr>
              <w:t xml:space="preserve">0.201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6"/>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(168 h)</w:t>
            </w:r>
          </w:p>
        </w:tc>
        <w:tc>
          <w:tcPr/>
          <w:p>
            <w:pPr>
              <w:pStyle w:val="Compact"/>
              <w:spacing w:line="240" w:lineRule="auto" w:before="20" w:after="20"/>
              <w:jc w:val="left"/>
            </w:pPr>
            <w:r>
              <w:rPr>
                <w:rFonts w:ascii="Times New Roman" w:hAnsi="Times New Roman" w:cs="Times New Roman" w:eastAsia="Times New Roman"/>
                <w:color w:val="000000"/>
                <w:sz w:val="16"/>
              </w:rPr>
              <w:t xml:space="preserve">9.12 [8.17, 11.40]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1.731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Persistence</w:t>
            </w:r>
          </w:p>
        </w:tc>
        <w:tc>
          <w:tcPr/>
          <w:p>
            <w:pPr>
              <w:pStyle w:val="Compact"/>
              <w:spacing w:line="240" w:lineRule="auto" w:before="20" w:after="20"/>
              <w:jc w:val="left"/>
            </w:pPr>
            <w:r>
              <w:rPr>
                <w:rFonts w:ascii="Times New Roman" w:hAnsi="Times New Roman" w:cs="Times New Roman" w:eastAsia="Times New Roman"/>
                <w:color w:val="000000"/>
                <w:sz w:val="16"/>
              </w:rPr>
              <w:t xml:space="preserve">15.80 [14.16, 19.89]</w:t>
            </w:r>
          </w:p>
        </w:tc>
        <w:tc>
          <w:tcPr/>
          <w:p>
            <w:pPr>
              <w:pStyle w:val="Compact"/>
              <w:spacing w:line="240" w:lineRule="auto" w:before="20" w:after="20"/>
              <w:jc w:val="left"/>
            </w:pPr>
            <w:r>
              <w:rPr>
                <w:rFonts w:ascii="Times New Roman" w:hAnsi="Times New Roman" w:cs="Times New Roman" w:eastAsia="Times New Roman"/>
                <w:color w:val="000000"/>
                <w:sz w:val="16"/>
              </w:rPr>
              <w:t xml:space="preserve">19.71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2.817</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4.16 [3.44, 5.13]</w:t>
            </w:r>
          </w:p>
        </w:tc>
        <w:tc>
          <w:tcPr/>
          <w:p>
            <w:pPr>
              <w:pStyle w:val="Compact"/>
              <w:spacing w:line="240" w:lineRule="auto" w:before="20" w:after="20"/>
              <w:jc w:val="left"/>
            </w:pPr>
            <w:r>
              <w:rPr>
                <w:rFonts w:ascii="Times New Roman" w:hAnsi="Times New Roman" w:cs="Times New Roman" w:eastAsia="Times New Roman"/>
                <w:color w:val="000000"/>
                <w:sz w:val="16"/>
              </w:rPr>
              <w:t xml:space="preserve">5.95</w:t>
            </w:r>
          </w:p>
        </w:tc>
        <w:tc>
          <w:tcPr/>
          <w:p>
            <w:pPr>
              <w:pStyle w:val="Compact"/>
              <w:spacing w:line="240" w:lineRule="auto" w:before="20" w:after="20"/>
              <w:jc w:val="left"/>
            </w:pPr>
            <w:r>
              <w:rPr>
                <w:rFonts w:ascii="Times New Roman" w:hAnsi="Times New Roman" w:cs="Times New Roman" w:eastAsia="Times New Roman"/>
                <w:color w:val="000000"/>
                <w:sz w:val="16"/>
              </w:rPr>
              <w:t xml:space="preserve">0.758</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(unseen 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4.17 [3.44, 5.13]</w:t>
            </w:r>
          </w:p>
        </w:tc>
        <w:tc>
          <w:tcPr/>
          <w:p>
            <w:pPr>
              <w:pStyle w:val="Compact"/>
              <w:spacing w:line="240" w:lineRule="auto" w:before="20" w:after="20"/>
              <w:jc w:val="left"/>
            </w:pPr>
            <w:r>
              <w:rPr>
                <w:rFonts w:ascii="Times New Roman" w:hAnsi="Times New Roman" w:cs="Times New Roman" w:eastAsia="Times New Roman"/>
                <w:color w:val="000000"/>
                <w:sz w:val="16"/>
              </w:rPr>
              <w:t xml:space="preserve">5.96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0.759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3.78 [3.13, 4.60]</w:t>
            </w:r>
          </w:p>
        </w:tc>
        <w:tc>
          <w:tcPr/>
          <w:p>
            <w:pPr>
              <w:pStyle w:val="Compact"/>
              <w:spacing w:line="240" w:lineRule="auto" w:before="20" w:after="20"/>
              <w:jc w:val="left"/>
            </w:pPr>
            <w:r>
              <w:rPr>
                <w:rFonts w:ascii="Times New Roman" w:hAnsi="Times New Roman" w:cs="Times New Roman" w:eastAsia="Times New Roman"/>
                <w:color w:val="000000"/>
                <w:sz w:val="16"/>
              </w:rPr>
              <w:t xml:space="preserve">5.4</w:t>
            </w:r>
          </w:p>
        </w:tc>
        <w:tc>
          <w:tcPr/>
          <w:p>
            <w:pPr>
              <w:pStyle w:val="Compact"/>
              <w:spacing w:line="240" w:lineRule="auto" w:before="20" w:after="20"/>
              <w:jc w:val="left"/>
            </w:pPr>
            <w:r>
              <w:rPr>
                <w:rFonts w:ascii="Times New Roman" w:hAnsi="Times New Roman" w:cs="Times New Roman" w:eastAsia="Times New Roman"/>
                <w:color w:val="000000"/>
                <w:sz w:val="16"/>
              </w:rPr>
              <w:t xml:space="preserve">0.676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3.50 [2.95, 4.35]</w:t>
            </w:r>
          </w:p>
        </w:tc>
        <w:tc>
          <w:tcPr/>
          <w:p>
            <w:pPr>
              <w:pStyle w:val="Compact"/>
              <w:spacing w:line="240" w:lineRule="auto" w:before="20" w:after="20"/>
              <w:jc w:val="left"/>
            </w:pPr>
            <w:r>
              <w:rPr>
                <w:rFonts w:ascii="Times New Roman" w:hAnsi="Times New Roman" w:cs="Times New Roman" w:eastAsia="Times New Roman"/>
                <w:color w:val="000000"/>
                <w:sz w:val="16"/>
              </w:rPr>
              <w:t xml:space="preserve">5.12</w:t>
            </w:r>
          </w:p>
        </w:tc>
        <w:tc>
          <w:tcPr/>
          <w:p>
            <w:pPr>
              <w:pStyle w:val="Compact"/>
              <w:spacing w:line="240" w:lineRule="auto" w:before="20" w:after="20"/>
              <w:jc w:val="left"/>
            </w:pPr>
            <w:r>
              <w:rPr>
                <w:rFonts w:ascii="Times New Roman" w:hAnsi="Times New Roman" w:cs="Times New Roman" w:eastAsia="Times New Roman"/>
                <w:color w:val="000000"/>
                <w:sz w:val="16"/>
              </w:rPr>
              <w:t xml:space="preserve">0.627</w:t>
            </w:r>
          </w:p>
        </w:tc>
        <w:tc>
          <w:tcPr/>
          <w:p>
            <w:pPr>
              <w:pStyle w:val="Compact"/>
              <w:spacing w:line="240" w:lineRule="auto" w:before="20" w:after="20"/>
              <w:jc w:val="left"/>
            </w:pPr>
            <w:r>
              <w:rPr>
                <w:rFonts w:ascii="Times New Roman" w:hAnsi="Times New Roman" w:cs="Times New Roman" w:eastAsia="Times New Roman"/>
                <w:color w:val="000000"/>
                <w:sz w:val="16"/>
              </w:rPr>
              <w:t xml:space="preserve">0.03</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6"/>
              </w:rPr>
              <w:t xml:space="preserve">3.66 [3.03, 4.40]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5.29</w:t>
            </w:r>
          </w:p>
        </w:tc>
        <w:tc>
          <w:tcPr/>
          <w:p>
            <w:pPr>
              <w:pStyle w:val="Compact"/>
              <w:spacing w:line="240" w:lineRule="auto" w:before="20" w:after="20"/>
              <w:jc w:val="left"/>
            </w:pPr>
            <w:r>
              <w:rPr>
                <w:rFonts w:ascii="Times New Roman" w:hAnsi="Times New Roman" w:cs="Times New Roman" w:eastAsia="Times New Roman"/>
                <w:color w:val="000000"/>
                <w:sz w:val="16"/>
              </w:rPr>
              <w:t xml:space="preserve">0.654</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6"/>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-0.02</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Seasonal naive (168 h)</w:t>
            </w:r>
          </w:p>
        </w:tc>
        <w:tc>
          <w:tcPr/>
          <w:p>
            <w:pPr>
              <w:pStyle w:val="Compact"/>
              <w:spacing w:line="240" w:lineRule="auto" w:before="20" w:after="20"/>
              <w:jc w:val="left"/>
            </w:pPr>
            <w:r>
              <w:rPr>
                <w:rFonts w:ascii="Times New Roman" w:hAnsi="Times New Roman" w:cs="Times New Roman" w:eastAsia="Times New Roman"/>
                <w:color w:val="000000"/>
                <w:sz w:val="16"/>
              </w:rPr>
              <w:t xml:space="preserve">9.12 [8.17, 11.40]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12.84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1.731</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5.05 [4.17, 6.21]</w:t>
            </w:r>
          </w:p>
        </w:tc>
        <w:tc>
          <w:tcPr/>
          <w:p>
            <w:pPr>
              <w:pStyle w:val="Compact"/>
              <w:spacing w:line="240" w:lineRule="auto" w:before="20" w:after="20"/>
              <w:jc w:val="left"/>
            </w:pPr>
            <w:r>
              <w:rPr>
                <w:rFonts w:ascii="Times New Roman" w:hAnsi="Times New Roman" w:cs="Times New Roman" w:eastAsia="Times New Roman"/>
                <w:color w:val="000000"/>
                <w:sz w:val="16"/>
              </w:rPr>
              <w:t xml:space="preserve">7.12</w:t>
            </w:r>
          </w:p>
        </w:tc>
        <w:tc>
          <w:tcPr/>
          <w:p>
            <w:pPr>
              <w:pStyle w:val="Compact"/>
              <w:spacing w:line="240" w:lineRule="auto" w:before="20" w:after="20"/>
              <w:jc w:val="left"/>
            </w:pPr>
            <w:r>
              <w:rPr>
                <w:rFonts w:ascii="Times New Roman" w:hAnsi="Times New Roman" w:cs="Times New Roman" w:eastAsia="Times New Roman"/>
                <w:color w:val="000000"/>
                <w:sz w:val="16"/>
              </w:rPr>
              <w:t xml:space="preserve">0.932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0.07</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Ridge, global (unseen 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5.06 [4.17, 6.21]</w:t>
            </w:r>
          </w:p>
        </w:tc>
        <w:tc>
          <w:tcPr/>
          <w:p>
            <w:pPr>
              <w:pStyle w:val="Compact"/>
              <w:spacing w:line="240" w:lineRule="auto" w:before="20" w:after="20"/>
              <w:jc w:val="left"/>
            </w:pPr>
            <w:r>
              <w:rPr>
                <w:rFonts w:ascii="Times New Roman" w:hAnsi="Times New Roman" w:cs="Times New Roman" w:eastAsia="Times New Roman"/>
                <w:color w:val="000000"/>
                <w:sz w:val="16"/>
              </w:rPr>
              <w:t xml:space="preserve">7.13</w:t>
            </w:r>
          </w:p>
        </w:tc>
        <w:tc>
          <w:tcPr/>
          <w:p>
            <w:pPr>
              <w:pStyle w:val="Compact"/>
              <w:spacing w:line="240" w:lineRule="auto" w:before="20" w:after="20"/>
              <w:jc w:val="left"/>
            </w:pPr>
            <w:r>
              <w:rPr>
                <w:rFonts w:ascii="Times New Roman" w:hAnsi="Times New Roman" w:cs="Times New Roman" w:eastAsia="Times New Roman"/>
                <w:color w:val="000000"/>
                <w:sz w:val="16"/>
              </w:rPr>
              <w:t xml:space="preserve">0.933</w:t>
            </w:r>
          </w:p>
        </w:tc>
        <w:tc>
          <w:tcPr/>
          <w:p>
            <w:pPr>
              <w:pStyle w:val="Compact"/>
              <w:spacing w:line="240" w:lineRule="auto" w:before="20" w:after="20"/>
              <w:jc w:val="left"/>
            </w:pPr>
            <w:r>
              <w:rPr>
                <w:rFonts w:ascii="Times New Roman" w:hAnsi="Times New Roman" w:cs="Times New Roman" w:eastAsia="Times New Roman"/>
                <w:color w:val="000000"/>
                <w:sz w:val="16"/>
              </w:rPr>
              <w:t xml:space="preserve">0.08</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4.72 [3.94, 5.94]</w:t>
            </w:r>
          </w:p>
        </w:tc>
        <w:tc>
          <w:tcPr/>
          <w:p>
            <w:pPr>
              <w:pStyle w:val="Compact"/>
              <w:spacing w:line="240" w:lineRule="auto" w:before="20" w:after="20"/>
              <w:jc w:val="left"/>
            </w:pPr>
            <w:r>
              <w:rPr>
                <w:rFonts w:ascii="Times New Roman" w:hAnsi="Times New Roman" w:cs="Times New Roman" w:eastAsia="Times New Roman"/>
                <w:color w:val="000000"/>
                <w:sz w:val="16"/>
              </w:rPr>
              <w:t xml:space="preserve">6.85</w:t>
            </w:r>
          </w:p>
        </w:tc>
        <w:tc>
          <w:tcPr/>
          <w:p>
            <w:pPr>
              <w:pStyle w:val="Compact"/>
              <w:spacing w:line="240" w:lineRule="auto" w:before="20" w:after="20"/>
              <w:jc w:val="left"/>
            </w:pPr>
            <w:r>
              <w:rPr>
                <w:rFonts w:ascii="Times New Roman" w:hAnsi="Times New Roman" w:cs="Times New Roman" w:eastAsia="Times New Roman"/>
                <w:color w:val="000000"/>
                <w:sz w:val="16"/>
              </w:rPr>
              <w:t xml:space="preserve">0.893</w:t>
            </w:r>
          </w:p>
        </w:tc>
        <w:tc>
          <w:tcPr/>
          <w:p>
            <w:pPr>
              <w:pStyle w:val="Compact"/>
              <w:spacing w:line="240" w:lineRule="auto" w:before="20" w:after="20"/>
              <w:jc w:val="left"/>
            </w:pPr>
            <w:r>
              <w:rPr>
                <w:rFonts w:ascii="Times New Roman" w:hAnsi="Times New Roman" w:cs="Times New Roman" w:eastAsia="Times New Roman"/>
                <w:color w:val="000000"/>
                <w:sz w:val="16"/>
              </w:rPr>
              <w:t xml:space="preserve">-0.19</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4.64 [3.88, 5.87]</w:t>
            </w:r>
          </w:p>
        </w:tc>
        <w:tc>
          <w:tcPr/>
          <w:p>
            <w:pPr>
              <w:pStyle w:val="Compact"/>
              <w:spacing w:line="240" w:lineRule="auto" w:before="20" w:after="20"/>
              <w:jc w:val="left"/>
            </w:pPr>
            <w:r>
              <w:rPr>
                <w:rFonts w:ascii="Times New Roman" w:hAnsi="Times New Roman" w:cs="Times New Roman" w:eastAsia="Times New Roman"/>
                <w:color w:val="000000"/>
                <w:sz w:val="16"/>
              </w:rPr>
              <w:t xml:space="preserve">6.92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0.884</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6"/>
              </w:rPr>
              <w:t xml:space="preserve">4.75 [3.91, 5.91]</w:t>
            </w:r>
          </w:p>
        </w:tc>
        <w:tc>
          <w:tcPr/>
          <w:p>
            <w:pPr>
              <w:pStyle w:val="Compact"/>
              <w:spacing w:line="240" w:lineRule="auto" w:before="20" w:after="20"/>
              <w:jc w:val="left"/>
            </w:pPr>
            <w:r>
              <w:rPr>
                <w:rFonts w:ascii="Times New Roman" w:hAnsi="Times New Roman" w:cs="Times New Roman" w:eastAsia="Times New Roman"/>
                <w:color w:val="000000"/>
                <w:sz w:val="16"/>
              </w:rPr>
              <w:t xml:space="preserve">6.93</w:t>
            </w:r>
          </w:p>
        </w:tc>
        <w:tc>
          <w:tcPr/>
          <w:p>
            <w:pPr>
              <w:pStyle w:val="Compact"/>
              <w:spacing w:line="240" w:lineRule="auto" w:before="20" w:after="20"/>
              <w:jc w:val="left"/>
            </w:pPr>
            <w:r>
              <w:rPr>
                <w:rFonts w:ascii="Times New Roman" w:hAnsi="Times New Roman" w:cs="Times New Roman" w:eastAsia="Times New Roman"/>
                <w:color w:val="000000"/>
                <w:sz w:val="16"/>
              </w:rPr>
              <w:t xml:space="preserve">0.888</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48</w:t>
            </w:r>
          </w:p>
        </w:tc>
      </w:tr>
    </w:tbl>
    <w:p>
      <w:pPr>
        <w:pStyle w:val="BodyText"/>
        <w:keepNext/>
        <w:spacing w:line="240" w:lineRule="auto"/>
        <w:jc w:val="center"/>
      </w:pPr>
      <w:r>
        <w:drawing>
          <wp:inline>
            <wp:extent cx="5334000" cy="2126661"/>
            <wp:effectExtent b="0" l="0" r="0" t="0"/>
            <wp:docPr descr="" title="" id="48" name="Picture"/>
            <a:graphic>
              <a:graphicData uri="http://schemas.openxmlformats.org/drawingml/2006/picture">
                <pic:pic>
                  <pic:nvPicPr>
                    <pic:cNvPr descr="/home/user/cross-regional-electricity-forecasting/cross_regional_electricity_forecasting/figures/fig05_accuracy.png" id="49" name="Picture"/>
                    <pic:cNvPicPr>
                      <a:picLocks noChangeArrowheads="1" noChangeAspect="1"/>
                    </pic:cNvPicPr>
                  </pic:nvPicPr>
                  <pic:blipFill>
                    <a:blip r:embed="rId47"/>
                    <a:stretch>
                      <a:fillRect/>
                    </a:stretch>
                  </pic:blipFill>
                  <pic:spPr bwMode="auto">
                    <a:xfrm>
                      <a:off x="0" y="0"/>
                      <a:ext cx="5334000" cy="2126661"/>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5.</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Distribution of per-BA test nMAE (2024–2025) by method and horizon.</w:t>
      </w:r>
    </w:p>
    <w:p>
      <w:pPr>
        <w:pStyle w:val="BodyText"/>
        <w:spacing w:line="360" w:lineRule="auto" w:after="120"/>
        <w:jc w:val="both"/>
      </w:pPr>
      <w:r>
        <w:rPr>
          <w:bCs/>
          <w:rFonts w:ascii="Times New Roman" w:hAnsi="Times New Roman" w:cs="Times New Roman" w:eastAsia="Times New Roman"/>
          <w:b/>
          <w:color w:val="000000"/>
          <w:sz w:val="24"/>
        </w:rPr>
        <w:t xml:space="preserve">Size of the gap.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cost of never having seen a BA is small but systematic (Table 2).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median per-BA relative increase in nMAE from G-IN to G-LRO is 0.5% (95% bootstrap CI 0.4 to 0.7%). The held-out model is better in only 6.2% of BAs. The gap grows as the horizon shrinks: 1.9% at 6 h and 3.4% at 1 h (CI 2.5 to 4.6%). The moving-block bootstrap shows that the in-region model is significantly better within 97.9% of BAs at 1 h but only 52.1% at 24 h.</w:t>
      </w:r>
    </w:p>
    <w:p>
      <w:pPr>
        <w:pStyle w:val="BodyText"/>
        <w:spacing w:line="360" w:lineRule="auto" w:after="120"/>
        <w:jc w:val="both"/>
      </w:pPr>
      <w:r>
        <w:rPr>
          <w:bCs/>
          <w:rFonts w:ascii="Times New Roman" w:hAnsi="Times New Roman" w:cs="Times New Roman" w:eastAsia="Times New Roman"/>
          <w:b/>
          <w:color w:val="000000"/>
          <w:sz w:val="24"/>
        </w:rPr>
        <w:t xml:space="preserve">Distribution across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median hides a tail (Fig. 6).</w:t>
      </w:r>
    </w:p>
    <w:p>
      <w:pPr>
        <w:numPr>
          <w:ilvl w:val="0"/>
          <w:numId w:val="1016"/>
        </w:numPr>
        <w:pStyle w:val="Compact"/>
        <w:spacing w:line="360" w:lineRule="auto" w:after="120"/>
        <w:jc w:val="both"/>
      </w:pP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gap exceeds 5% in 31.2% of BAs. The 90th percentile is 8.3% and the maximum 44.6% (GCPD). MISO, the second-largest BA, also shows a gap of 18.5% at this horizon.</w:t>
      </w:r>
    </w:p>
    <w:p>
      <w:pPr>
        <w:numPr>
          <w:ilvl w:val="0"/>
          <w:numId w:val="1016"/>
        </w:numPr>
        <w:pStyle w:val="Compact"/>
        <w:spacing w:line="360" w:lineRule="auto" w:after="120"/>
        <w:jc w:val="both"/>
      </w:pP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6</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maximum is 29.3% (GCPD).</w:t>
      </w:r>
    </w:p>
    <w:p>
      <w:pPr>
        <w:numPr>
          <w:ilvl w:val="0"/>
          <w:numId w:val="1016"/>
        </w:numPr>
        <w:pStyle w:val="Compact"/>
        <w:spacing w:line="360" w:lineRule="auto" w:after="120"/>
        <w:jc w:val="both"/>
      </w:pP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90th percentile is 1.8% and the maximum 6.6% (GCPD).</w:t>
      </w:r>
    </w:p>
    <w:p>
      <w:pPr>
        <w:pStyle w:val="FirstParagraph"/>
        <w:spacing w:line="360" w:lineRule="auto" w:after="120"/>
        <w:jc w:val="both"/>
      </w:pPr>
      <w:r>
        <w:rPr>
          <w:rFonts w:ascii="Times New Roman" w:hAnsi="Times New Roman" w:cs="Times New Roman" w:eastAsia="Times New Roman"/>
          <w:color w:val="000000"/>
          <w:sz w:val="24"/>
        </w:rPr>
        <w:t xml:space="preserve">The gap is weakly related to BA size (correlation with log mean demand -0.25 at 24 h). Per-BA errors of the zero-shot model range from 2.47% (GCPD) to 8.55% (AECI) at 24 h, a spread much larger than the median gap.</w:t>
      </w:r>
    </w:p>
    <w:p>
      <w:pPr>
        <w:pStyle w:val="BodyText"/>
        <w:spacing w:line="360" w:lineRule="auto" w:after="120"/>
        <w:jc w:val="both"/>
      </w:pPr>
      <w:r>
        <w:rPr>
          <w:bCs/>
          <w:rFonts w:ascii="Times New Roman" w:hAnsi="Times New Roman" w:cs="Times New Roman" w:eastAsia="Times New Roman"/>
          <w:b/>
          <w:color w:val="000000"/>
          <w:sz w:val="24"/>
        </w:rPr>
        <w:t xml:space="preserve">Robustness to spatial correlation.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Resampling the nine spatial blocks of Section 11.3 instead of individual BAs gives 95% intervals for the median gap of 0.3 to 0.8% at 24 h and 2.5 to 4.6% at 1 h.</w:t>
      </w:r>
    </w:p>
    <w:p>
      <w:pPr>
        <w:pStyle w:val="BodyText"/>
        <w:spacing w:line="360" w:lineRule="auto" w:after="120"/>
        <w:jc w:val="both"/>
      </w:pPr>
      <w:r>
        <w:rPr>
          <w:bCs/>
          <w:rFonts w:ascii="Times New Roman" w:hAnsi="Times New Roman" w:cs="Times New Roman" w:eastAsia="Times New Roman"/>
          <w:b/>
          <w:color w:val="000000"/>
          <w:sz w:val="24"/>
        </w:rPr>
        <w:t xml:space="preserve">Global versus local.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Pooling helps more than locality does. The median per-BA relative change in nMAE from local models to G-IN is -1.4% at 24 h (CI -2.2 to -0.8%) and -9.2% at 1 h (negative values favour the global model).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zero-shot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G-LRO model, which has never seen the target BA, compares with local models trained on four years of that BA’s data as follows.</w:t>
      </w:r>
    </w:p>
    <w:p>
      <w:pPr>
        <w:numPr>
          <w:ilvl w:val="0"/>
          <w:numId w:val="1017"/>
        </w:numPr>
        <w:pStyle w:val="Compact"/>
        <w:spacing w:line="360" w:lineRule="auto" w:after="120"/>
        <w:jc w:val="both"/>
      </w:pPr>
      <w:r>
        <w:rPr>
          <w:bCs/>
          <w:rFonts w:ascii="Times New Roman" w:hAnsi="Times New Roman" w:cs="Times New Roman" w:eastAsia="Times New Roman"/>
          <w:b/>
          <w:color w:val="000000"/>
          <w:sz w:val="24"/>
        </w:rPr>
        <w:t xml:space="preserve">At</w:t>
      </w:r>
      <w:r>
        <w:rPr>
          <w:bCs/>
          <w:rFonts w:ascii="Times New Roman" w:hAnsi="Times New Roman" w:cs="Times New Roman" w:eastAsia="Times New Roman"/>
          <w:b/>
          <w:color w:val="000000"/>
          <w:sz w:val="24"/>
        </w:rPr>
        <w:t xml:space="preserve"> </w:t>
      </w:r>
      <m:oMath>
        <m:r>
          <m:t>h</m:t>
        </m:r>
        <m:r>
          <m:rPr>
            <m:sty m:val="p"/>
          </m:rPr>
          <m:t>=</m:t>
        </m:r>
        <m:r>
          <m:t>1</m:t>
        </m:r>
      </m:oMath>
      <w:r>
        <w:rPr>
          <w:bCs/>
          <w:rFonts w:ascii="Times New Roman" w:hAnsi="Times New Roman" w:cs="Times New Roman" w:eastAsia="Times New Roman"/>
          <w:b/>
          <w:color w:val="000000"/>
          <w:sz w:val="24"/>
        </w:rPr>
        <w:t xml:space="preserve"> </w:t>
      </w:r>
      <w:r>
        <w:rPr>
          <w:bCs/>
          <w:rFonts w:ascii="Times New Roman" w:hAnsi="Times New Roman" w:cs="Times New Roman" w:eastAsia="Times New Roman"/>
          <w:b/>
          <w:color w:val="000000"/>
          <w:sz w:val="24"/>
        </w:rPr>
        <w:t xml:space="preserve">h and</w:t>
      </w:r>
      <w:r>
        <w:rPr>
          <w:bCs/>
          <w:rFonts w:ascii="Times New Roman" w:hAnsi="Times New Roman" w:cs="Times New Roman" w:eastAsia="Times New Roman"/>
          <w:b/>
          <w:color w:val="000000"/>
          <w:sz w:val="24"/>
        </w:rPr>
        <w:t xml:space="preserve"> </w:t>
      </w:r>
      <m:oMath>
        <m:r>
          <m:t>h</m:t>
        </m:r>
        <m:r>
          <m:rPr>
            <m:sty m:val="p"/>
          </m:rPr>
          <m:t>=</m:t>
        </m:r>
        <m:r>
          <m:t>6</m:t>
        </m:r>
      </m:oMath>
      <w:r>
        <w:rPr>
          <w:bCs/>
          <w:rFonts w:ascii="Times New Roman" w:hAnsi="Times New Roman" w:cs="Times New Roman" w:eastAsia="Times New Roman"/>
          <w:b/>
          <w:color w:val="000000"/>
          <w:sz w:val="24"/>
        </w:rPr>
        <w:t xml:space="preserve"> </w:t>
      </w:r>
      <w:r>
        <w:rPr>
          <w:bCs/>
          <w:rFonts w:ascii="Times New Roman" w:hAnsi="Times New Roman" w:cs="Times New Roman" w:eastAsia="Times New Roman"/>
          <w:b/>
          <w:color w:val="000000"/>
          <w:sz w:val="24"/>
        </w:rPr>
        <w:t xml:space="preserve">h it is more accurate: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median relative change -5.4% (CI -8.1 to -3.7%) and -3.1%.</w:t>
      </w:r>
    </w:p>
    <w:p>
      <w:pPr>
        <w:numPr>
          <w:ilvl w:val="0"/>
          <w:numId w:val="1017"/>
        </w:numPr>
        <w:pStyle w:val="Compact"/>
        <w:spacing w:line="360" w:lineRule="auto" w:after="120"/>
        <w:jc w:val="both"/>
      </w:pPr>
      <w:r>
        <w:rPr>
          <w:bCs/>
          <w:rFonts w:ascii="Times New Roman" w:hAnsi="Times New Roman" w:cs="Times New Roman" w:eastAsia="Times New Roman"/>
          <w:b/>
          <w:color w:val="000000"/>
          <w:sz w:val="24"/>
        </w:rPr>
        <w:t xml:space="preserve">At</w:t>
      </w:r>
      <w:r>
        <w:rPr>
          <w:bCs/>
          <w:rFonts w:ascii="Times New Roman" w:hAnsi="Times New Roman" w:cs="Times New Roman" w:eastAsia="Times New Roman"/>
          <w:b/>
          <w:color w:val="000000"/>
          <w:sz w:val="24"/>
        </w:rPr>
        <w:t xml:space="preserve"> </w:t>
      </w:r>
      <m:oMath>
        <m:r>
          <m:t>h</m:t>
        </m:r>
        <m:r>
          <m:rPr>
            <m:sty m:val="p"/>
          </m:rPr>
          <m:t>=</m:t>
        </m:r>
        <m:r>
          <m:t>24</m:t>
        </m:r>
      </m:oMath>
      <w:r>
        <w:rPr>
          <w:bCs/>
          <w:rFonts w:ascii="Times New Roman" w:hAnsi="Times New Roman" w:cs="Times New Roman" w:eastAsia="Times New Roman"/>
          <w:b/>
          <w:color w:val="000000"/>
          <w:sz w:val="24"/>
        </w:rPr>
        <w:t xml:space="preserve"> </w:t>
      </w:r>
      <w:r>
        <w:rPr>
          <w:bCs/>
          <w:rFonts w:ascii="Times New Roman" w:hAnsi="Times New Roman" w:cs="Times New Roman" w:eastAsia="Times New Roman"/>
          <w:b/>
          <w:color w:val="000000"/>
          <w:sz w:val="24"/>
        </w:rPr>
        <w:t xml:space="preserve">h the difference is small and not significant: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-0.8% (CI -1.6 to 0.2%; Holm-adjusted</w:t>
      </w:r>
      <w:r>
        <w:rPr>
          <w:rFonts w:ascii="Times New Roman" w:hAnsi="Times New Roman" w:cs="Times New Roman" w:eastAsia="Times New Roman"/>
          <w:color w:val="000000"/>
          <w:sz w:val="24"/>
        </w:rPr>
        <w:t xml:space="preserve"> </w:t>
      </w:r>
      <m:oMath>
        <m:r>
          <m:t>p</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 0.21). With a 1% non-inferiority margin, chosen post hoc, the 90% cluster-bootstrap interval (-2.1 to 0.3%) supports non-inferiority but not equivalence.</w:t>
      </w:r>
    </w:p>
    <w:p>
      <w:pPr>
        <w:numPr>
          <w:ilvl w:val="0"/>
          <w:numId w:val="1017"/>
        </w:numPr>
        <w:pStyle w:val="Compact"/>
        <w:spacing w:line="360" w:lineRule="auto" w:after="120"/>
        <w:jc w:val="both"/>
      </w:pPr>
      <w:r>
        <w:rPr>
          <w:bCs/>
          <w:rFonts w:ascii="Times New Roman" w:hAnsi="Times New Roman" w:cs="Times New Roman" w:eastAsia="Times New Roman"/>
          <w:b/>
          <w:color w:val="000000"/>
          <w:sz w:val="24"/>
        </w:rPr>
        <w:t xml:space="preserve">By year at 24 h,</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paired difference is 0.0% in 2024 and -1.4% in 2025. In 2024 the local models have a marginally lower</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median level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across BAs (Table 5), so the zero-shot model matches rather than beats local models at the day-ahead horizon.</w:t>
      </w:r>
    </w:p>
    <w:p>
      <w:pPr>
        <w:pStyle w:val="FirstParagraph"/>
        <w:spacing w:line="360" w:lineRule="auto" w:after="120"/>
        <w:jc w:val="both"/>
      </w:pPr>
      <w:r>
        <w:rPr>
          <w:bCs/>
          <w:rFonts w:ascii="Times New Roman" w:hAnsi="Times New Roman" w:cs="Times New Roman" w:eastAsia="Times New Roman"/>
          <w:b/>
          <w:color w:val="000000"/>
          <w:sz w:val="24"/>
        </w:rPr>
        <w:t xml:space="preserve">Linear benchmark.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Relative to ridge regression on the same features, G-IN changes nMAE by a median -5.5% at 24 h and -19.3% at 1 h. Ridge regression’s own geographic gap is negligible (0.1% at 24 h), consistent with a low-capacity model that cannot memorise BA-specific patterns.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Key paired comparisons of per-BA nMAE (test period; negative = A more accurate).</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432"/>
        <w:gridCol w:w="1344"/>
        <w:gridCol w:w="1152"/>
        <w:gridCol w:w="768"/>
        <w:gridCol w:w="960"/>
        <w:gridCol w:w="2784"/>
        <w:gridCol w:w="480"/>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A vs B</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rel. change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95% CI</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A better (BAs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A sig. better / B sig. better (block bootstrap, BAs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Holm p</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G-IN</w:t>
            </w:r>
          </w:p>
        </w:tc>
        <w:tc>
          <w:tcPr/>
          <w:p>
            <w:pPr>
              <w:pStyle w:val="Compact"/>
              <w:spacing w:line="240" w:lineRule="auto" w:before="20" w:after="20"/>
              <w:jc w:val="left"/>
            </w:pPr>
            <w:r>
              <w:rPr>
                <w:rFonts w:ascii="Times New Roman" w:hAnsi="Times New Roman" w:cs="Times New Roman" w:eastAsia="Times New Roman"/>
                <w:color w:val="000000"/>
                <w:sz w:val="16"/>
              </w:rPr>
              <w:t xml:space="preserve">3.4</w:t>
            </w:r>
          </w:p>
        </w:tc>
        <w:tc>
          <w:tcPr/>
          <w:p>
            <w:pPr>
              <w:pStyle w:val="Compact"/>
              <w:spacing w:line="240" w:lineRule="auto" w:before="20" w:after="20"/>
              <w:jc w:val="left"/>
            </w:pPr>
            <w:r>
              <w:rPr>
                <w:rFonts w:ascii="Times New Roman" w:hAnsi="Times New Roman" w:cs="Times New Roman" w:eastAsia="Times New Roman"/>
                <w:color w:val="000000"/>
                <w:sz w:val="16"/>
              </w:rPr>
              <w:t xml:space="preserve">[2.5, 4.6]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0 / 98</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G-IN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-9.2</w:t>
            </w:r>
          </w:p>
        </w:tc>
        <w:tc>
          <w:tcPr/>
          <w:p>
            <w:pPr>
              <w:pStyle w:val="Compact"/>
              <w:spacing w:line="240" w:lineRule="auto" w:before="20" w:after="20"/>
              <w:jc w:val="left"/>
            </w:pPr>
            <w:r>
              <w:rPr>
                <w:rFonts w:ascii="Times New Roman" w:hAnsi="Times New Roman" w:cs="Times New Roman" w:eastAsia="Times New Roman"/>
                <w:color w:val="000000"/>
                <w:sz w:val="16"/>
              </w:rPr>
              <w:t xml:space="preserve">[-11.7, -7.3]</w:t>
            </w:r>
          </w:p>
        </w:tc>
        <w:tc>
          <w:tcPr/>
          <w:p>
            <w:pPr>
              <w:pStyle w:val="Compact"/>
              <w:spacing w:line="240" w:lineRule="auto" w:before="20" w:after="20"/>
              <w:jc w:val="left"/>
            </w:pPr>
            <w:r>
              <w:rPr>
                <w:rFonts w:ascii="Times New Roman" w:hAnsi="Times New Roman" w:cs="Times New Roman" w:eastAsia="Times New Roman"/>
                <w:color w:val="000000"/>
                <w:sz w:val="16"/>
              </w:rPr>
              <w:t xml:space="preserve">92</w:t>
            </w:r>
          </w:p>
        </w:tc>
        <w:tc>
          <w:tcPr/>
          <w:p>
            <w:pPr>
              <w:pStyle w:val="Compact"/>
              <w:spacing w:line="240" w:lineRule="auto" w:before="20" w:after="20"/>
              <w:jc w:val="left"/>
            </w:pPr>
            <w:r>
              <w:rPr>
                <w:rFonts w:ascii="Times New Roman" w:hAnsi="Times New Roman" w:cs="Times New Roman" w:eastAsia="Times New Roman"/>
                <w:color w:val="000000"/>
                <w:sz w:val="16"/>
              </w:rPr>
              <w:t xml:space="preserve">83 / 4</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-5.4</w:t>
            </w:r>
          </w:p>
        </w:tc>
        <w:tc>
          <w:tcPr/>
          <w:p>
            <w:pPr>
              <w:pStyle w:val="Compact"/>
              <w:spacing w:line="240" w:lineRule="auto" w:before="20" w:after="20"/>
              <w:jc w:val="left"/>
            </w:pPr>
            <w:r>
              <w:rPr>
                <w:rFonts w:ascii="Times New Roman" w:hAnsi="Times New Roman" w:cs="Times New Roman" w:eastAsia="Times New Roman"/>
                <w:color w:val="000000"/>
                <w:sz w:val="16"/>
              </w:rPr>
              <w:t xml:space="preserve">[-8.1, -3.7]</w:t>
            </w:r>
          </w:p>
        </w:tc>
        <w:tc>
          <w:tcPr/>
          <w:p>
            <w:pPr>
              <w:pStyle w:val="Compact"/>
              <w:spacing w:line="240" w:lineRule="auto" w:before="20" w:after="20"/>
              <w:jc w:val="left"/>
            </w:pPr>
            <w:r>
              <w:rPr>
                <w:rFonts w:ascii="Times New Roman" w:hAnsi="Times New Roman" w:cs="Times New Roman" w:eastAsia="Times New Roman"/>
                <w:color w:val="000000"/>
                <w:sz w:val="16"/>
              </w:rPr>
              <w:t xml:space="preserve">77</w:t>
            </w:r>
          </w:p>
        </w:tc>
        <w:tc>
          <w:tcPr/>
          <w:p>
            <w:pPr>
              <w:pStyle w:val="Compact"/>
              <w:spacing w:line="240" w:lineRule="auto" w:before="20" w:after="20"/>
              <w:jc w:val="left"/>
            </w:pPr>
            <w:r>
              <w:rPr>
                <w:rFonts w:ascii="Times New Roman" w:hAnsi="Times New Roman" w:cs="Times New Roman" w:eastAsia="Times New Roman"/>
                <w:color w:val="000000"/>
                <w:sz w:val="16"/>
              </w:rPr>
              <w:t xml:space="preserve">75 / 12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0.0005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SN24</w:t>
            </w:r>
          </w:p>
        </w:tc>
        <w:tc>
          <w:tcPr/>
          <w:p>
            <w:pPr>
              <w:pStyle w:val="Compact"/>
              <w:spacing w:line="240" w:lineRule="auto" w:before="20" w:after="20"/>
              <w:jc w:val="left"/>
            </w:pPr>
            <w:r>
              <w:rPr>
                <w:rFonts w:ascii="Times New Roman" w:hAnsi="Times New Roman" w:cs="Times New Roman" w:eastAsia="Times New Roman"/>
                <w:color w:val="000000"/>
                <w:sz w:val="16"/>
              </w:rPr>
              <w:t xml:space="preserve">-79.6</w:t>
            </w:r>
          </w:p>
        </w:tc>
        <w:tc>
          <w:tcPr/>
          <w:p>
            <w:pPr>
              <w:pStyle w:val="Compact"/>
              <w:spacing w:line="240" w:lineRule="auto" w:before="20" w:after="20"/>
              <w:jc w:val="left"/>
            </w:pPr>
            <w:r>
              <w:rPr>
                <w:rFonts w:ascii="Times New Roman" w:hAnsi="Times New Roman" w:cs="Times New Roman" w:eastAsia="Times New Roman"/>
                <w:color w:val="000000"/>
                <w:sz w:val="16"/>
              </w:rPr>
              <w:t xml:space="preserve">[-81.7, -77.5]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 / 0</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G-IN</w:t>
            </w:r>
          </w:p>
        </w:tc>
        <w:tc>
          <w:tcPr/>
          <w:p>
            <w:pPr>
              <w:pStyle w:val="Compact"/>
              <w:spacing w:line="240" w:lineRule="auto" w:before="20" w:after="20"/>
              <w:jc w:val="left"/>
            </w:pPr>
            <w:r>
              <w:rPr>
                <w:rFonts w:ascii="Times New Roman" w:hAnsi="Times New Roman" w:cs="Times New Roman" w:eastAsia="Times New Roman"/>
                <w:color w:val="000000"/>
                <w:sz w:val="16"/>
              </w:rPr>
              <w:t xml:space="preserve">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[1.6, 2.3]</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0 / 90</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G-IN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-5.7</w:t>
            </w:r>
          </w:p>
        </w:tc>
        <w:tc>
          <w:tcPr/>
          <w:p>
            <w:pPr>
              <w:pStyle w:val="Compact"/>
              <w:spacing w:line="240" w:lineRule="auto" w:before="20" w:after="20"/>
              <w:jc w:val="left"/>
            </w:pPr>
            <w:r>
              <w:rPr>
                <w:rFonts w:ascii="Times New Roman" w:hAnsi="Times New Roman" w:cs="Times New Roman" w:eastAsia="Times New Roman"/>
                <w:color w:val="000000"/>
                <w:sz w:val="16"/>
              </w:rPr>
              <w:t xml:space="preserve">[-7.1, -4.0]</w:t>
            </w:r>
          </w:p>
        </w:tc>
        <w:tc>
          <w:tcPr/>
          <w:p>
            <w:pPr>
              <w:pStyle w:val="Compact"/>
              <w:spacing w:line="240" w:lineRule="auto" w:before="20" w:after="20"/>
              <w:jc w:val="left"/>
            </w:pPr>
            <w:r>
              <w:rPr>
                <w:rFonts w:ascii="Times New Roman" w:hAnsi="Times New Roman" w:cs="Times New Roman" w:eastAsia="Times New Roman"/>
                <w:color w:val="000000"/>
                <w:sz w:val="16"/>
              </w:rPr>
              <w:t xml:space="preserve">88</w:t>
            </w:r>
          </w:p>
        </w:tc>
        <w:tc>
          <w:tcPr/>
          <w:p>
            <w:pPr>
              <w:pStyle w:val="Compact"/>
              <w:spacing w:line="240" w:lineRule="auto" w:before="20" w:after="20"/>
              <w:jc w:val="left"/>
            </w:pPr>
            <w:r>
              <w:rPr>
                <w:rFonts w:ascii="Times New Roman" w:hAnsi="Times New Roman" w:cs="Times New Roman" w:eastAsia="Times New Roman"/>
                <w:color w:val="000000"/>
                <w:sz w:val="16"/>
              </w:rPr>
              <w:t xml:space="preserve">79 / 4</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-3.1</w:t>
            </w:r>
          </w:p>
        </w:tc>
        <w:tc>
          <w:tcPr/>
          <w:p>
            <w:pPr>
              <w:pStyle w:val="Compact"/>
              <w:spacing w:line="240" w:lineRule="auto" w:before="20" w:after="20"/>
              <w:jc w:val="left"/>
            </w:pPr>
            <w:r>
              <w:rPr>
                <w:rFonts w:ascii="Times New Roman" w:hAnsi="Times New Roman" w:cs="Times New Roman" w:eastAsia="Times New Roman"/>
                <w:color w:val="000000"/>
                <w:sz w:val="16"/>
              </w:rPr>
              <w:t xml:space="preserve">[-5.6, -1.8]</w:t>
            </w:r>
          </w:p>
        </w:tc>
        <w:tc>
          <w:tcPr/>
          <w:p>
            <w:pPr>
              <w:pStyle w:val="Compact"/>
              <w:spacing w:line="240" w:lineRule="auto" w:before="20" w:after="20"/>
              <w:jc w:val="left"/>
            </w:pPr>
            <w:r>
              <w:rPr>
                <w:rFonts w:ascii="Times New Roman" w:hAnsi="Times New Roman" w:cs="Times New Roman" w:eastAsia="Times New Roman"/>
                <w:color w:val="000000"/>
                <w:sz w:val="16"/>
              </w:rPr>
              <w:t xml:space="preserve">71</w:t>
            </w:r>
          </w:p>
        </w:tc>
        <w:tc>
          <w:tcPr/>
          <w:p>
            <w:pPr>
              <w:pStyle w:val="Compact"/>
              <w:spacing w:line="240" w:lineRule="auto" w:before="20" w:after="20"/>
              <w:jc w:val="left"/>
            </w:pPr>
            <w:r>
              <w:rPr>
                <w:rFonts w:ascii="Times New Roman" w:hAnsi="Times New Roman" w:cs="Times New Roman" w:eastAsia="Times New Roman"/>
                <w:color w:val="000000"/>
                <w:sz w:val="16"/>
              </w:rPr>
              <w:t xml:space="preserve">54 / 15</w:t>
            </w:r>
          </w:p>
        </w:tc>
        <w:tc>
          <w:tcPr/>
          <w:p>
            <w:pPr>
              <w:pStyle w:val="Compact"/>
              <w:spacing w:line="240" w:lineRule="auto" w:before="20" w:after="20"/>
              <w:jc w:val="left"/>
            </w:pPr>
            <w:r>
              <w:rPr>
                <w:rFonts w:ascii="Times New Roman" w:hAnsi="Times New Roman" w:cs="Times New Roman" w:eastAsia="Times New Roman"/>
                <w:color w:val="000000"/>
                <w:sz w:val="16"/>
              </w:rPr>
              <w:t xml:space="preserve">0.007</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SN24</w:t>
            </w:r>
          </w:p>
        </w:tc>
        <w:tc>
          <w:tcPr/>
          <w:p>
            <w:pPr>
              <w:pStyle w:val="Compact"/>
              <w:spacing w:line="240" w:lineRule="auto" w:before="20" w:after="20"/>
              <w:jc w:val="left"/>
            </w:pPr>
            <w:r>
              <w:rPr>
                <w:rFonts w:ascii="Times New Roman" w:hAnsi="Times New Roman" w:cs="Times New Roman" w:eastAsia="Times New Roman"/>
                <w:color w:val="000000"/>
                <w:sz w:val="16"/>
              </w:rPr>
              <w:t xml:space="preserve">-35.3</w:t>
            </w:r>
          </w:p>
        </w:tc>
        <w:tc>
          <w:tcPr/>
          <w:p>
            <w:pPr>
              <w:pStyle w:val="Compact"/>
              <w:spacing w:line="240" w:lineRule="auto" w:before="20" w:after="20"/>
              <w:jc w:val="left"/>
            </w:pPr>
            <w:r>
              <w:rPr>
                <w:rFonts w:ascii="Times New Roman" w:hAnsi="Times New Roman" w:cs="Times New Roman" w:eastAsia="Times New Roman"/>
                <w:color w:val="000000"/>
                <w:sz w:val="16"/>
              </w:rPr>
              <w:t xml:space="preserve">[-37.2, -32.6]</w:t>
            </w:r>
          </w:p>
        </w:tc>
        <w:tc>
          <w:tcPr/>
          <w:p>
            <w:pPr>
              <w:pStyle w:val="Compact"/>
              <w:spacing w:line="240" w:lineRule="auto" w:before="20" w:after="20"/>
              <w:jc w:val="left"/>
            </w:pPr>
            <w:r>
              <w:rPr>
                <w:rFonts w:ascii="Times New Roman" w:hAnsi="Times New Roman" w:cs="Times New Roman" w:eastAsia="Times New Roman"/>
                <w:color w:val="000000"/>
                <w:sz w:val="16"/>
              </w:rPr>
              <w:t xml:space="preserve">98</w:t>
            </w:r>
          </w:p>
        </w:tc>
        <w:tc>
          <w:tcPr/>
          <w:p>
            <w:pPr>
              <w:pStyle w:val="Compact"/>
              <w:spacing w:line="240" w:lineRule="auto" w:before="20" w:after="20"/>
              <w:jc w:val="left"/>
            </w:pPr>
            <w:r>
              <w:rPr>
                <w:rFonts w:ascii="Times New Roman" w:hAnsi="Times New Roman" w:cs="Times New Roman" w:eastAsia="Times New Roman"/>
                <w:color w:val="000000"/>
                <w:sz w:val="16"/>
              </w:rPr>
              <w:t xml:space="preserve">98 / 2</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G-IN</w:t>
            </w:r>
          </w:p>
        </w:tc>
        <w:tc>
          <w:tcPr/>
          <w:p>
            <w:pPr>
              <w:pStyle w:val="Compact"/>
              <w:spacing w:line="240" w:lineRule="auto" w:before="20" w:after="20"/>
              <w:jc w:val="left"/>
            </w:pPr>
            <w:r>
              <w:rPr>
                <w:rFonts w:ascii="Times New Roman" w:hAnsi="Times New Roman" w:cs="Times New Roman" w:eastAsia="Times New Roman"/>
                <w:color w:val="000000"/>
                <w:sz w:val="16"/>
              </w:rPr>
              <w:t xml:space="preserve">0.5</w:t>
            </w:r>
          </w:p>
        </w:tc>
        <w:tc>
          <w:tcPr/>
          <w:p>
            <w:pPr>
              <w:pStyle w:val="Compact"/>
              <w:spacing w:line="240" w:lineRule="auto" w:before="20" w:after="20"/>
              <w:jc w:val="left"/>
            </w:pPr>
            <w:r>
              <w:rPr>
                <w:rFonts w:ascii="Times New Roman" w:hAnsi="Times New Roman" w:cs="Times New Roman" w:eastAsia="Times New Roman"/>
                <w:color w:val="000000"/>
                <w:sz w:val="16"/>
              </w:rPr>
              <w:t xml:space="preserve">[0.4, 0.7]</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0 / 52</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G-IN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-1.4</w:t>
            </w:r>
          </w:p>
        </w:tc>
        <w:tc>
          <w:tcPr/>
          <w:p>
            <w:pPr>
              <w:pStyle w:val="Compact"/>
              <w:spacing w:line="240" w:lineRule="auto" w:before="20" w:after="20"/>
              <w:jc w:val="left"/>
            </w:pPr>
            <w:r>
              <w:rPr>
                <w:rFonts w:ascii="Times New Roman" w:hAnsi="Times New Roman" w:cs="Times New Roman" w:eastAsia="Times New Roman"/>
                <w:color w:val="000000"/>
                <w:sz w:val="16"/>
              </w:rPr>
              <w:t xml:space="preserve">[-2.2, -0.8]</w:t>
            </w:r>
          </w:p>
        </w:tc>
        <w:tc>
          <w:tcPr/>
          <w:p>
            <w:pPr>
              <w:pStyle w:val="Compact"/>
              <w:spacing w:line="240" w:lineRule="auto" w:before="20" w:after="20"/>
              <w:jc w:val="left"/>
            </w:pPr>
            <w:r>
              <w:rPr>
                <w:rFonts w:ascii="Times New Roman" w:hAnsi="Times New Roman" w:cs="Times New Roman" w:eastAsia="Times New Roman"/>
                <w:color w:val="000000"/>
                <w:sz w:val="16"/>
              </w:rPr>
              <w:t xml:space="preserve">71</w:t>
            </w:r>
          </w:p>
        </w:tc>
        <w:tc>
          <w:tcPr/>
          <w:p>
            <w:pPr>
              <w:pStyle w:val="Compact"/>
              <w:spacing w:line="240" w:lineRule="auto" w:before="20" w:after="20"/>
              <w:jc w:val="left"/>
            </w:pPr>
            <w:r>
              <w:rPr>
                <w:rFonts w:ascii="Times New Roman" w:hAnsi="Times New Roman" w:cs="Times New Roman" w:eastAsia="Times New Roman"/>
                <w:color w:val="000000"/>
                <w:sz w:val="16"/>
              </w:rPr>
              <w:t xml:space="preserve">35 / 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0.003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Local</w:t>
            </w:r>
          </w:p>
        </w:tc>
        <w:tc>
          <w:tcPr/>
          <w:p>
            <w:pPr>
              <w:pStyle w:val="Compact"/>
              <w:spacing w:line="240" w:lineRule="auto" w:before="20" w:after="20"/>
              <w:jc w:val="left"/>
            </w:pPr>
            <w:r>
              <w:rPr>
                <w:rFonts w:ascii="Times New Roman" w:hAnsi="Times New Roman" w:cs="Times New Roman" w:eastAsia="Times New Roman"/>
                <w:color w:val="000000"/>
                <w:sz w:val="16"/>
              </w:rPr>
              <w:t xml:space="preserve">-0.8</w:t>
            </w:r>
          </w:p>
        </w:tc>
        <w:tc>
          <w:tcPr/>
          <w:p>
            <w:pPr>
              <w:pStyle w:val="Compact"/>
              <w:spacing w:line="240" w:lineRule="auto" w:before="20" w:after="20"/>
              <w:jc w:val="left"/>
            </w:pPr>
            <w:r>
              <w:rPr>
                <w:rFonts w:ascii="Times New Roman" w:hAnsi="Times New Roman" w:cs="Times New Roman" w:eastAsia="Times New Roman"/>
                <w:color w:val="000000"/>
                <w:sz w:val="16"/>
              </w:rPr>
              <w:t xml:space="preserve">[-1.6, 0.2]</w:t>
            </w:r>
          </w:p>
        </w:tc>
        <w:tc>
          <w:tcPr/>
          <w:p>
            <w:pPr>
              <w:pStyle w:val="Compact"/>
              <w:spacing w:line="240" w:lineRule="auto" w:before="20" w:after="20"/>
              <w:jc w:val="left"/>
            </w:pPr>
            <w:r>
              <w:rPr>
                <w:rFonts w:ascii="Times New Roman" w:hAnsi="Times New Roman" w:cs="Times New Roman" w:eastAsia="Times New Roman"/>
                <w:color w:val="000000"/>
                <w:sz w:val="16"/>
              </w:rPr>
              <w:t xml:space="preserve">62</w:t>
            </w:r>
          </w:p>
        </w:tc>
        <w:tc>
          <w:tcPr/>
          <w:p>
            <w:pPr>
              <w:pStyle w:val="Compact"/>
              <w:spacing w:line="240" w:lineRule="auto" w:before="20" w:after="20"/>
              <w:jc w:val="left"/>
            </w:pPr>
            <w:r>
              <w:rPr>
                <w:rFonts w:ascii="Times New Roman" w:hAnsi="Times New Roman" w:cs="Times New Roman" w:eastAsia="Times New Roman"/>
                <w:color w:val="000000"/>
                <w:sz w:val="16"/>
              </w:rPr>
              <w:t xml:space="preserve">31 / 17</w:t>
            </w:r>
          </w:p>
        </w:tc>
        <w:tc>
          <w:tcPr/>
          <w:p>
            <w:pPr>
              <w:pStyle w:val="Compact"/>
              <w:spacing w:line="240" w:lineRule="auto" w:before="20" w:after="20"/>
              <w:jc w:val="left"/>
            </w:pPr>
            <w:r>
              <w:rPr>
                <w:rFonts w:ascii="Times New Roman" w:hAnsi="Times New Roman" w:cs="Times New Roman" w:eastAsia="Times New Roman"/>
                <w:color w:val="000000"/>
                <w:sz w:val="16"/>
              </w:rPr>
              <w:t xml:space="preserve">0.2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G-LRO (zero-shot) vs SN24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-12</w:t>
            </w:r>
          </w:p>
        </w:tc>
        <w:tc>
          <w:tcPr/>
          <w:p>
            <w:pPr>
              <w:pStyle w:val="Compact"/>
              <w:spacing w:line="240" w:lineRule="auto" w:before="20" w:after="20"/>
              <w:jc w:val="left"/>
            </w:pPr>
            <w:r>
              <w:rPr>
                <w:rFonts w:ascii="Times New Roman" w:hAnsi="Times New Roman" w:cs="Times New Roman" w:eastAsia="Times New Roman"/>
                <w:color w:val="000000"/>
                <w:sz w:val="16"/>
              </w:rPr>
              <w:t xml:space="preserve">[-15.2, -10.5]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94 / 0</w:t>
            </w:r>
          </w:p>
        </w:tc>
        <w:tc>
          <w:tcPr/>
          <w:p>
            <w:pPr>
              <w:pStyle w:val="Compact"/>
              <w:spacing w:line="240" w:lineRule="auto" w:before="20" w:after="20"/>
              <w:jc w:val="left"/>
            </w:pPr>
            <w:r>
              <w:rPr>
                <w:rFonts w:ascii="Times New Roman" w:hAnsi="Times New Roman" w:cs="Times New Roman" w:eastAsia="Times New Roman"/>
                <w:color w:val="000000"/>
                <w:sz w:val="16"/>
              </w:rPr>
              <w:t xml:space="preserve">&lt;1e-4</w:t>
            </w:r>
          </w:p>
        </w:tc>
      </w:tr>
    </w:tbl>
    <w:p>
      <w:pPr>
        <w:pStyle w:val="BodyText"/>
        <w:keepNext/>
        <w:spacing w:line="240" w:lineRule="auto"/>
        <w:jc w:val="center"/>
      </w:pPr>
      <w:r>
        <w:drawing>
          <wp:inline>
            <wp:extent cx="5334000" cy="2202110"/>
            <wp:effectExtent b="0" l="0" r="0" t="0"/>
            <wp:docPr descr="" title="" id="51" name="Picture"/>
            <a:graphic>
              <a:graphicData uri="http://schemas.openxmlformats.org/drawingml/2006/picture">
                <pic:pic>
                  <pic:nvPicPr>
                    <pic:cNvPr descr="/home/user/cross-regional-electricity-forecasting/cross_regional_electricity_forecasting/figures/fig06_regional_errors.png" id="52" name="Picture"/>
                    <pic:cNvPicPr>
                      <a:picLocks noChangeArrowheads="1" noChangeAspect="1"/>
                    </pic:cNvPicPr>
                  </pic:nvPicPr>
                  <pic:blipFill>
                    <a:blip r:embed="rId50"/>
                    <a:stretch>
                      <a:fillRect/>
                    </a:stretch>
                  </pic:blipFill>
                  <pic:spPr bwMode="auto">
                    <a:xfrm>
                      <a:off x="0" y="0"/>
                      <a:ext cx="5334000" cy="2202110"/>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6.</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 Per-BA nMAE of the global model when the BA is held out vs included in training (colour: log10 mean demand). (b) Relative geographic generalisation gap vs BA size.</w:t>
      </w:r>
    </w:p>
    <w:p>
      <w:pPr>
        <w:pStyle w:val="BodyText"/>
        <w:spacing w:line="360" w:lineRule="auto" w:after="120"/>
        <w:jc w:val="both"/>
      </w:pPr>
      <w:r>
        <w:rPr>
          <w:bCs/>
          <w:rFonts w:ascii="Times New Roman" w:hAnsi="Times New Roman" w:cs="Times New Roman" w:eastAsia="Times New Roman"/>
          <w:b/>
          <w:color w:val="000000"/>
          <w:sz w:val="24"/>
        </w:rPr>
        <w:t xml:space="preserve">Operator reference.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BAs’ own day-ahead forecasts reach a median nMAE of 3.57% on the same hours, against 4.64% for G-IN at 24 h (Table 3). The information sets differ: operators use weather forecasts and other operational information, issue forecasts at undocumented times, and are not restricted to our past-demand features. We therefore do not attribute the difference to any single cause, and the comparison is not like-for-like. For orientation only, the in-region model at</w:t>
      </w:r>
      <w:r>
        <w:rPr>
          <w:rFonts w:ascii="Times New Roman" w:hAnsi="Times New Roman" w:cs="Times New Roman" w:eastAsia="Times New Roman"/>
          <w:color w:val="000000"/>
          <w:sz w:val="24"/>
        </w:rPr>
        <w:t xml:space="preserve"> </w:t>
      </w:r>
      <m:oMath>
        <m:r>
          <m:t>h</m:t>
        </m:r>
        <m:r>
          <m:rPr>
            <m:sty m:val="p"/>
          </m:rPr>
          <m:t>=</m:t>
        </m:r>
        <m:r>
          <m:t>6</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(3.50%), which has far more recent information than any day-ahead forecast, is more accurate than the operators’ day-ahead forecasts.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3.</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Comparison with BA-reported day-ahead forecasts (hours where available).</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678"/>
        <w:gridCol w:w="3394"/>
        <w:gridCol w:w="1734"/>
        <w:gridCol w:w="1282"/>
        <w:gridCol w:w="829"/>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nMAE % median [IQR]</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Bias % median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Regions</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BA day-ahead forecast (reference)</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 [2.55, 6.41]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1.14 [0.87, 1.51]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 [0.90, 1.55]</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5.47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BA day-ahead forecast (reference)</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 [2.55, 6.41]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3.49 [2.95, 4.35]</w:t>
            </w:r>
          </w:p>
        </w:tc>
        <w:tc>
          <w:tcPr/>
          <w:p>
            <w:pPr>
              <w:pStyle w:val="Compact"/>
              <w:spacing w:line="240" w:lineRule="auto" w:before="20" w:after="20"/>
              <w:jc w:val="left"/>
            </w:pPr>
            <w:r>
              <w:rPr>
                <w:rFonts w:ascii="Times New Roman" w:hAnsi="Times New Roman" w:cs="Times New Roman" w:eastAsia="Times New Roman"/>
                <w:color w:val="000000"/>
                <w:sz w:val="18"/>
              </w:rPr>
              <w:t xml:space="preserve">0.03</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3.65 [3.03, 4.40]</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5.47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BA day-ahead forecast (reference)</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 [2.55, 6.41]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 [3.88, 5.87]</w:t>
            </w:r>
          </w:p>
        </w:tc>
        <w:tc>
          <w:tcPr/>
          <w:p>
            <w:pPr>
              <w:pStyle w:val="Compact"/>
              <w:spacing w:line="240" w:lineRule="auto" w:before="20" w:after="20"/>
              <w:jc w:val="left"/>
            </w:pPr>
            <w:r>
              <w:rPr>
                <w:rFonts w:ascii="Times New Roman" w:hAnsi="Times New Roman" w:cs="Times New Roman" w:eastAsia="Times New Roman"/>
                <w:color w:val="000000"/>
                <w:sz w:val="18"/>
              </w:rPr>
              <w:t xml:space="preserve">-0.1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4.75 [3.91, 5.91]</w:t>
            </w:r>
          </w:p>
        </w:tc>
        <w:tc>
          <w:tcPr/>
          <w:p>
            <w:pPr>
              <w:pStyle w:val="Compact"/>
              <w:spacing w:line="240" w:lineRule="auto" w:before="20" w:after="20"/>
              <w:jc w:val="left"/>
            </w:pPr>
            <w:r>
              <w:rPr>
                <w:rFonts w:ascii="Times New Roman" w:hAnsi="Times New Roman" w:cs="Times New Roman" w:eastAsia="Times New Roman"/>
                <w:color w:val="000000"/>
                <w:sz w:val="18"/>
              </w:rPr>
              <w:t xml:space="preserve">-0.1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5.47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-0.02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bl>
    <w:bookmarkEnd w:id="53"/>
    <w:bookmarkStart w:id="57" w:name="limited-target-data-adaptation-rq2"/>
    <w:p>
      <w:pPr>
        <w:pStyle w:val="Heading2"/>
        <w:keepNext/>
        <w:spacing w:before="240" w:after="120"/>
      </w:pPr>
      <w:r>
        <w:rPr>
          <w:rStyle w:val="SectionNumber"/>
          <w:rFonts w:ascii="Times New Roman" w:hAnsi="Times New Roman" w:cs="Times New Roman" w:eastAsia="Times New Roman"/>
          <w:b/>
          <w:color w:val="000000"/>
          <w:sz w:val="24"/>
        </w:rPr>
        <w:t xml:space="preserve">9.2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Limited target-data adaptation (RQ2)</w:t>
      </w:r>
    </w:p>
    <w:p>
      <w:pPr>
        <w:pStyle w:val="FirstParagraph"/>
        <w:spacing w:line="360" w:lineRule="auto" w:after="120"/>
        <w:jc w:val="both"/>
      </w:pPr>
      <w:r>
        <w:rPr>
          <w:rFonts w:ascii="Times New Roman" w:hAnsi="Times New Roman" w:cs="Times New Roman" w:eastAsia="Times New Roman"/>
          <w:color w:val="000000"/>
          <w:sz w:val="24"/>
        </w:rPr>
        <w:t xml:space="preserve">Table 4 and Fig. 7 compare adaptation strategies for unseen BAs.</w:t>
      </w:r>
    </w:p>
    <w:p>
      <w:pPr>
        <w:pStyle w:val="BodyText"/>
        <w:spacing w:line="360" w:lineRule="auto" w:after="120"/>
        <w:jc w:val="both"/>
      </w:pPr>
      <w:r>
        <w:rPr>
          <w:bCs/>
          <w:rFonts w:ascii="Times New Roman" w:hAnsi="Times New Roman" w:cs="Times New Roman" w:eastAsia="Times New Roman"/>
          <w:b/>
          <w:color w:val="000000"/>
          <w:sz w:val="24"/>
        </w:rPr>
        <w:t xml:space="preserve">Local models need history.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little target history, local models are poor.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a local model trained on one week reaches a median nMAE of 9.21%, on four weeks 8.07% and on thirteen weeks 5.77%. All of these are worse than the zero-shot global model (4.75%).</w:t>
      </w:r>
    </w:p>
    <w:p>
      <w:pPr>
        <w:pStyle w:val="BodyText"/>
        <w:spacing w:line="360" w:lineRule="auto" w:after="120"/>
        <w:jc w:val="both"/>
      </w:pPr>
      <w:r>
        <w:rPr>
          <w:bCs/>
          <w:rFonts w:ascii="Times New Roman" w:hAnsi="Times New Roman" w:cs="Times New Roman" w:eastAsia="Times New Roman"/>
          <w:b/>
          <w:color w:val="000000"/>
          <w:sz w:val="24"/>
        </w:rPr>
        <w:t xml:space="preserve">Fine-tuning gives little and usually hurts.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Fine-tuning the global model on the same data yields 5.37%, 5.26% and 5.00% for one, four and thirteen weeks. The median relative change versus zero-shot is 12.9% with four weeks (CI 9.7 to 17.9%) and 6.5% with thirteen. The exception is</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with thirteen weeks, where fine-tuning helps slightly (-1.5%, CI -2.5 to -0.7%).</w:t>
      </w:r>
    </w:p>
    <w:p>
      <w:pPr>
        <w:pStyle w:val="BodyText"/>
        <w:spacing w:line="360" w:lineRule="auto" w:after="120"/>
        <w:jc w:val="both"/>
      </w:pPr>
      <w:r>
        <w:rPr>
          <w:bCs/>
          <w:rFonts w:ascii="Times New Roman" w:hAnsi="Times New Roman" w:cs="Times New Roman" w:eastAsia="Times New Roman"/>
          <w:b/>
          <w:color w:val="000000"/>
          <w:sz w:val="24"/>
        </w:rPr>
        <w:t xml:space="preserve">The degradation is not specific to a December origin.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repeated the experiment at three onboarding origins inside the test period: 1 April, 1 July and 1 October 2024, each evaluated over the following year. Fine-tuning remained worse than zero-shot at every origin. Median relative changes ranged from +5.4% to +14.3% at 24 h, and from +1.2% to +6.0% at 6 h (Supplementary Table S5). These adaptation settings were fixed a priori; better-regularised adaptation might behave differently.</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4.</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Limited target-data adaptation for unseen BAs (test 2024–2025).</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774"/>
        <w:gridCol w:w="3873"/>
        <w:gridCol w:w="1980"/>
        <w:gridCol w:w="1291"/>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nMAE % median [IQR]</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MASE median</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 [0.90, 1.55]</w:t>
            </w:r>
          </w:p>
        </w:tc>
        <w:tc>
          <w:tcPr/>
          <w:p>
            <w:pPr>
              <w:pStyle w:val="Compact"/>
              <w:spacing w:line="240" w:lineRule="auto" w:before="20" w:after="20"/>
              <w:jc w:val="left"/>
            </w:pPr>
            <w:r>
              <w:rPr>
                <w:rFonts w:ascii="Times New Roman" w:hAnsi="Times New Roman" w:cs="Times New Roman" w:eastAsia="Times New Roman"/>
                <w:color w:val="000000"/>
                <w:sz w:val="18"/>
              </w:rPr>
              <w:t xml:space="preserve">0.201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5.35 [4.74, 7.09]</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1.24 [0.99, 1.59]</w:t>
            </w:r>
          </w:p>
        </w:tc>
        <w:tc>
          <w:tcPr/>
          <w:p>
            <w:pPr>
              <w:pStyle w:val="Compact"/>
              <w:spacing w:line="240" w:lineRule="auto" w:before="20" w:after="20"/>
              <w:jc w:val="left"/>
            </w:pPr>
            <w:r>
              <w:rPr>
                <w:rFonts w:ascii="Times New Roman" w:hAnsi="Times New Roman" w:cs="Times New Roman" w:eastAsia="Times New Roman"/>
                <w:color w:val="000000"/>
                <w:sz w:val="18"/>
              </w:rPr>
              <w:t xml:space="preserve">0.212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3.87 [3.21, 4.72]</w:t>
            </w:r>
          </w:p>
        </w:tc>
        <w:tc>
          <w:tcPr/>
          <w:p>
            <w:pPr>
              <w:pStyle w:val="Compact"/>
              <w:spacing w:line="240" w:lineRule="auto" w:before="20" w:after="20"/>
              <w:jc w:val="left"/>
            </w:pPr>
            <w:r>
              <w:rPr>
                <w:rFonts w:ascii="Times New Roman" w:hAnsi="Times New Roman" w:cs="Times New Roman" w:eastAsia="Times New Roman"/>
                <w:color w:val="000000"/>
                <w:sz w:val="18"/>
              </w:rPr>
              <w:t xml:space="preserve">0.679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1.21 [0.94, 1.56]</w:t>
            </w:r>
          </w:p>
        </w:tc>
        <w:tc>
          <w:tcPr/>
          <w:p>
            <w:pPr>
              <w:pStyle w:val="Compact"/>
              <w:spacing w:line="240" w:lineRule="auto" w:before="20" w:after="20"/>
              <w:jc w:val="left"/>
            </w:pPr>
            <w:r>
              <w:rPr>
                <w:rFonts w:ascii="Times New Roman" w:hAnsi="Times New Roman" w:cs="Times New Roman" w:eastAsia="Times New Roman"/>
                <w:color w:val="000000"/>
                <w:sz w:val="18"/>
              </w:rPr>
              <w:t xml:space="preserve">0.205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2.09 [1.81, 2.45]</w:t>
            </w:r>
          </w:p>
        </w:tc>
        <w:tc>
          <w:tcPr/>
          <w:p>
            <w:pPr>
              <w:pStyle w:val="Compact"/>
              <w:spacing w:line="240" w:lineRule="auto" w:before="20" w:after="20"/>
              <w:jc w:val="left"/>
            </w:pPr>
            <w:r>
              <w:rPr>
                <w:rFonts w:ascii="Times New Roman" w:hAnsi="Times New Roman" w:cs="Times New Roman" w:eastAsia="Times New Roman"/>
                <w:color w:val="000000"/>
                <w:sz w:val="18"/>
              </w:rPr>
              <w:t xml:space="preserve">0.345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1.16 [0.89, 1.51]</w:t>
            </w:r>
          </w:p>
        </w:tc>
        <w:tc>
          <w:tcPr/>
          <w:p>
            <w:pPr>
              <w:pStyle w:val="Compact"/>
              <w:spacing w:line="240" w:lineRule="auto" w:before="20" w:after="20"/>
              <w:jc w:val="left"/>
            </w:pPr>
            <w:r>
              <w:rPr>
                <w:rFonts w:ascii="Times New Roman" w:hAnsi="Times New Roman" w:cs="Times New Roman" w:eastAsia="Times New Roman"/>
                <w:color w:val="000000"/>
                <w:sz w:val="18"/>
              </w:rPr>
              <w:t xml:space="preserve">0.197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1.28 [1.01, 1.61]</w:t>
            </w:r>
          </w:p>
        </w:tc>
        <w:tc>
          <w:tcPr/>
          <w:p>
            <w:pPr>
              <w:pStyle w:val="Compact"/>
              <w:spacing w:line="240" w:lineRule="auto" w:before="20" w:after="20"/>
              <w:jc w:val="left"/>
            </w:pPr>
            <w:r>
              <w:rPr>
                <w:rFonts w:ascii="Times New Roman" w:hAnsi="Times New Roman" w:cs="Times New Roman" w:eastAsia="Times New Roman"/>
                <w:color w:val="000000"/>
                <w:sz w:val="18"/>
              </w:rPr>
              <w:t xml:space="preserve">0.22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1.14 [0.87, 1.51]</w:t>
            </w:r>
          </w:p>
        </w:tc>
        <w:tc>
          <w:tcPr/>
          <w:p>
            <w:pPr>
              <w:pStyle w:val="Compact"/>
              <w:spacing w:line="240" w:lineRule="auto" w:before="20" w:after="20"/>
              <w:jc w:val="left"/>
            </w:pPr>
            <w:r>
              <w:rPr>
                <w:rFonts w:ascii="Times New Roman" w:hAnsi="Times New Roman" w:cs="Times New Roman" w:eastAsia="Times New Roman"/>
                <w:color w:val="000000"/>
                <w:sz w:val="18"/>
              </w:rPr>
              <w:t xml:space="preserve">0.194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3.66 [3.03, 4.40]</w:t>
            </w:r>
          </w:p>
        </w:tc>
        <w:tc>
          <w:tcPr/>
          <w:p>
            <w:pPr>
              <w:pStyle w:val="Compact"/>
              <w:spacing w:line="240" w:lineRule="auto" w:before="20" w:after="20"/>
              <w:jc w:val="left"/>
            </w:pPr>
            <w:r>
              <w:rPr>
                <w:rFonts w:ascii="Times New Roman" w:hAnsi="Times New Roman" w:cs="Times New Roman" w:eastAsia="Times New Roman"/>
                <w:color w:val="000000"/>
                <w:sz w:val="18"/>
              </w:rPr>
              <w:t xml:space="preserve">0.654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8.92 [7.04, 11.55]</w:t>
            </w:r>
          </w:p>
        </w:tc>
        <w:tc>
          <w:tcPr/>
          <w:p>
            <w:pPr>
              <w:pStyle w:val="Compact"/>
              <w:spacing w:line="240" w:lineRule="auto" w:before="20" w:after="20"/>
              <w:jc w:val="left"/>
            </w:pPr>
            <w:r>
              <w:rPr>
                <w:rFonts w:ascii="Times New Roman" w:hAnsi="Times New Roman" w:cs="Times New Roman" w:eastAsia="Times New Roman"/>
                <w:color w:val="000000"/>
                <w:sz w:val="18"/>
              </w:rPr>
              <w:t xml:space="preserve">1.587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4.01 [3.44, 5.21]</w:t>
            </w:r>
          </w:p>
        </w:tc>
        <w:tc>
          <w:tcPr/>
          <w:p>
            <w:pPr>
              <w:pStyle w:val="Compact"/>
              <w:spacing w:line="240" w:lineRule="auto" w:before="20" w:after="20"/>
              <w:jc w:val="left"/>
            </w:pPr>
            <w:r>
              <w:rPr>
                <w:rFonts w:ascii="Times New Roman" w:hAnsi="Times New Roman" w:cs="Times New Roman" w:eastAsia="Times New Roman"/>
                <w:color w:val="000000"/>
                <w:sz w:val="18"/>
              </w:rPr>
              <w:t xml:space="preserve">0.753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7.79 [5.93, 10.58]</w:t>
            </w:r>
          </w:p>
        </w:tc>
        <w:tc>
          <w:tcPr/>
          <w:p>
            <w:pPr>
              <w:pStyle w:val="Compact"/>
              <w:spacing w:line="240" w:lineRule="auto" w:before="20" w:after="20"/>
              <w:jc w:val="left"/>
            </w:pPr>
            <w:r>
              <w:rPr>
                <w:rFonts w:ascii="Times New Roman" w:hAnsi="Times New Roman" w:cs="Times New Roman" w:eastAsia="Times New Roman"/>
                <w:color w:val="000000"/>
                <w:sz w:val="18"/>
              </w:rPr>
              <w:t xml:space="preserve">1.449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3.93 [3.17, 4.89]</w:t>
            </w:r>
          </w:p>
        </w:tc>
        <w:tc>
          <w:tcPr/>
          <w:p>
            <w:pPr>
              <w:pStyle w:val="Compact"/>
              <w:spacing w:line="240" w:lineRule="auto" w:before="20" w:after="20"/>
              <w:jc w:val="left"/>
            </w:pPr>
            <w:r>
              <w:rPr>
                <w:rFonts w:ascii="Times New Roman" w:hAnsi="Times New Roman" w:cs="Times New Roman" w:eastAsia="Times New Roman"/>
                <w:color w:val="000000"/>
                <w:sz w:val="18"/>
              </w:rPr>
              <w:t xml:space="preserve">0.719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5.45 [4.73, 6.67]</w:t>
            </w:r>
          </w:p>
        </w:tc>
        <w:tc>
          <w:tcPr/>
          <w:p>
            <w:pPr>
              <w:pStyle w:val="Compact"/>
              <w:spacing w:line="240" w:lineRule="auto" w:before="20" w:after="20"/>
              <w:jc w:val="left"/>
            </w:pPr>
            <w:r>
              <w:rPr>
                <w:rFonts w:ascii="Times New Roman" w:hAnsi="Times New Roman" w:cs="Times New Roman" w:eastAsia="Times New Roman"/>
                <w:color w:val="000000"/>
                <w:sz w:val="18"/>
              </w:rPr>
              <w:t xml:space="preserve">1.023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3.70 [3.06, 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0.675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3.78 [3.13, 4.60]</w:t>
            </w:r>
          </w:p>
        </w:tc>
        <w:tc>
          <w:tcPr/>
          <w:p>
            <w:pPr>
              <w:pStyle w:val="Compact"/>
              <w:spacing w:line="240" w:lineRule="auto" w:before="20" w:after="20"/>
              <w:jc w:val="left"/>
            </w:pPr>
            <w:r>
              <w:rPr>
                <w:rFonts w:ascii="Times New Roman" w:hAnsi="Times New Roman" w:cs="Times New Roman" w:eastAsia="Times New Roman"/>
                <w:color w:val="000000"/>
                <w:sz w:val="18"/>
              </w:rPr>
              <w:t xml:space="preserve">0.676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3.50 [2.95, 4.35]</w:t>
            </w:r>
          </w:p>
        </w:tc>
        <w:tc>
          <w:tcPr/>
          <w:p>
            <w:pPr>
              <w:pStyle w:val="Compact"/>
              <w:spacing w:line="240" w:lineRule="auto" w:before="20" w:after="20"/>
              <w:jc w:val="left"/>
            </w:pPr>
            <w:r>
              <w:rPr>
                <w:rFonts w:ascii="Times New Roman" w:hAnsi="Times New Roman" w:cs="Times New Roman" w:eastAsia="Times New Roman"/>
                <w:color w:val="000000"/>
                <w:sz w:val="18"/>
              </w:rPr>
              <w:t xml:space="preserve">0.627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5.48 [4.57, 6.81]</w:t>
            </w:r>
          </w:p>
        </w:tc>
        <w:tc>
          <w:tcPr/>
          <w:p>
            <w:pPr>
              <w:pStyle w:val="Compact"/>
              <w:spacing w:line="240" w:lineRule="auto" w:before="20" w:after="20"/>
              <w:jc w:val="left"/>
            </w:pPr>
            <w:r>
              <w:rPr>
                <w:rFonts w:ascii="Times New Roman" w:hAnsi="Times New Roman" w:cs="Times New Roman" w:eastAsia="Times New Roman"/>
                <w:color w:val="000000"/>
                <w:sz w:val="18"/>
              </w:rPr>
              <w:t xml:space="preserve">1.009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4.75 [3.91, 5.91]</w:t>
            </w:r>
          </w:p>
        </w:tc>
        <w:tc>
          <w:tcPr/>
          <w:p>
            <w:pPr>
              <w:pStyle w:val="Compact"/>
              <w:spacing w:line="240" w:lineRule="auto" w:before="20" w:after="20"/>
              <w:jc w:val="left"/>
            </w:pPr>
            <w:r>
              <w:rPr>
                <w:rFonts w:ascii="Times New Roman" w:hAnsi="Times New Roman" w:cs="Times New Roman" w:eastAsia="Times New Roman"/>
                <w:color w:val="000000"/>
                <w:sz w:val="18"/>
              </w:rPr>
              <w:t xml:space="preserve">0.888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9.21 [7.57, 11.18]</w:t>
            </w:r>
          </w:p>
        </w:tc>
        <w:tc>
          <w:tcPr/>
          <w:p>
            <w:pPr>
              <w:pStyle w:val="Compact"/>
              <w:spacing w:line="240" w:lineRule="auto" w:before="20" w:after="20"/>
              <w:jc w:val="left"/>
            </w:pPr>
            <w:r>
              <w:rPr>
                <w:rFonts w:ascii="Times New Roman" w:hAnsi="Times New Roman" w:cs="Times New Roman" w:eastAsia="Times New Roman"/>
                <w:color w:val="000000"/>
                <w:sz w:val="18"/>
              </w:rPr>
              <w:t xml:space="preserve">1.728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5.37 [4.43, 6.90]</w:t>
            </w:r>
          </w:p>
        </w:tc>
        <w:tc>
          <w:tcPr/>
          <w:p>
            <w:pPr>
              <w:pStyle w:val="Compact"/>
              <w:spacing w:line="240" w:lineRule="auto" w:before="20" w:after="20"/>
              <w:jc w:val="left"/>
            </w:pPr>
            <w:r>
              <w:rPr>
                <w:rFonts w:ascii="Times New Roman" w:hAnsi="Times New Roman" w:cs="Times New Roman" w:eastAsia="Times New Roman"/>
                <w:color w:val="000000"/>
                <w:sz w:val="18"/>
              </w:rPr>
              <w:t xml:space="preserve">1.057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8.07 [6.50, 9.65]</w:t>
            </w:r>
          </w:p>
        </w:tc>
        <w:tc>
          <w:tcPr/>
          <w:p>
            <w:pPr>
              <w:pStyle w:val="Compact"/>
              <w:spacing w:line="240" w:lineRule="auto" w:before="20" w:after="20"/>
              <w:jc w:val="left"/>
            </w:pPr>
            <w:r>
              <w:rPr>
                <w:rFonts w:ascii="Times New Roman" w:hAnsi="Times New Roman" w:cs="Times New Roman" w:eastAsia="Times New Roman"/>
                <w:color w:val="000000"/>
                <w:sz w:val="18"/>
              </w:rPr>
              <w:t xml:space="preserve">1.462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4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5.26 [4.42, 7.09]</w:t>
            </w:r>
          </w:p>
        </w:tc>
        <w:tc>
          <w:tcPr/>
          <w:p>
            <w:pPr>
              <w:pStyle w:val="Compact"/>
              <w:spacing w:line="240" w:lineRule="auto" w:before="20" w:after="20"/>
              <w:jc w:val="left"/>
            </w:pPr>
            <w:r>
              <w:rPr>
                <w:rFonts w:ascii="Times New Roman" w:hAnsi="Times New Roman" w:cs="Times New Roman" w:eastAsia="Times New Roman"/>
                <w:color w:val="000000"/>
                <w:sz w:val="18"/>
              </w:rPr>
              <w:t xml:space="preserve">1.029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5.77 [5.06, 7.30]</w:t>
            </w:r>
          </w:p>
        </w:tc>
        <w:tc>
          <w:tcPr/>
          <w:p>
            <w:pPr>
              <w:pStyle w:val="Compact"/>
              <w:spacing w:line="240" w:lineRule="auto" w:before="20" w:after="20"/>
              <w:jc w:val="left"/>
            </w:pPr>
            <w:r>
              <w:rPr>
                <w:rFonts w:ascii="Times New Roman" w:hAnsi="Times New Roman" w:cs="Times New Roman" w:eastAsia="Times New Roman"/>
                <w:color w:val="000000"/>
                <w:sz w:val="18"/>
              </w:rPr>
              <w:t xml:space="preserve">1.13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Global fine-tuned, 13 wk target data</w:t>
            </w:r>
          </w:p>
        </w:tc>
        <w:tc>
          <w:tcPr/>
          <w:p>
            <w:pPr>
              <w:pStyle w:val="Compact"/>
              <w:spacing w:line="240" w:lineRule="auto" w:before="20" w:after="20"/>
              <w:jc w:val="left"/>
            </w:pPr>
            <w:r>
              <w:rPr>
                <w:rFonts w:ascii="Times New Roman" w:hAnsi="Times New Roman" w:cs="Times New Roman" w:eastAsia="Times New Roman"/>
                <w:color w:val="000000"/>
                <w:sz w:val="18"/>
              </w:rPr>
              <w:t xml:space="preserve">5.00 [4.16, 6.43]</w:t>
            </w:r>
          </w:p>
        </w:tc>
        <w:tc>
          <w:tcPr/>
          <w:p>
            <w:pPr>
              <w:pStyle w:val="Compact"/>
              <w:spacing w:line="240" w:lineRule="auto" w:before="20" w:after="20"/>
              <w:jc w:val="left"/>
            </w:pPr>
            <w:r>
              <w:rPr>
                <w:rFonts w:ascii="Times New Roman" w:hAnsi="Times New Roman" w:cs="Times New Roman" w:eastAsia="Times New Roman"/>
                <w:color w:val="000000"/>
                <w:sz w:val="18"/>
              </w:rPr>
              <w:t xml:space="preserve">0.969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4.72 [3.94, 5.94]</w:t>
            </w:r>
          </w:p>
        </w:tc>
        <w:tc>
          <w:tcPr/>
          <w:p>
            <w:pPr>
              <w:pStyle w:val="Compact"/>
              <w:spacing w:line="240" w:lineRule="auto" w:before="20" w:after="20"/>
              <w:jc w:val="left"/>
            </w:pPr>
            <w:r>
              <w:rPr>
                <w:rFonts w:ascii="Times New Roman" w:hAnsi="Times New Roman" w:cs="Times New Roman" w:eastAsia="Times New Roman"/>
                <w:color w:val="000000"/>
                <w:sz w:val="18"/>
              </w:rPr>
              <w:t xml:space="preserve">0.893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 [3.88, 5.87]</w:t>
            </w:r>
          </w:p>
        </w:tc>
        <w:tc>
          <w:tcPr/>
          <w:p>
            <w:pPr>
              <w:pStyle w:val="Compact"/>
              <w:spacing w:line="240" w:lineRule="auto" w:before="20" w:after="20"/>
              <w:jc w:val="left"/>
            </w:pPr>
            <w:r>
              <w:rPr>
                <w:rFonts w:ascii="Times New Roman" w:hAnsi="Times New Roman" w:cs="Times New Roman" w:eastAsia="Times New Roman"/>
                <w:color w:val="000000"/>
                <w:sz w:val="18"/>
              </w:rPr>
              <w:t xml:space="preserve">0.884</w:t>
            </w:r>
          </w:p>
        </w:tc>
      </w:tr>
    </w:tbl>
    <w:p>
      <w:pPr>
        <w:pStyle w:val="BodyText"/>
        <w:keepNext/>
        <w:spacing w:line="240" w:lineRule="auto"/>
        <w:jc w:val="center"/>
      </w:pPr>
      <w:r>
        <w:drawing>
          <wp:inline>
            <wp:extent cx="5334000" cy="1972462"/>
            <wp:effectExtent b="0" l="0" r="0" t="0"/>
            <wp:docPr descr="" title="" id="55" name="Picture"/>
            <a:graphic>
              <a:graphicData uri="http://schemas.openxmlformats.org/drawingml/2006/picture">
                <pic:pic>
                  <pic:nvPicPr>
                    <pic:cNvPr descr="/home/user/cross-regional-electricity-forecasting/cross_regional_electricity_forecasting/figures/fig07_transfer.png" id="56" name="Picture"/>
                    <pic:cNvPicPr>
                      <a:picLocks noChangeArrowheads="1" noChangeAspect="1"/>
                    </pic:cNvPicPr>
                  </pic:nvPicPr>
                  <pic:blipFill>
                    <a:blip r:embed="rId54"/>
                    <a:stretch>
                      <a:fillRect/>
                    </a:stretch>
                  </pic:blipFill>
                  <pic:spPr bwMode="auto">
                    <a:xfrm>
                      <a:off x="0" y="0"/>
                      <a:ext cx="5334000" cy="1972462"/>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7.</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Limited target-data adaptation for unseen BAs: median test nMAE vs weeks of target (x-axis on a symmetric-log scale) history.</w:t>
      </w:r>
    </w:p>
    <w:bookmarkEnd w:id="57"/>
    <w:bookmarkStart w:id="61" w:name="temporal-distribution-shift-rq4"/>
    <w:p>
      <w:pPr>
        <w:pStyle w:val="Heading2"/>
        <w:keepNext/>
        <w:spacing w:before="240" w:after="120"/>
      </w:pPr>
      <w:r>
        <w:rPr>
          <w:rStyle w:val="SectionNumber"/>
          <w:rFonts w:ascii="Times New Roman" w:hAnsi="Times New Roman" w:cs="Times New Roman" w:eastAsia="Times New Roman"/>
          <w:b/>
          <w:color w:val="000000"/>
          <w:sz w:val="24"/>
        </w:rPr>
        <w:t xml:space="preserve">9.3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Temporal distribution shift (RQ4)</w:t>
      </w:r>
    </w:p>
    <w:p>
      <w:pPr>
        <w:pStyle w:val="FirstParagraph"/>
        <w:spacing w:line="360" w:lineRule="auto" w:after="120"/>
        <w:jc w:val="both"/>
      </w:pPr>
      <w:r>
        <w:rPr>
          <w:bCs/>
          <w:rFonts w:ascii="Times New Roman" w:hAnsi="Times New Roman" w:cs="Times New Roman" w:eastAsia="Times New Roman"/>
          <w:b/>
          <w:color w:val="000000"/>
          <w:sz w:val="24"/>
        </w:rPr>
        <w:t xml:space="preserve">Drift with model 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Errors of models frozen at the end of 2022 did not grow monotonically with their age (Table 5; Fig. 8).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median nMAE of G-IN was 4.60% in 2023 (validation year, mildly optimistic because it includes the early-stopping weeks), 4.54% in 2024 and 4.67% in 2025. The seasonal naive benchmark follows the same pattern (5.16% in 2024 and 5.56% in 2025), which indicates that 2025 was intrinsically harder to forecast rather than that the models aged. The increase from 2024 to 2025 was largest for local models (4.49% to 4.80%), compared with the zero-shot model (4.56% to 4.72%) and G-IN.</w:t>
      </w:r>
    </w:p>
    <w:p>
      <w:pPr>
        <w:pStyle w:val="BodyText"/>
        <w:spacing w:line="360" w:lineRule="auto" w:after="120"/>
        <w:jc w:val="both"/>
      </w:pPr>
      <w:r>
        <w:rPr>
          <w:bCs/>
          <w:rFonts w:ascii="Times New Roman" w:hAnsi="Times New Roman" w:cs="Times New Roman" w:eastAsia="Times New Roman"/>
          <w:b/>
          <w:color w:val="000000"/>
          <w:sz w:val="24"/>
        </w:rPr>
        <w:t xml:space="preserve">Seasonal pattern.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Errors are highest in winter and summer and lowest in autumn: at 24 h, G-IN reaches 4.76% in DJF, 4.76% in JJA and 4.34% in SON. This pattern reflects weather-driven heating and cooling load that calendar and lag features cannot anticipate.</w:t>
      </w:r>
    </w:p>
    <w:p>
      <w:pPr>
        <w:pStyle w:val="BodyText"/>
        <w:spacing w:line="360" w:lineRule="auto" w:after="120"/>
        <w:jc w:val="both"/>
      </w:pPr>
      <w:r>
        <w:rPr>
          <w:bCs/>
          <w:rFonts w:ascii="Times New Roman" w:hAnsi="Times New Roman" w:cs="Times New Roman" w:eastAsia="Times New Roman"/>
          <w:b/>
          <w:color w:val="000000"/>
          <w:sz w:val="24"/>
        </w:rPr>
        <w:t xml:space="preserve">Effect of refitting.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Refitting on data through 2023 and evaluating on 2025 (Table 6) leaves the median nMAE of G-IN essentially unchanged (4.67% frozen, 4.67% refit), and of local models from 4.80% to 4.78%. The median per-BA relative change is 0.1% for G-IN (Holm</w:t>
      </w:r>
      <w:r>
        <w:rPr>
          <w:rFonts w:ascii="Times New Roman" w:hAnsi="Times New Roman" w:cs="Times New Roman" w:eastAsia="Times New Roman"/>
          <w:color w:val="000000"/>
          <w:sz w:val="24"/>
        </w:rPr>
        <w:t xml:space="preserve"> </w:t>
      </w:r>
      <m:oMath>
        <m:r>
          <m:t>p</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 0.87) and -0.9% for local models (Holm</w:t>
      </w:r>
      <w:r>
        <w:rPr>
          <w:rFonts w:ascii="Times New Roman" w:hAnsi="Times New Roman" w:cs="Times New Roman" w:eastAsia="Times New Roman"/>
          <w:color w:val="000000"/>
          <w:sz w:val="24"/>
        </w:rPr>
        <w:t xml:space="preserve"> </w:t>
      </w:r>
      <m:oMath>
        <m:r>
          <m:t>p</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&lt; 0.0001). Refitting thus benefits local models, which gain a fifth year of their own data, but not the pooled model, which already has abundant data.</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5.</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Median nMAE (%) by evaluation year (frozen models trained on 2019–2022).</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783"/>
        <w:gridCol w:w="3916"/>
        <w:gridCol w:w="1827"/>
        <w:gridCol w:w="696"/>
        <w:gridCol w:w="696"/>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2023 (validation)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2024</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2025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1.11</w:t>
            </w:r>
          </w:p>
        </w:tc>
        <w:tc>
          <w:tcPr/>
          <w:p>
            <w:pPr>
              <w:pStyle w:val="Compact"/>
              <w:spacing w:line="240" w:lineRule="auto" w:before="20" w:after="20"/>
              <w:jc w:val="left"/>
            </w:pPr>
            <w:r>
              <w:rPr>
                <w:rFonts w:ascii="Times New Roman" w:hAnsi="Times New Roman" w:cs="Times New Roman" w:eastAsia="Times New Roman"/>
                <w:color w:val="000000"/>
                <w:sz w:val="18"/>
              </w:rPr>
              <w:t xml:space="preserve">1.12</w:t>
            </w:r>
          </w:p>
        </w:tc>
        <w:tc>
          <w:tcPr/>
          <w:p>
            <w:pPr>
              <w:pStyle w:val="Compact"/>
              <w:spacing w:line="240" w:lineRule="auto" w:before="20" w:after="20"/>
              <w:jc w:val="left"/>
            </w:pPr>
            <w:r>
              <w:rPr>
                <w:rFonts w:ascii="Times New Roman" w:hAnsi="Times New Roman" w:cs="Times New Roman" w:eastAsia="Times New Roman"/>
                <w:color w:val="000000"/>
                <w:sz w:val="18"/>
              </w:rPr>
              <w:t xml:space="preserve">1.19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w:t>
            </w:r>
          </w:p>
        </w:tc>
        <w:tc>
          <w:tcPr/>
          <w:p>
            <w:pPr>
              <w:pStyle w:val="Compact"/>
              <w:spacing w:line="240" w:lineRule="auto" w:before="20" w:after="20"/>
              <w:jc w:val="left"/>
            </w:pPr>
            <w:r>
              <w:rPr>
                <w:rFonts w:ascii="Times New Roman" w:hAnsi="Times New Roman" w:cs="Times New Roman" w:eastAsia="Times New Roman"/>
                <w:color w:val="000000"/>
                <w:sz w:val="18"/>
              </w:rPr>
              <w:t xml:space="preserve">1.16</w:t>
            </w:r>
          </w:p>
        </w:tc>
        <w:tc>
          <w:tcPr/>
          <w:p>
            <w:pPr>
              <w:pStyle w:val="Compact"/>
              <w:spacing w:line="240" w:lineRule="auto" w:before="20" w:after="20"/>
              <w:jc w:val="left"/>
            </w:pPr>
            <w:r>
              <w:rPr>
                <w:rFonts w:ascii="Times New Roman" w:hAnsi="Times New Roman" w:cs="Times New Roman" w:eastAsia="Times New Roman"/>
                <w:color w:val="000000"/>
                <w:sz w:val="18"/>
              </w:rPr>
              <w:t xml:space="preserve">1.22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1.22</w:t>
            </w:r>
          </w:p>
        </w:tc>
        <w:tc>
          <w:tcPr/>
          <w:p>
            <w:pPr>
              <w:pStyle w:val="Compact"/>
              <w:spacing w:line="240" w:lineRule="auto" w:before="20" w:after="20"/>
              <w:jc w:val="left"/>
            </w:pPr>
            <w:r>
              <w:rPr>
                <w:rFonts w:ascii="Times New Roman" w:hAnsi="Times New Roman" w:cs="Times New Roman" w:eastAsia="Times New Roman"/>
                <w:color w:val="000000"/>
                <w:sz w:val="18"/>
              </w:rPr>
              <w:t xml:space="preserve">1.26</w:t>
            </w:r>
          </w:p>
        </w:tc>
        <w:tc>
          <w:tcPr/>
          <w:p>
            <w:pPr>
              <w:pStyle w:val="Compact"/>
              <w:spacing w:line="240" w:lineRule="auto" w:before="20" w:after="20"/>
              <w:jc w:val="left"/>
            </w:pPr>
            <w:r>
              <w:rPr>
                <w:rFonts w:ascii="Times New Roman" w:hAnsi="Times New Roman" w:cs="Times New Roman" w:eastAsia="Times New Roman"/>
                <w:color w:val="000000"/>
                <w:sz w:val="18"/>
              </w:rPr>
              <w:t xml:space="preserv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5.34</w:t>
            </w:r>
          </w:p>
        </w:tc>
        <w:tc>
          <w:tcPr/>
          <w:p>
            <w:pPr>
              <w:pStyle w:val="Compact"/>
              <w:spacing w:line="240" w:lineRule="auto" w:before="20" w:after="20"/>
              <w:jc w:val="left"/>
            </w:pPr>
            <w:r>
              <w:rPr>
                <w:rFonts w:ascii="Times New Roman" w:hAnsi="Times New Roman" w:cs="Times New Roman" w:eastAsia="Times New Roman"/>
                <w:color w:val="000000"/>
                <w:sz w:val="18"/>
              </w:rPr>
              <w:t xml:space="preserve">5.16</w:t>
            </w:r>
          </w:p>
        </w:tc>
        <w:tc>
          <w:tcPr/>
          <w:p>
            <w:pPr>
              <w:pStyle w:val="Compact"/>
              <w:spacing w:line="240" w:lineRule="auto" w:before="20" w:after="20"/>
              <w:jc w:val="left"/>
            </w:pPr>
            <w:r>
              <w:rPr>
                <w:rFonts w:ascii="Times New Roman" w:hAnsi="Times New Roman" w:cs="Times New Roman" w:eastAsia="Times New Roman"/>
                <w:color w:val="000000"/>
                <w:sz w:val="18"/>
              </w:rPr>
              <w:t xml:space="preserve">5.56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3.44</w:t>
            </w:r>
          </w:p>
        </w:tc>
        <w:tc>
          <w:tcPr/>
          <w:p>
            <w:pPr>
              <w:pStyle w:val="Compact"/>
              <w:spacing w:line="240" w:lineRule="auto" w:before="20" w:after="20"/>
              <w:jc w:val="left"/>
            </w:pPr>
            <w:r>
              <w:rPr>
                <w:rFonts w:ascii="Times New Roman" w:hAnsi="Times New Roman" w:cs="Times New Roman" w:eastAsia="Times New Roman"/>
                <w:color w:val="000000"/>
                <w:sz w:val="18"/>
              </w:rPr>
              <w:t xml:space="preserve">3.49</w:t>
            </w:r>
          </w:p>
        </w:tc>
        <w:tc>
          <w:tcPr/>
          <w:p>
            <w:pPr>
              <w:pStyle w:val="Compact"/>
              <w:spacing w:line="240" w:lineRule="auto" w:before="20" w:after="20"/>
              <w:jc w:val="left"/>
            </w:pPr>
            <w:r>
              <w:rPr>
                <w:rFonts w:ascii="Times New Roman" w:hAnsi="Times New Roman" w:cs="Times New Roman" w:eastAsia="Times New Roman"/>
                <w:color w:val="000000"/>
                <w:sz w:val="18"/>
              </w:rPr>
              <w:t xml:space="preserve">3.53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3.65</w:t>
            </w:r>
          </w:p>
        </w:tc>
        <w:tc>
          <w:tcPr/>
          <w:p>
            <w:pPr>
              <w:pStyle w:val="Compact"/>
              <w:spacing w:line="240" w:lineRule="auto" w:before="20" w:after="20"/>
              <w:jc w:val="left"/>
            </w:pPr>
            <w:r>
              <w:rPr>
                <w:rFonts w:ascii="Times New Roman" w:hAnsi="Times New Roman" w:cs="Times New Roman" w:eastAsia="Times New Roman"/>
                <w:color w:val="000000"/>
                <w:sz w:val="18"/>
              </w:rPr>
              <w:t xml:space="preserve">3.64</w:t>
            </w:r>
          </w:p>
        </w:tc>
        <w:tc>
          <w:tcPr/>
          <w:p>
            <w:pPr>
              <w:pStyle w:val="Compact"/>
              <w:spacing w:line="240" w:lineRule="auto" w:before="20" w:after="20"/>
              <w:jc w:val="left"/>
            </w:pPr>
            <w:r>
              <w:rPr>
                <w:rFonts w:ascii="Times New Roman" w:hAnsi="Times New Roman" w:cs="Times New Roman" w:eastAsia="Times New Roman"/>
                <w:color w:val="000000"/>
                <w:sz w:val="18"/>
              </w:rPr>
              <w:t xml:space="preserve">3.64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3.57</w:t>
            </w:r>
          </w:p>
        </w:tc>
        <w:tc>
          <w:tcPr/>
          <w:p>
            <w:pPr>
              <w:pStyle w:val="Compact"/>
              <w:spacing w:line="240" w:lineRule="auto" w:before="20" w:after="20"/>
              <w:jc w:val="left"/>
            </w:pPr>
            <w:r>
              <w:rPr>
                <w:rFonts w:ascii="Times New Roman" w:hAnsi="Times New Roman" w:cs="Times New Roman" w:eastAsia="Times New Roman"/>
                <w:color w:val="000000"/>
                <w:sz w:val="18"/>
              </w:rPr>
              <w:t xml:space="preserve">3.69</w:t>
            </w:r>
          </w:p>
        </w:tc>
        <w:tc>
          <w:tcPr/>
          <w:p>
            <w:pPr>
              <w:pStyle w:val="Compact"/>
              <w:spacing w:line="240" w:lineRule="auto" w:before="20" w:after="20"/>
              <w:jc w:val="left"/>
            </w:pPr>
            <w:r>
              <w:rPr>
                <w:rFonts w:ascii="Times New Roman" w:hAnsi="Times New Roman" w:cs="Times New Roman" w:eastAsia="Times New Roman"/>
                <w:color w:val="000000"/>
                <w:sz w:val="18"/>
              </w:rPr>
              <w:t xml:space="preserve">3.8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5.34</w:t>
            </w:r>
          </w:p>
        </w:tc>
        <w:tc>
          <w:tcPr/>
          <w:p>
            <w:pPr>
              <w:pStyle w:val="Compact"/>
              <w:spacing w:line="240" w:lineRule="auto" w:before="20" w:after="20"/>
              <w:jc w:val="left"/>
            </w:pPr>
            <w:r>
              <w:rPr>
                <w:rFonts w:ascii="Times New Roman" w:hAnsi="Times New Roman" w:cs="Times New Roman" w:eastAsia="Times New Roman"/>
                <w:color w:val="000000"/>
                <w:sz w:val="18"/>
              </w:rPr>
              <w:t xml:space="preserve">5.16</w:t>
            </w:r>
          </w:p>
        </w:tc>
        <w:tc>
          <w:tcPr/>
          <w:p>
            <w:pPr>
              <w:pStyle w:val="Compact"/>
              <w:spacing w:line="240" w:lineRule="auto" w:before="20" w:after="20"/>
              <w:jc w:val="left"/>
            </w:pPr>
            <w:r>
              <w:rPr>
                <w:rFonts w:ascii="Times New Roman" w:hAnsi="Times New Roman" w:cs="Times New Roman" w:eastAsia="Times New Roman"/>
                <w:color w:val="000000"/>
                <w:sz w:val="18"/>
              </w:rPr>
              <w:t xml:space="preserve">5.56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w:t>
            </w:r>
          </w:p>
        </w:tc>
        <w:tc>
          <w:tcPr/>
          <w:p>
            <w:pPr>
              <w:pStyle w:val="Compact"/>
              <w:spacing w:line="240" w:lineRule="auto" w:before="20" w:after="20"/>
              <w:jc w:val="left"/>
            </w:pPr>
            <w:r>
              <w:rPr>
                <w:rFonts w:ascii="Times New Roman" w:hAnsi="Times New Roman" w:cs="Times New Roman" w:eastAsia="Times New Roman"/>
                <w:color w:val="000000"/>
                <w:sz w:val="18"/>
              </w:rPr>
              <w:t xml:space="preserve">4.54</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4.56</w:t>
            </w:r>
          </w:p>
        </w:tc>
        <w:tc>
          <w:tcPr/>
          <w:p>
            <w:pPr>
              <w:pStyle w:val="Compact"/>
              <w:spacing w:line="240" w:lineRule="auto" w:before="20" w:after="20"/>
              <w:jc w:val="left"/>
            </w:pPr>
            <w:r>
              <w:rPr>
                <w:rFonts w:ascii="Times New Roman" w:hAnsi="Times New Roman" w:cs="Times New Roman" w:eastAsia="Times New Roman"/>
                <w:color w:val="000000"/>
                <w:sz w:val="18"/>
              </w:rPr>
              <w:t xml:space="preserve">4.72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LightGBM,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4.56</w:t>
            </w:r>
          </w:p>
        </w:tc>
        <w:tc>
          <w:tcPr/>
          <w:p>
            <w:pPr>
              <w:pStyle w:val="Compact"/>
              <w:spacing w:line="240" w:lineRule="auto" w:before="20" w:after="20"/>
              <w:jc w:val="left"/>
            </w:pPr>
            <w:r>
              <w:rPr>
                <w:rFonts w:ascii="Times New Roman" w:hAnsi="Times New Roman" w:cs="Times New Roman" w:eastAsia="Times New Roman"/>
                <w:color w:val="000000"/>
                <w:sz w:val="18"/>
              </w:rPr>
              <w:t xml:space="preserve">4.49</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Seasonal naive (24 h)</w:t>
            </w:r>
          </w:p>
        </w:tc>
        <w:tc>
          <w:tcPr/>
          <w:p>
            <w:pPr>
              <w:pStyle w:val="Compact"/>
              <w:spacing w:line="240" w:lineRule="auto" w:before="20" w:after="20"/>
              <w:jc w:val="left"/>
            </w:pPr>
            <w:r>
              <w:rPr>
                <w:rFonts w:ascii="Times New Roman" w:hAnsi="Times New Roman" w:cs="Times New Roman" w:eastAsia="Times New Roman"/>
                <w:color w:val="000000"/>
                <w:sz w:val="18"/>
              </w:rPr>
              <w:t xml:space="preserve">5.34</w:t>
            </w:r>
          </w:p>
        </w:tc>
        <w:tc>
          <w:tcPr/>
          <w:p>
            <w:pPr>
              <w:pStyle w:val="Compact"/>
              <w:spacing w:line="240" w:lineRule="auto" w:before="20" w:after="20"/>
              <w:jc w:val="left"/>
            </w:pPr>
            <w:r>
              <w:rPr>
                <w:rFonts w:ascii="Times New Roman" w:hAnsi="Times New Roman" w:cs="Times New Roman" w:eastAsia="Times New Roman"/>
                <w:color w:val="000000"/>
                <w:sz w:val="18"/>
              </w:rPr>
              <w:t xml:space="preserve">5.16</w:t>
            </w:r>
          </w:p>
        </w:tc>
        <w:tc>
          <w:tcPr/>
          <w:p>
            <w:pPr>
              <w:pStyle w:val="Compact"/>
              <w:spacing w:line="240" w:lineRule="auto" w:before="20" w:after="20"/>
              <w:jc w:val="left"/>
            </w:pPr>
            <w:r>
              <w:rPr>
                <w:rFonts w:ascii="Times New Roman" w:hAnsi="Times New Roman" w:cs="Times New Roman" w:eastAsia="Times New Roman"/>
                <w:color w:val="000000"/>
                <w:sz w:val="18"/>
              </w:rPr>
              <w:t xml:space="preserve">5.56</w:t>
            </w:r>
          </w:p>
        </w:tc>
      </w:tr>
    </w:tbl>
    <w:p>
      <w:pPr>
        <w:pStyle w:val="TableCaption"/>
        <w:keepNext/>
        <w:spacing w:line="240" w:lineRule="auto" w:after="80"/>
        <w:jc w:val="both"/>
      </w:pPr>
      <w:r>
        <w:rPr>
          <w:bCs/>
          <w:rFonts w:ascii="Times New Roman" w:hAnsi="Times New Roman" w:cs="Times New Roman" w:eastAsia="Times New Roman"/>
          <w:b/>
          <w:color w:val="000000"/>
          <w:sz w:val="20"/>
        </w:rPr>
        <w:t xml:space="preserve">Table 6.</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Frozen vs. refit (rolling origin) models on 2025: median nMAE (%).</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653"/>
        <w:gridCol w:w="1889"/>
        <w:gridCol w:w="1816"/>
        <w:gridCol w:w="1816"/>
        <w:gridCol w:w="1743"/>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Global frozen (2025)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Global refit (2025)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Local frozen (2025)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Local refit (2025) %</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1.19</w:t>
            </w:r>
          </w:p>
        </w:tc>
        <w:tc>
          <w:tcPr/>
          <w:p>
            <w:pPr>
              <w:pStyle w:val="Compact"/>
              <w:spacing w:line="240" w:lineRule="auto" w:before="20" w:after="20"/>
              <w:jc w:val="left"/>
            </w:pPr>
            <w:r>
              <w:rPr>
                <w:rFonts w:ascii="Times New Roman" w:hAnsi="Times New Roman" w:cs="Times New Roman" w:eastAsia="Times New Roman"/>
                <w:color w:val="000000"/>
                <w:sz w:val="18"/>
              </w:rPr>
              <w:t xml:space="preserve">1.2</w:t>
            </w:r>
          </w:p>
        </w:tc>
        <w:tc>
          <w:tcPr/>
          <w:p>
            <w:pPr>
              <w:pStyle w:val="Compact"/>
              <w:spacing w:line="240" w:lineRule="auto" w:before="20" w:after="20"/>
              <w:jc w:val="left"/>
            </w:pPr>
            <w:r>
              <w:rPr>
                <w:rFonts w:ascii="Times New Roman" w:hAnsi="Times New Roman" w:cs="Times New Roman" w:eastAsia="Times New Roman"/>
                <w:color w:val="000000"/>
                <w:sz w:val="18"/>
              </w:rPr>
              <w:t xml:space="preserve">1.3</w:t>
            </w:r>
          </w:p>
        </w:tc>
        <w:tc>
          <w:tcPr/>
          <w:p>
            <w:pPr>
              <w:pStyle w:val="Compact"/>
              <w:spacing w:line="240" w:lineRule="auto" w:before="20" w:after="20"/>
              <w:jc w:val="left"/>
            </w:pPr>
            <w:r>
              <w:rPr>
                <w:rFonts w:ascii="Times New Roman" w:hAnsi="Times New Roman" w:cs="Times New Roman" w:eastAsia="Times New Roman"/>
                <w:color w:val="000000"/>
                <w:sz w:val="18"/>
              </w:rPr>
              <w:t xml:space="preserve">1.26</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6</w:t>
            </w:r>
          </w:p>
        </w:tc>
        <w:tc>
          <w:tcPr/>
          <w:p>
            <w:pPr>
              <w:pStyle w:val="Compact"/>
              <w:spacing w:line="240" w:lineRule="auto" w:before="20" w:after="20"/>
              <w:jc w:val="left"/>
            </w:pPr>
            <w:r>
              <w:rPr>
                <w:rFonts w:ascii="Times New Roman" w:hAnsi="Times New Roman" w:cs="Times New Roman" w:eastAsia="Times New Roman"/>
                <w:color w:val="000000"/>
                <w:sz w:val="18"/>
              </w:rPr>
              <w:t xml:space="preserve">3.53</w:t>
            </w:r>
          </w:p>
        </w:tc>
        <w:tc>
          <w:tcPr/>
          <w:p>
            <w:pPr>
              <w:pStyle w:val="Compact"/>
              <w:spacing w:line="240" w:lineRule="auto" w:before="20" w:after="20"/>
              <w:jc w:val="left"/>
            </w:pPr>
            <w:r>
              <w:rPr>
                <w:rFonts w:ascii="Times New Roman" w:hAnsi="Times New Roman" w:cs="Times New Roman" w:eastAsia="Times New Roman"/>
                <w:color w:val="000000"/>
                <w:sz w:val="18"/>
              </w:rPr>
              <w:t xml:space="preserve">3.49</w:t>
            </w:r>
          </w:p>
        </w:tc>
        <w:tc>
          <w:tcPr/>
          <w:p>
            <w:pPr>
              <w:pStyle w:val="Compact"/>
              <w:spacing w:line="240" w:lineRule="auto" w:before="20" w:after="20"/>
              <w:jc w:val="left"/>
            </w:pPr>
            <w:r>
              <w:rPr>
                <w:rFonts w:ascii="Times New Roman" w:hAnsi="Times New Roman" w:cs="Times New Roman" w:eastAsia="Times New Roman"/>
                <w:color w:val="000000"/>
                <w:sz w:val="18"/>
              </w:rPr>
              <w:t xml:space="preserve">3.8</w:t>
            </w:r>
          </w:p>
        </w:tc>
        <w:tc>
          <w:tcPr/>
          <w:p>
            <w:pPr>
              <w:pStyle w:val="Compact"/>
              <w:spacing w:line="240" w:lineRule="auto" w:before="20" w:after="20"/>
              <w:jc w:val="left"/>
            </w:pPr>
            <w:r>
              <w:rPr>
                <w:rFonts w:ascii="Times New Roman" w:hAnsi="Times New Roman" w:cs="Times New Roman" w:eastAsia="Times New Roman"/>
                <w:color w:val="000000"/>
                <w:sz w:val="18"/>
              </w:rPr>
              <w:t xml:space="preserve">3.71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4.67</w:t>
            </w:r>
          </w:p>
        </w:tc>
        <w:tc>
          <w:tcPr/>
          <w:p>
            <w:pPr>
              <w:pStyle w:val="Compact"/>
              <w:spacing w:line="240" w:lineRule="auto" w:before="20" w:after="20"/>
              <w:jc w:val="left"/>
            </w:pPr>
            <w:r>
              <w:rPr>
                <w:rFonts w:ascii="Times New Roman" w:hAnsi="Times New Roman" w:cs="Times New Roman" w:eastAsia="Times New Roman"/>
                <w:color w:val="000000"/>
                <w:sz w:val="18"/>
              </w:rPr>
              <w:t xml:space="preserve">4.8</w:t>
            </w:r>
          </w:p>
        </w:tc>
        <w:tc>
          <w:tcPr/>
          <w:p>
            <w:pPr>
              <w:pStyle w:val="Compact"/>
              <w:spacing w:line="240" w:lineRule="auto" w:before="20" w:after="20"/>
              <w:jc w:val="left"/>
            </w:pPr>
            <w:r>
              <w:rPr>
                <w:rFonts w:ascii="Times New Roman" w:hAnsi="Times New Roman" w:cs="Times New Roman" w:eastAsia="Times New Roman"/>
                <w:color w:val="000000"/>
                <w:sz w:val="18"/>
              </w:rPr>
              <w:t xml:space="preserve">4.78</w:t>
            </w:r>
          </w:p>
        </w:tc>
      </w:tr>
    </w:tbl>
    <w:p>
      <w:pPr>
        <w:pStyle w:val="BodyText"/>
        <w:keepNext/>
        <w:spacing w:line="240" w:lineRule="auto"/>
        <w:jc w:val="center"/>
      </w:pPr>
      <w:r>
        <w:drawing>
          <wp:inline>
            <wp:extent cx="5334000" cy="1988552"/>
            <wp:effectExtent b="0" l="0" r="0" t="0"/>
            <wp:docPr descr="" title="" id="59" name="Picture"/>
            <a:graphic>
              <a:graphicData uri="http://schemas.openxmlformats.org/drawingml/2006/picture">
                <pic:pic>
                  <pic:nvPicPr>
                    <pic:cNvPr descr="/home/user/cross-regional-electricity-forecasting/cross_regional_electricity_forecasting/figures/fig08_temporal_shift.png" id="60" name="Picture"/>
                    <pic:cNvPicPr>
                      <a:picLocks noChangeArrowheads="1" noChangeAspect="1"/>
                    </pic:cNvPicPr>
                  </pic:nvPicPr>
                  <pic:blipFill>
                    <a:blip r:embed="rId58"/>
                    <a:stretch>
                      <a:fillRect/>
                    </a:stretch>
                  </pic:blipFill>
                  <pic:spPr bwMode="auto">
                    <a:xfrm>
                      <a:off x="0" y="0"/>
                      <a:ext cx="5334000" cy="1988552"/>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8.</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Temporal distribution shift: (a) median nMAE by year for models trained on 2019–2022; (b) by season (test period); (c) frozen vs refit models on 2025.</w:t>
      </w:r>
    </w:p>
    <w:bookmarkEnd w:id="61"/>
    <w:bookmarkStart w:id="68" w:name="X8ae18587cefe731e690583fd49f44d50085e622"/>
    <w:p>
      <w:pPr>
        <w:pStyle w:val="Heading2"/>
        <w:keepNext/>
        <w:spacing w:before="240" w:after="120"/>
      </w:pPr>
      <w:r>
        <w:rPr>
          <w:rStyle w:val="SectionNumber"/>
          <w:rFonts w:ascii="Times New Roman" w:hAnsi="Times New Roman" w:cs="Times New Roman" w:eastAsia="Times New Roman"/>
          <w:b/>
          <w:color w:val="000000"/>
          <w:sz w:val="24"/>
        </w:rPr>
        <w:t xml:space="preserve">9.4</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Interval calibration under geographic and temporal shift (RQ3)</w:t>
      </w:r>
    </w:p>
    <w:p>
      <w:pPr>
        <w:pStyle w:val="FirstParagraph"/>
        <w:spacing w:line="360" w:lineRule="auto" w:after="120"/>
        <w:jc w:val="both"/>
      </w:pPr>
      <w:r>
        <w:rPr>
          <w:rFonts w:ascii="Times New Roman" w:hAnsi="Times New Roman" w:cs="Times New Roman" w:eastAsia="Times New Roman"/>
          <w:color w:val="000000"/>
          <w:sz w:val="24"/>
        </w:rPr>
        <w:t xml:space="preserve">Table 7 and Fig. 9 report interval calibration.</w:t>
      </w:r>
    </w:p>
    <w:p>
      <w:pPr>
        <w:pStyle w:val="BodyText"/>
        <w:spacing w:line="360" w:lineRule="auto" w:after="120"/>
        <w:jc w:val="both"/>
      </w:pPr>
      <w:r>
        <w:rPr>
          <w:bCs/>
          <w:rFonts w:ascii="Times New Roman" w:hAnsi="Times New Roman" w:cs="Times New Roman" w:eastAsia="Times New Roman"/>
          <w:b/>
          <w:color w:val="000000"/>
          <w:sz w:val="24"/>
        </w:rPr>
        <w:t xml:space="preserve">Calibration fails BA by BA, not on average.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static methods are close to nominal</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on average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but not</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per BA</w:t>
      </w:r>
      <w:r>
        <w:rPr>
          <w:rFonts w:ascii="Times New Roman" w:hAnsi="Times New Roman" w:cs="Times New Roman" w:eastAsia="Times New Roman"/>
          <w:color w:val="000000"/>
          <w:sz w:val="24"/>
        </w:rPr>
        <w:t xml:space="preserve">.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and nominal 90%, CQR calibrated on source BAs achieves a mean coverage of 89.2% for unseen BAs, yet coverage ranges down to 78.6%. In 20.8% of BAs it is more than 5 percentage points below nominal. Raw quantile regression under-covers more (mean 87.3%), and symmetric SCP has the widest spread across BAs (minimum 71.4%).</w:t>
      </w:r>
    </w:p>
    <w:p>
      <w:pPr>
        <w:pStyle w:val="BodyText"/>
        <w:spacing w:line="360" w:lineRule="auto" w:after="120"/>
        <w:jc w:val="both"/>
      </w:pPr>
      <w:r>
        <w:rPr>
          <w:bCs/>
          <w:rFonts w:ascii="Times New Roman" w:hAnsi="Times New Roman" w:cs="Times New Roman" w:eastAsia="Times New Roman"/>
          <w:b/>
          <w:color w:val="000000"/>
          <w:sz w:val="24"/>
        </w:rPr>
        <w:t xml:space="preserve">Geographic shift matters little for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Unseen-region intervals behave almost identically to in-region ones: in-region CQR reaches a mean of 89.2% and under-covers in 18.8% of BAs. The binding problem is</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heterogeneity across BAs and over time</w:t>
      </w:r>
      <w:r>
        <w:rPr>
          <w:rFonts w:ascii="Times New Roman" w:hAnsi="Times New Roman" w:cs="Times New Roman" w:eastAsia="Times New Roman"/>
          <w:color w:val="000000"/>
          <w:sz w:val="24"/>
        </w:rPr>
        <w:t xml:space="preserve">, not the absence of the BA from training.</w:t>
      </w:r>
    </w:p>
    <w:p>
      <w:pPr>
        <w:pStyle w:val="BodyText"/>
        <w:spacing w:line="360" w:lineRule="auto" w:after="120"/>
        <w:jc w:val="both"/>
      </w:pPr>
      <w:r>
        <w:rPr>
          <w:bCs/>
          <w:rFonts w:ascii="Times New Roman" w:hAnsi="Times New Roman" w:cs="Times New Roman" w:eastAsia="Times New Roman"/>
          <w:b/>
          <w:color w:val="000000"/>
          <w:sz w:val="24"/>
        </w:rPr>
        <w:t xml:space="preserve">Target calibration from recent weeks fails.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Calibrating on the target BA’s own last four weeks (SCP-T4)</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reduces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mean coverage to 85.3%. Four December weeks are not exchangeable with the following two years.</w:t>
      </w:r>
    </w:p>
    <w:p>
      <w:pPr>
        <w:pStyle w:val="BodyText"/>
        <w:spacing w:line="360" w:lineRule="auto" w:after="120"/>
        <w:jc w:val="both"/>
      </w:pPr>
      <w:r>
        <w:rPr>
          <w:bCs/>
          <w:rFonts w:ascii="Times New Roman" w:hAnsi="Times New Roman" w:cs="Times New Roman" w:eastAsia="Times New Roman"/>
          <w:b/>
          <w:color w:val="000000"/>
          <w:sz w:val="24"/>
        </w:rPr>
        <w:t xml:space="preserve">Temporal drift lowers coverage.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Static coverage declines from 2024 to 2025: CQR falls from 89.5% to 88.8% (Fig. 9c).</w:t>
      </w:r>
    </w:p>
    <w:p>
      <w:pPr>
        <w:pStyle w:val="BodyText"/>
        <w:spacing w:line="360" w:lineRule="auto" w:after="120"/>
        <w:jc w:val="both"/>
      </w:pPr>
      <w:r>
        <w:rPr>
          <w:bCs/>
          <w:rFonts w:ascii="Times New Roman" w:hAnsi="Times New Roman" w:cs="Times New Roman" w:eastAsia="Times New Roman"/>
          <w:b/>
          <w:color w:val="000000"/>
          <w:sz w:val="24"/>
        </w:rPr>
        <w:t xml:space="preserve">Online recalibration: what ACI does and does not show.</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ACI is guaranteed by construction to reach the nominal long-run coverage for each stream, so per-BA coverage close to 90% is expected rather than an empirical finding. The empirical questions are how sharp the resulting intervals are, how they behave conditionally, and how the step size should be chosen without test data.</w:t>
      </w:r>
    </w:p>
    <w:p>
      <w:pPr>
        <w:pStyle w:val="BodyText"/>
        <w:spacing w:line="360" w:lineRule="auto" w:after="120"/>
        <w:jc w:val="both"/>
      </w:pPr>
      <w:r>
        <w:rPr>
          <w:bCs/>
          <w:rFonts w:ascii="Times New Roman" w:hAnsi="Times New Roman" w:cs="Times New Roman" w:eastAsia="Times New Roman"/>
          <w:b/>
          <w:color w:val="000000"/>
          <w:sz w:val="24"/>
        </w:rPr>
        <w:t xml:space="preserve">The frozen-protocol step size is too large.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the frozen-protocol step size</w:t>
      </w:r>
      <w:r>
        <w:rPr>
          <w:rFonts w:ascii="Times New Roman" w:hAnsi="Times New Roman" w:cs="Times New Roman" w:eastAsia="Times New Roman"/>
          <w:color w:val="000000"/>
          <w:sz w:val="24"/>
        </w:rPr>
        <w:t xml:space="preserve"> </w:t>
      </w:r>
      <m:oMath>
        <m:r>
          <m:t>γ</m:t>
        </m:r>
        <m:r>
          <m:rPr>
            <m:sty m:val="p"/>
          </m:rPr>
          <m:t>=</m:t>
        </m:r>
        <m:r>
          <m:t>0.005</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24-h feedback delay, the threshold had to be capped at the largest score seen in a mean of 4.4% of hours. The median interval score rose to 88.55% of mean load, against 28.15% for CQR.</w:t>
      </w:r>
    </w:p>
    <w:p>
      <w:pPr>
        <w:pStyle w:val="BodyText"/>
        <w:spacing w:line="360" w:lineRule="auto" w:after="120"/>
        <w:jc w:val="both"/>
      </w:pPr>
      <w:r>
        <w:rPr>
          <w:bCs/>
          <w:rFonts w:ascii="Times New Roman" w:hAnsi="Times New Roman" w:cs="Times New Roman" w:eastAsia="Times New Roman"/>
          <w:b/>
          <w:color w:val="000000"/>
          <w:sz w:val="24"/>
        </w:rPr>
        <w:t xml:space="preserve">Step size chosen on source BAs only (ACI-CQR-S).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After the internal review we selected</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separately for each fold from</w:t>
      </w:r>
      <w:r>
        <w:rPr>
          <w:rFonts w:ascii="Times New Roman" w:hAnsi="Times New Roman" w:cs="Times New Roman" w:eastAsia="Times New Roman"/>
          <w:color w:val="000000"/>
          <w:sz w:val="24"/>
        </w:rPr>
        <w:t xml:space="preserve"> </w:t>
      </w:r>
      <m:oMath>
        <m:r>
          <m:rPr>
            <m:sty m:val="p"/>
          </m:rPr>
          <m:t>{</m:t>
        </m:r>
        <m:r>
          <m:t>0</m:t>
        </m:r>
        <m:r>
          <m:rPr>
            <m:sty m:val="p"/>
          </m:rPr>
          <m:t>,</m:t>
        </m:r>
        <m:r>
          <m:t>0.0005</m:t>
        </m:r>
        <m:r>
          <m:rPr>
            <m:sty m:val="p"/>
          </m:rPr>
          <m:t>,</m:t>
        </m:r>
        <m:r>
          <m:t>0.001</m:t>
        </m:r>
        <m:r>
          <m:rPr>
            <m:sty m:val="p"/>
          </m:rPr>
          <m:t>,</m:t>
        </m:r>
        <m:r>
          <m:t>0.002</m:t>
        </m:r>
        <m:r>
          <m:rPr>
            <m:sty m:val="p"/>
          </m:rPr>
          <m:t>,</m:t>
        </m:r>
        <m:r>
          <m:t>0.005</m:t>
        </m:r>
        <m:r>
          <m:rPr>
            <m:sty m:val="p"/>
          </m:rPr>
          <m:t>,</m:t>
        </m:r>
        <m:r>
          <m:t>0.01</m:t>
        </m:r>
        <m:r>
          <m:rPr>
            <m:sty m:val="p"/>
          </m:rPr>
          <m:t>}</m:t>
        </m:r>
      </m:oMath>
      <w:r>
        <w:rPr>
          <w:rFonts w:ascii="Times New Roman" w:hAnsi="Times New Roman" w:cs="Times New Roman" w:eastAsia="Times New Roman"/>
          <w:color w:val="000000"/>
          <w:sz w:val="24"/>
        </w:rPr>
        <w:t xml:space="preserve">, using only the source BAs’ calibration weeks. The selected values were 0.0005 at 24 h and 0.002, 0.005 at 1 h (Table 8).</w:t>
      </w:r>
    </w:p>
    <w:p>
      <w:pPr>
        <w:numPr>
          <w:ilvl w:val="0"/>
          <w:numId w:val="1018"/>
        </w:numPr>
        <w:pStyle w:val="Compact"/>
        <w:spacing w:line="360" w:lineRule="auto" w:after="120"/>
        <w:jc w:val="both"/>
      </w:pPr>
      <w:r>
        <w:rPr>
          <w:iCs/>
          <w:rFonts w:ascii="Times New Roman" w:hAnsi="Times New Roman" w:cs="Times New Roman" w:eastAsia="Times New Roman"/>
          <w:i/>
          <w:color w:val="000000"/>
          <w:sz w:val="24"/>
        </w:rPr>
        <w:t xml:space="preserve">Coverage.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ACI-CQR-S keeps mean coverage at 89.9% with a minimum of 88.9% across BAs at 24 h.</w:t>
      </w:r>
    </w:p>
    <w:p>
      <w:pPr>
        <w:numPr>
          <w:ilvl w:val="0"/>
          <w:numId w:val="1018"/>
        </w:numPr>
        <w:pStyle w:val="Compact"/>
        <w:spacing w:line="360" w:lineRule="auto" w:after="120"/>
        <w:jc w:val="both"/>
      </w:pPr>
      <w:r>
        <w:rPr>
          <w:iCs/>
          <w:rFonts w:ascii="Times New Roman" w:hAnsi="Times New Roman" w:cs="Times New Roman" w:eastAsia="Times New Roman"/>
          <w:i/>
          <w:color w:val="000000"/>
          <w:sz w:val="24"/>
        </w:rPr>
        <w:t xml:space="preserve">Sharpness.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Its median interval score (28.18%) is close to that of static CQR (28.15%), and its median hourly width is 17.81% of mean load.</w:t>
      </w:r>
    </w:p>
    <w:p>
      <w:pPr>
        <w:numPr>
          <w:ilvl w:val="0"/>
          <w:numId w:val="1018"/>
        </w:numPr>
        <w:pStyle w:val="Compact"/>
        <w:spacing w:line="360" w:lineRule="auto" w:after="120"/>
        <w:jc w:val="both"/>
      </w:pPr>
      <w:r>
        <w:rPr>
          <w:iCs/>
          <w:rFonts w:ascii="Times New Roman" w:hAnsi="Times New Roman" w:cs="Times New Roman" w:eastAsia="Times New Roman"/>
          <w:i/>
          <w:color w:val="000000"/>
          <w:sz w:val="24"/>
        </w:rPr>
        <w:t xml:space="preserve">Hour-ahead.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1 h, ACI-CQR-S reaches a minimum coverage of 89.8% and a median interval score of 7.40%, against 7.21% for CQR.</w:t>
      </w:r>
    </w:p>
    <w:p>
      <w:pPr>
        <w:pStyle w:val="FirstParagraph"/>
        <w:spacing w:line="360" w:lineRule="auto" w:after="120"/>
        <w:jc w:val="both"/>
      </w:pPr>
      <w:r>
        <w:rPr>
          <w:bCs/>
          <w:rFonts w:ascii="Times New Roman" w:hAnsi="Times New Roman" w:cs="Times New Roman" w:eastAsia="Times New Roman"/>
          <w:b/>
          <w:color w:val="000000"/>
          <w:sz w:val="24"/>
        </w:rPr>
        <w:t xml:space="preserve">The adaptive update is what helps.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w:t>
      </w:r>
      <w:r>
        <w:rPr>
          <w:rFonts w:ascii="Times New Roman" w:hAnsi="Times New Roman" w:cs="Times New Roman" w:eastAsia="Times New Roman"/>
          <w:color w:val="000000"/>
          <w:sz w:val="24"/>
        </w:rPr>
        <w:t xml:space="preserve"> </w:t>
      </w:r>
      <m:oMath>
        <m:r>
          <m:t>γ</m:t>
        </m:r>
        <m:r>
          <m:rPr>
            <m:sty m:val="p"/>
          </m:rPr>
          <m:t>=</m:t>
        </m:r>
        <m:r>
          <m:t>0</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control, which keeps adding observed target scores to the calibration pool without adapting</w:t>
      </w:r>
      <w:r>
        <w:rPr>
          <w:rFonts w:ascii="Times New Roman" w:hAnsi="Times New Roman" w:cs="Times New Roman" w:eastAsia="Times New Roman"/>
          <w:color w:val="000000"/>
          <w:sz w:val="24"/>
        </w:rPr>
        <w:t xml:space="preserve"> </w:t>
      </w:r>
      <m:oMath>
        <m:sSub>
          <m:e>
            <m:r>
              <m:t>α</m:t>
            </m:r>
          </m:e>
          <m:sub>
            <m:r>
              <m:t>t</m:t>
            </m:r>
          </m:sub>
        </m:sSub>
      </m:oMath>
      <w:r>
        <w:rPr>
          <w:rFonts w:ascii="Times New Roman" w:hAnsi="Times New Roman" w:cs="Times New Roman" w:eastAsia="Times New Roman"/>
          <w:color w:val="000000"/>
          <w:sz w:val="24"/>
        </w:rPr>
        <w:t xml:space="preserve">, under-covers like static CQR: minimum 79.3%, with 20.8% of BAs more than 5 points below nominal. The benefit therefore comes from the adaptive update, not from pooling target scores. The variant whose</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was chosen on the held-out BAs’ own 2023 data (ACI-CQR-V; exploratory, see Section 15) gives similar results.</w:t>
      </w:r>
    </w:p>
    <w:p>
      <w:pPr>
        <w:pStyle w:val="BodyText"/>
        <w:spacing w:line="360" w:lineRule="auto" w:after="120"/>
        <w:jc w:val="both"/>
      </w:pPr>
      <w:r>
        <w:rPr>
          <w:bCs/>
          <w:rFonts w:ascii="Times New Roman" w:hAnsi="Times New Roman" w:cs="Times New Roman" w:eastAsia="Times New Roman"/>
          <w:b/>
          <w:color w:val="000000"/>
          <w:sz w:val="24"/>
        </w:rPr>
        <w:t xml:space="preserve">Rolling target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simple rolling alternative is split conformal prediction on each BA’s most recent four weeks of observed residuals (SCP-R4).</w:t>
      </w:r>
    </w:p>
    <w:p>
      <w:pPr>
        <w:numPr>
          <w:ilvl w:val="0"/>
          <w:numId w:val="1019"/>
        </w:numPr>
        <w:pStyle w:val="Compact"/>
        <w:spacing w:line="360" w:lineRule="auto" w:after="120"/>
        <w:jc w:val="both"/>
      </w:pPr>
      <w:r>
        <w:rPr>
          <w:iCs/>
          <w:rFonts w:ascii="Times New Roman" w:hAnsi="Times New Roman" w:cs="Times New Roman" w:eastAsia="Times New Roman"/>
          <w:i/>
          <w:color w:val="000000"/>
          <w:sz w:val="24"/>
        </w:rPr>
        <w:t xml:space="preserve">Day-ahead.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is also well calibrated per BA (mean 89.2%, minimum 88.4%), but less sharp: median interval score 31.65% against 28.18% for ACI-CQR-S.</w:t>
      </w:r>
    </w:p>
    <w:p>
      <w:pPr>
        <w:numPr>
          <w:ilvl w:val="0"/>
          <w:numId w:val="1019"/>
        </w:numPr>
        <w:pStyle w:val="Compact"/>
        <w:spacing w:line="360" w:lineRule="auto" w:after="120"/>
        <w:jc w:val="both"/>
      </w:pPr>
      <w:r>
        <w:rPr>
          <w:iCs/>
          <w:rFonts w:ascii="Times New Roman" w:hAnsi="Times New Roman" w:cs="Times New Roman" w:eastAsia="Times New Roman"/>
          <w:i/>
          <w:color w:val="000000"/>
          <w:sz w:val="24"/>
        </w:rPr>
        <w:t xml:space="preserve">Hour-ahead.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It is competitive (minimum coverage 89.5%; median interval score 7.31% against 7.40%).</w:t>
      </w:r>
    </w:p>
    <w:p>
      <w:pPr>
        <w:pStyle w:val="FirstParagraph"/>
        <w:spacing w:line="360" w:lineRule="auto" w:after="120"/>
        <w:jc w:val="both"/>
      </w:pPr>
      <w:r>
        <w:rPr>
          <w:rFonts w:ascii="Times New Roman" w:hAnsi="Times New Roman" w:cs="Times New Roman" w:eastAsia="Times New Roman"/>
          <w:color w:val="000000"/>
          <w:sz w:val="24"/>
        </w:rPr>
        <w:t xml:space="preserve">What matters is therefore online use of recent target feedback; the particular online scheme is secondary.</w:t>
      </w:r>
    </w:p>
    <w:p>
      <w:pPr>
        <w:pStyle w:val="BodyText"/>
        <w:spacing w:line="360" w:lineRule="auto" w:after="120"/>
        <w:jc w:val="both"/>
      </w:pPr>
      <w:r>
        <w:rPr>
          <w:bCs/>
          <w:rFonts w:ascii="Times New Roman" w:hAnsi="Times New Roman" w:cs="Times New Roman" w:eastAsia="Times New Roman"/>
          <w:b/>
          <w:color w:val="000000"/>
          <w:sz w:val="24"/>
        </w:rPr>
        <w:t xml:space="preserve">Spatially blocked folds.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Under spatial blocking (Section 11.3), static CQR covers 89.5% on average (minimum 78.9%) and ACI-CQR-S 89.9% (minimum 88.9%). The calibration conclusions are thus unchanged when whole regions are new.</w:t>
      </w:r>
    </w:p>
    <w:p>
      <w:pPr>
        <w:pStyle w:val="BodyText"/>
        <w:spacing w:line="360" w:lineRule="auto" w:after="120"/>
        <w:jc w:val="both"/>
      </w:pPr>
      <w:r>
        <w:rPr>
          <w:bCs/>
          <w:rFonts w:ascii="Times New Roman" w:hAnsi="Times New Roman" w:cs="Times New Roman" w:eastAsia="Times New Roman"/>
          <w:b/>
          <w:color w:val="000000"/>
          <w:sz w:val="24"/>
        </w:rPr>
        <w:t xml:space="preserve">Conditional coverage.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Marginal coverage hides conditional deviations (Supplementary Table S8).</w:t>
      </w:r>
    </w:p>
    <w:p>
      <w:pPr>
        <w:numPr>
          <w:ilvl w:val="0"/>
          <w:numId w:val="1020"/>
        </w:numPr>
        <w:pStyle w:val="Compact"/>
        <w:spacing w:line="360" w:lineRule="auto" w:after="120"/>
        <w:jc w:val="both"/>
      </w:pPr>
      <w:r>
        <w:rPr>
          <w:iCs/>
          <w:rFonts w:ascii="Times New Roman" w:hAnsi="Times New Roman" w:cs="Times New Roman" w:eastAsia="Times New Roman"/>
          <w:i/>
          <w:color w:val="000000"/>
          <w:sz w:val="24"/>
        </w:rPr>
        <w:t xml:space="preserve">Season.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ACI-CQR-S at 24 h, mean coverage across BAs is 88.3% in winter and 90.0% in summer.</w:t>
      </w:r>
    </w:p>
    <w:p>
      <w:pPr>
        <w:numPr>
          <w:ilvl w:val="0"/>
          <w:numId w:val="1020"/>
        </w:numPr>
        <w:pStyle w:val="Compact"/>
        <w:spacing w:line="360" w:lineRule="auto" w:after="120"/>
        <w:jc w:val="both"/>
      </w:pPr>
      <w:r>
        <w:rPr>
          <w:iCs/>
          <w:rFonts w:ascii="Times New Roman" w:hAnsi="Times New Roman" w:cs="Times New Roman" w:eastAsia="Times New Roman"/>
          <w:i/>
          <w:color w:val="000000"/>
          <w:sz w:val="24"/>
        </w:rPr>
        <w:t xml:space="preserve">Load level.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 the top load decile of each BA it is 87.9%, against 87.0% for CQR.</w:t>
      </w:r>
    </w:p>
    <w:p>
      <w:pPr>
        <w:numPr>
          <w:ilvl w:val="0"/>
          <w:numId w:val="1020"/>
        </w:numPr>
        <w:pStyle w:val="Compact"/>
        <w:spacing w:line="360" w:lineRule="auto" w:after="120"/>
        <w:jc w:val="both"/>
      </w:pPr>
      <w:r>
        <w:rPr>
          <w:iCs/>
          <w:rFonts w:ascii="Times New Roman" w:hAnsi="Times New Roman" w:cs="Times New Roman" w:eastAsia="Times New Roman"/>
          <w:i/>
          <w:color w:val="000000"/>
          <w:sz w:val="24"/>
        </w:rPr>
        <w:t xml:space="preserve">Daily peaks.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the daily peak hour, the observed load exceeds the upper 90% bound on 11.8% of days for CQR and 11.2% for ACI-CQR-S. A calibrated central 90% interval would be exceeded from above on 5% of hours, so peak-hour upper-tail risk is under-stated by roughly a factor of two. This matters for reserve sizing.</w:t>
      </w:r>
    </w:p>
    <w:p>
      <w:pPr>
        <w:pStyle w:val="FirstParagraph"/>
        <w:spacing w:line="360" w:lineRule="auto" w:after="120"/>
        <w:jc w:val="both"/>
      </w:pPr>
      <w:r>
        <w:rPr>
          <w:bCs/>
          <w:rFonts w:ascii="Times New Roman" w:hAnsi="Times New Roman" w:cs="Times New Roman" w:eastAsia="Times New Roman"/>
          <w:b/>
          <w:color w:val="000000"/>
          <w:sz w:val="24"/>
        </w:rPr>
        <w:t xml:space="preserve">Peak-hour point accuracy.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daily-peak absolute percentage error of the zero-shot point forecast has a median across BAs of 4.76%, against 3.69% for the operators’ day-ahead forecasts.</w:t>
      </w:r>
    </w:p>
    <w:p>
      <w:pPr>
        <w:pStyle w:val="BodyText"/>
        <w:spacing w:line="360" w:lineRule="auto" w:after="120"/>
        <w:jc w:val="both"/>
      </w:pPr>
      <w:r>
        <w:rPr>
          <w:bCs/>
          <w:rFonts w:ascii="Times New Roman" w:hAnsi="Times New Roman" w:cs="Times New Roman" w:eastAsia="Times New Roman"/>
          <w:b/>
          <w:color w:val="000000"/>
          <w:sz w:val="24"/>
        </w:rPr>
        <w:t xml:space="preserve">Post-hoc sensitivity.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Supplementary Table S2 gives the test-set sensitivity of ACI to</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It was not used for any selection.</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7.</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Calibration of nominal 90% intervals for unseen BAs (random folds, test period). Widths and interval scores (IS) are in % of mean load.</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448"/>
        <w:gridCol w:w="2739"/>
        <w:gridCol w:w="747"/>
        <w:gridCol w:w="896"/>
        <w:gridCol w:w="1095"/>
        <w:gridCol w:w="1245"/>
        <w:gridCol w:w="747"/>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Min–max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BAs &gt; 5 pp under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hourly width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IS %</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83.9</w:t>
            </w:r>
          </w:p>
        </w:tc>
        <w:tc>
          <w:tcPr/>
          <w:p>
            <w:pPr>
              <w:pStyle w:val="Compact"/>
              <w:spacing w:line="240" w:lineRule="auto" w:before="20" w:after="20"/>
              <w:jc w:val="left"/>
            </w:pPr>
            <w:r>
              <w:rPr>
                <w:rFonts w:ascii="Times New Roman" w:hAnsi="Times New Roman" w:cs="Times New Roman" w:eastAsia="Times New Roman"/>
                <w:color w:val="000000"/>
                <w:sz w:val="16"/>
              </w:rPr>
              <w:t xml:space="preserve">64.8–97.5</w:t>
            </w:r>
          </w:p>
        </w:tc>
        <w:tc>
          <w:tcPr/>
          <w:p>
            <w:pPr>
              <w:pStyle w:val="Compact"/>
              <w:spacing w:line="240" w:lineRule="auto" w:before="20" w:after="20"/>
              <w:jc w:val="left"/>
            </w:pPr>
            <w:r>
              <w:rPr>
                <w:rFonts w:ascii="Times New Roman" w:hAnsi="Times New Roman" w:cs="Times New Roman" w:eastAsia="Times New Roman"/>
                <w:color w:val="000000"/>
                <w:sz w:val="16"/>
              </w:rPr>
              <w:t xml:space="preserve">52</w:t>
            </w:r>
          </w:p>
        </w:tc>
        <w:tc>
          <w:tcPr/>
          <w:p>
            <w:pPr>
              <w:pStyle w:val="Compact"/>
              <w:spacing w:line="240" w:lineRule="auto" w:before="20" w:after="20"/>
              <w:jc w:val="left"/>
            </w:pPr>
            <w:r>
              <w:rPr>
                <w:rFonts w:ascii="Times New Roman" w:hAnsi="Times New Roman" w:cs="Times New Roman" w:eastAsia="Times New Roman"/>
                <w:color w:val="000000"/>
                <w:sz w:val="16"/>
              </w:rPr>
              <w:t xml:space="preserve">4.2</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w:t>
            </w:r>
          </w:p>
        </w:tc>
        <w:tc>
          <w:tcPr/>
          <w:p>
            <w:pPr>
              <w:pStyle w:val="Compact"/>
              <w:spacing w:line="240" w:lineRule="auto" w:before="20" w:after="20"/>
              <w:jc w:val="left"/>
            </w:pPr>
            <w:r>
              <w:rPr>
                <w:rFonts w:ascii="Times New Roman" w:hAnsi="Times New Roman" w:cs="Times New Roman" w:eastAsia="Times New Roman"/>
                <w:color w:val="000000"/>
                <w:sz w:val="16"/>
              </w:rPr>
              <w:t xml:space="preserve">87.5</w:t>
            </w:r>
          </w:p>
        </w:tc>
        <w:tc>
          <w:tcPr/>
          <w:p>
            <w:pPr>
              <w:pStyle w:val="Compact"/>
              <w:spacing w:line="240" w:lineRule="auto" w:before="20" w:after="20"/>
              <w:jc w:val="left"/>
            </w:pPr>
            <w:r>
              <w:rPr>
                <w:rFonts w:ascii="Times New Roman" w:hAnsi="Times New Roman" w:cs="Times New Roman" w:eastAsia="Times New Roman"/>
                <w:color w:val="000000"/>
                <w:sz w:val="16"/>
              </w:rPr>
              <w:t xml:space="preserve">52.6–98.9</w:t>
            </w:r>
          </w:p>
        </w:tc>
        <w:tc>
          <w:tcPr/>
          <w:p>
            <w:pPr>
              <w:pStyle w:val="Compact"/>
              <w:spacing w:line="240" w:lineRule="auto" w:before="20" w:after="20"/>
              <w:jc w:val="left"/>
            </w:pPr>
            <w:r>
              <w:rPr>
                <w:rFonts w:ascii="Times New Roman" w:hAnsi="Times New Roman" w:cs="Times New Roman" w:eastAsia="Times New Roman"/>
                <w:color w:val="000000"/>
                <w:sz w:val="16"/>
              </w:rPr>
              <w:t xml:space="preserve">31</w:t>
            </w:r>
          </w:p>
        </w:tc>
        <w:tc>
          <w:tcPr/>
          <w:p>
            <w:pPr>
              <w:pStyle w:val="Compact"/>
              <w:spacing w:line="240" w:lineRule="auto" w:before="20" w:after="20"/>
              <w:jc w:val="left"/>
            </w:pPr>
            <w:r>
              <w:rPr>
                <w:rFonts w:ascii="Times New Roman" w:hAnsi="Times New Roman" w:cs="Times New Roman" w:eastAsia="Times New Roman"/>
                <w:color w:val="000000"/>
                <w:sz w:val="16"/>
              </w:rPr>
              <w:t xml:space="preserve">4.78</w:t>
            </w:r>
          </w:p>
        </w:tc>
        <w:tc>
          <w:tcPr/>
          <w:p>
            <w:pPr>
              <w:pStyle w:val="Compact"/>
              <w:spacing w:line="240" w:lineRule="auto" w:before="20" w:after="20"/>
              <w:jc w:val="left"/>
            </w:pPr>
            <w:r>
              <w:rPr>
                <w:rFonts w:ascii="Times New Roman" w:hAnsi="Times New Roman" w:cs="Times New Roman" w:eastAsia="Times New Roman"/>
                <w:color w:val="000000"/>
                <w:sz w:val="16"/>
              </w:rPr>
              <w:t xml:space="preserve">7.72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88.1</w:t>
            </w:r>
          </w:p>
        </w:tc>
        <w:tc>
          <w:tcPr/>
          <w:p>
            <w:pPr>
              <w:pStyle w:val="Compact"/>
              <w:spacing w:line="240" w:lineRule="auto" w:before="20" w:after="20"/>
              <w:jc w:val="left"/>
            </w:pPr>
            <w:r>
              <w:rPr>
                <w:rFonts w:ascii="Times New Roman" w:hAnsi="Times New Roman" w:cs="Times New Roman" w:eastAsia="Times New Roman"/>
                <w:color w:val="000000"/>
                <w:sz w:val="16"/>
              </w:rPr>
              <w:t xml:space="preserve">69.2–98.7</w:t>
            </w:r>
          </w:p>
        </w:tc>
        <w:tc>
          <w:tcPr/>
          <w:p>
            <w:pPr>
              <w:pStyle w:val="Compact"/>
              <w:spacing w:line="240" w:lineRule="auto" w:before="20" w:after="20"/>
              <w:jc w:val="left"/>
            </w:pPr>
            <w:r>
              <w:rPr>
                <w:rFonts w:ascii="Times New Roman" w:hAnsi="Times New Roman" w:cs="Times New Roman" w:eastAsia="Times New Roman"/>
                <w:color w:val="000000"/>
                <w:sz w:val="16"/>
              </w:rPr>
              <w:t xml:space="preserve">33</w:t>
            </w:r>
          </w:p>
        </w:tc>
        <w:tc>
          <w:tcPr/>
          <w:p>
            <w:pPr>
              <w:pStyle w:val="Compact"/>
              <w:spacing w:line="240" w:lineRule="auto" w:before="20" w:after="20"/>
              <w:jc w:val="left"/>
            </w:pPr>
            <w:r>
              <w:rPr>
                <w:rFonts w:ascii="Times New Roman" w:hAnsi="Times New Roman" w:cs="Times New Roman" w:eastAsia="Times New Roman"/>
                <w:color w:val="000000"/>
                <w:sz w:val="16"/>
              </w:rPr>
              <w:t xml:space="preserve">4.74</w:t>
            </w:r>
          </w:p>
        </w:tc>
        <w:tc>
          <w:tcPr/>
          <w:p>
            <w:pPr>
              <w:pStyle w:val="Compact"/>
              <w:spacing w:line="240" w:lineRule="auto" w:before="20" w:after="20"/>
              <w:jc w:val="left"/>
            </w:pPr>
            <w:r>
              <w:rPr>
                <w:rFonts w:ascii="Times New Roman" w:hAnsi="Times New Roman" w:cs="Times New Roman" w:eastAsia="Times New Roman"/>
                <w:color w:val="000000"/>
                <w:sz w:val="16"/>
              </w:rPr>
              <w:t xml:space="preserve">7.21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SCP-T4</w:t>
            </w:r>
          </w:p>
        </w:tc>
        <w:tc>
          <w:tcPr/>
          <w:p>
            <w:pPr>
              <w:pStyle w:val="Compact"/>
              <w:spacing w:line="240" w:lineRule="auto" w:before="20" w:after="20"/>
              <w:jc w:val="left"/>
            </w:pPr>
            <w:r>
              <w:rPr>
                <w:rFonts w:ascii="Times New Roman" w:hAnsi="Times New Roman" w:cs="Times New Roman" w:eastAsia="Times New Roman"/>
                <w:color w:val="000000"/>
                <w:sz w:val="16"/>
              </w:rPr>
              <w:t xml:space="preserve">86.9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74.3–96.5</w:t>
            </w:r>
          </w:p>
        </w:tc>
        <w:tc>
          <w:tcPr/>
          <w:p>
            <w:pPr>
              <w:pStyle w:val="Compact"/>
              <w:spacing w:line="240" w:lineRule="auto" w:before="20" w:after="20"/>
              <w:jc w:val="left"/>
            </w:pPr>
            <w:r>
              <w:rPr>
                <w:rFonts w:ascii="Times New Roman" w:hAnsi="Times New Roman" w:cs="Times New Roman" w:eastAsia="Times New Roman"/>
                <w:color w:val="000000"/>
                <w:sz w:val="16"/>
              </w:rPr>
              <w:t xml:space="preserve">29</w:t>
            </w:r>
          </w:p>
        </w:tc>
        <w:tc>
          <w:tcPr/>
          <w:p>
            <w:pPr>
              <w:pStyle w:val="Compact"/>
              <w:spacing w:line="240" w:lineRule="auto" w:before="20" w:after="20"/>
              <w:jc w:val="left"/>
            </w:pPr>
            <w:r>
              <w:rPr>
                <w:rFonts w:ascii="Times New Roman" w:hAnsi="Times New Roman" w:cs="Times New Roman" w:eastAsia="Times New Roman"/>
                <w:color w:val="000000"/>
                <w:sz w:val="16"/>
              </w:rPr>
              <w:t xml:space="preserve">4.3</w:t>
            </w:r>
          </w:p>
        </w:tc>
        <w:tc>
          <w:tcPr/>
          <w:p>
            <w:pPr>
              <w:pStyle w:val="Compact"/>
              <w:spacing w:line="240" w:lineRule="auto" w:before="20" w:after="20"/>
              <w:jc w:val="left"/>
            </w:pPr>
            <w:r>
              <w:rPr>
                <w:rFonts w:ascii="Times New Roman" w:hAnsi="Times New Roman" w:cs="Times New Roman" w:eastAsia="Times New Roman"/>
                <w:color w:val="000000"/>
                <w:sz w:val="16"/>
              </w:rPr>
              <w:t xml:space="preserve">7.81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ACI-CQR-V (γ on held-out BAs’ 2023 data; exploratory)</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89.7–90.4</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7.13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87.3</w:t>
            </w:r>
          </w:p>
        </w:tc>
        <w:tc>
          <w:tcPr/>
          <w:p>
            <w:pPr>
              <w:pStyle w:val="Compact"/>
              <w:spacing w:line="240" w:lineRule="auto" w:before="20" w:after="20"/>
              <w:jc w:val="left"/>
            </w:pPr>
            <w:r>
              <w:rPr>
                <w:rFonts w:ascii="Times New Roman" w:hAnsi="Times New Roman" w:cs="Times New Roman" w:eastAsia="Times New Roman"/>
                <w:color w:val="000000"/>
                <w:sz w:val="16"/>
              </w:rPr>
              <w:t xml:space="preserve">76.1–96.1</w:t>
            </w:r>
          </w:p>
        </w:tc>
        <w:tc>
          <w:tcPr/>
          <w:p>
            <w:pPr>
              <w:pStyle w:val="Compact"/>
              <w:spacing w:line="240" w:lineRule="auto" w:before="20" w:after="20"/>
              <w:jc w:val="left"/>
            </w:pPr>
            <w:r>
              <w:rPr>
                <w:rFonts w:ascii="Times New Roman" w:hAnsi="Times New Roman" w:cs="Times New Roman" w:eastAsia="Times New Roman"/>
                <w:color w:val="000000"/>
                <w:sz w:val="16"/>
              </w:rPr>
              <w:t xml:space="preserve">29</w:t>
            </w:r>
          </w:p>
        </w:tc>
        <w:tc>
          <w:tcPr/>
          <w:p>
            <w:pPr>
              <w:pStyle w:val="Compact"/>
              <w:spacing w:line="240" w:lineRule="auto" w:before="20" w:after="20"/>
              <w:jc w:val="left"/>
            </w:pPr>
            <w:r>
              <w:rPr>
                <w:rFonts w:ascii="Times New Roman" w:hAnsi="Times New Roman" w:cs="Times New Roman" w:eastAsia="Times New Roman"/>
                <w:color w:val="000000"/>
                <w:sz w:val="16"/>
              </w:rPr>
              <w:t xml:space="preserve">17.15</w:t>
            </w:r>
          </w:p>
        </w:tc>
        <w:tc>
          <w:tcPr/>
          <w:p>
            <w:pPr>
              <w:pStyle w:val="Compact"/>
              <w:spacing w:line="240" w:lineRule="auto" w:before="20" w:after="20"/>
              <w:jc w:val="left"/>
            </w:pPr>
            <w:r>
              <w:rPr>
                <w:rFonts w:ascii="Times New Roman" w:hAnsi="Times New Roman" w:cs="Times New Roman" w:eastAsia="Times New Roman"/>
                <w:color w:val="000000"/>
                <w:sz w:val="16"/>
              </w:rPr>
              <w:t xml:space="preserve">28.26</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w:t>
            </w:r>
          </w:p>
        </w:tc>
        <w:tc>
          <w:tcPr/>
          <w:p>
            <w:pPr>
              <w:pStyle w:val="Compact"/>
              <w:spacing w:line="240" w:lineRule="auto" w:before="20" w:after="20"/>
              <w:jc w:val="left"/>
            </w:pPr>
            <w:r>
              <w:rPr>
                <w:rFonts w:ascii="Times New Roman" w:hAnsi="Times New Roman" w:cs="Times New Roman" w:eastAsia="Times New Roman"/>
                <w:color w:val="000000"/>
                <w:sz w:val="16"/>
              </w:rPr>
              <w:t xml:space="preserve">88.9</w:t>
            </w:r>
          </w:p>
        </w:tc>
        <w:tc>
          <w:tcPr/>
          <w:p>
            <w:pPr>
              <w:pStyle w:val="Compact"/>
              <w:spacing w:line="240" w:lineRule="auto" w:before="20" w:after="20"/>
              <w:jc w:val="left"/>
            </w:pPr>
            <w:r>
              <w:rPr>
                <w:rFonts w:ascii="Times New Roman" w:hAnsi="Times New Roman" w:cs="Times New Roman" w:eastAsia="Times New Roman"/>
                <w:color w:val="000000"/>
                <w:sz w:val="16"/>
              </w:rPr>
              <w:t xml:space="preserve">71.4–99.3</w:t>
            </w:r>
          </w:p>
        </w:tc>
        <w:tc>
          <w:tcPr/>
          <w:p>
            <w:pPr>
              <w:pStyle w:val="Compact"/>
              <w:spacing w:line="240" w:lineRule="auto" w:before="20" w:after="20"/>
              <w:jc w:val="left"/>
            </w:pPr>
            <w:r>
              <w:rPr>
                <w:rFonts w:ascii="Times New Roman" w:hAnsi="Times New Roman" w:cs="Times New Roman" w:eastAsia="Times New Roman"/>
                <w:color w:val="000000"/>
                <w:sz w:val="16"/>
              </w:rPr>
              <w:t xml:space="preserve">29</w:t>
            </w:r>
          </w:p>
        </w:tc>
        <w:tc>
          <w:tcPr/>
          <w:p>
            <w:pPr>
              <w:pStyle w:val="Compact"/>
              <w:spacing w:line="240" w:lineRule="auto" w:before="20" w:after="20"/>
              <w:jc w:val="left"/>
            </w:pPr>
            <w:r>
              <w:rPr>
                <w:rFonts w:ascii="Times New Roman" w:hAnsi="Times New Roman" w:cs="Times New Roman" w:eastAsia="Times New Roman"/>
                <w:color w:val="000000"/>
                <w:sz w:val="16"/>
              </w:rPr>
              <w:t xml:space="preserve">20.14</w:t>
            </w:r>
          </w:p>
        </w:tc>
        <w:tc>
          <w:tcPr/>
          <w:p>
            <w:pPr>
              <w:pStyle w:val="Compact"/>
              <w:spacing w:line="240" w:lineRule="auto" w:before="20" w:after="20"/>
              <w:jc w:val="left"/>
            </w:pPr>
            <w:r>
              <w:rPr>
                <w:rFonts w:ascii="Times New Roman" w:hAnsi="Times New Roman" w:cs="Times New Roman" w:eastAsia="Times New Roman"/>
                <w:color w:val="000000"/>
                <w:sz w:val="16"/>
              </w:rPr>
              <w:t xml:space="preserve">31.88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78.6–97.3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21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18.14</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SCP-T4</w:t>
            </w:r>
          </w:p>
        </w:tc>
        <w:tc>
          <w:tcPr/>
          <w:p>
            <w:pPr>
              <w:pStyle w:val="Compact"/>
              <w:spacing w:line="240" w:lineRule="auto" w:before="20" w:after="20"/>
              <w:jc w:val="left"/>
            </w:pPr>
            <w:r>
              <w:rPr>
                <w:rFonts w:ascii="Times New Roman" w:hAnsi="Times New Roman" w:cs="Times New Roman" w:eastAsia="Times New Roman"/>
                <w:color w:val="000000"/>
                <w:sz w:val="16"/>
              </w:rPr>
              <w:t xml:space="preserve">85.3</w:t>
            </w:r>
          </w:p>
        </w:tc>
        <w:tc>
          <w:tcPr/>
          <w:p>
            <w:pPr>
              <w:pStyle w:val="Compact"/>
              <w:spacing w:line="240" w:lineRule="auto" w:before="20" w:after="20"/>
              <w:jc w:val="left"/>
            </w:pPr>
            <w:r>
              <w:rPr>
                <w:rFonts w:ascii="Times New Roman" w:hAnsi="Times New Roman" w:cs="Times New Roman" w:eastAsia="Times New Roman"/>
                <w:color w:val="000000"/>
                <w:sz w:val="16"/>
              </w:rPr>
              <w:t xml:space="preserve">60.8–95.9</w:t>
            </w:r>
          </w:p>
        </w:tc>
        <w:tc>
          <w:tcPr/>
          <w:p>
            <w:pPr>
              <w:pStyle w:val="Compact"/>
              <w:spacing w:line="240" w:lineRule="auto" w:before="20" w:after="20"/>
              <w:jc w:val="left"/>
            </w:pPr>
            <w:r>
              <w:rPr>
                <w:rFonts w:ascii="Times New Roman" w:hAnsi="Times New Roman" w:cs="Times New Roman" w:eastAsia="Times New Roman"/>
                <w:color w:val="000000"/>
                <w:sz w:val="16"/>
              </w:rPr>
              <w:t xml:space="preserve">40</w:t>
            </w:r>
          </w:p>
        </w:tc>
        <w:tc>
          <w:tcPr/>
          <w:p>
            <w:pPr>
              <w:pStyle w:val="Compact"/>
              <w:spacing w:line="240" w:lineRule="auto" w:before="20" w:after="20"/>
              <w:jc w:val="left"/>
            </w:pPr>
            <w:r>
              <w:rPr>
                <w:rFonts w:ascii="Times New Roman" w:hAnsi="Times New Roman" w:cs="Times New Roman" w:eastAsia="Times New Roman"/>
                <w:color w:val="000000"/>
                <w:sz w:val="16"/>
              </w:rPr>
              <w:t xml:space="preserve">14.97</w:t>
            </w:r>
          </w:p>
        </w:tc>
        <w:tc>
          <w:tcPr/>
          <w:p>
            <w:pPr>
              <w:pStyle w:val="Compact"/>
              <w:spacing w:line="240" w:lineRule="auto" w:before="20" w:after="20"/>
              <w:jc w:val="left"/>
            </w:pPr>
            <w:r>
              <w:rPr>
                <w:rFonts w:ascii="Times New Roman" w:hAnsi="Times New Roman" w:cs="Times New Roman" w:eastAsia="Times New Roman"/>
                <w:color w:val="000000"/>
                <w:sz w:val="16"/>
              </w:rPr>
              <w:t xml:space="preserve">34.15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(γ = 0.005, frozen protocol)</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18.6</w:t>
            </w:r>
          </w:p>
        </w:tc>
        <w:tc>
          <w:tcPr/>
          <w:p>
            <w:pPr>
              <w:pStyle w:val="Compact"/>
              <w:spacing w:line="240" w:lineRule="auto" w:before="20" w:after="20"/>
              <w:jc w:val="left"/>
            </w:pPr>
            <w:r>
              <w:rPr>
                <w:rFonts w:ascii="Times New Roman" w:hAnsi="Times New Roman" w:cs="Times New Roman" w:eastAsia="Times New Roman"/>
                <w:color w:val="000000"/>
                <w:sz w:val="16"/>
              </w:rPr>
              <w:t xml:space="preserve">88.55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ACI-CQR-V (γ on held-out BAs’ 2023 data; exploratory)</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89.4–90.5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28.24</w:t>
            </w:r>
          </w:p>
        </w:tc>
      </w:tr>
    </w:tbl>
    <w:p>
      <w:pPr>
        <w:pStyle w:val="TableCaption"/>
        <w:keepNext/>
        <w:spacing w:line="240" w:lineRule="auto" w:after="80"/>
        <w:jc w:val="both"/>
      </w:pPr>
      <w:r>
        <w:rPr>
          <w:bCs/>
          <w:rFonts w:ascii="Times New Roman" w:hAnsi="Times New Roman" w:cs="Times New Roman" w:eastAsia="Times New Roman"/>
          <w:b/>
          <w:color w:val="000000"/>
          <w:sz w:val="20"/>
        </w:rPr>
        <w:t xml:space="preserve">Table 8.</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Online and source-only calibration of 90% intervals for unseen BAs, including spatially blocked folds (post-review analyses; γ selected on source BAs only for ACI-CQR-S).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1144"/>
        <w:gridCol w:w="412"/>
        <w:gridCol w:w="2014"/>
        <w:gridCol w:w="686"/>
        <w:gridCol w:w="824"/>
        <w:gridCol w:w="1007"/>
        <w:gridCol w:w="1144"/>
        <w:gridCol w:w="686"/>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Setting</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Method</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Min–max cov.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BAs &gt; 5 pp under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hourly width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Median IS %</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(gamma=0, expanding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88.3</w:t>
            </w:r>
          </w:p>
        </w:tc>
        <w:tc>
          <w:tcPr/>
          <w:p>
            <w:pPr>
              <w:pStyle w:val="Compact"/>
              <w:spacing w:line="240" w:lineRule="auto" w:before="20" w:after="20"/>
              <w:jc w:val="left"/>
            </w:pPr>
            <w:r>
              <w:rPr>
                <w:rFonts w:ascii="Times New Roman" w:hAnsi="Times New Roman" w:cs="Times New Roman" w:eastAsia="Times New Roman"/>
                <w:color w:val="000000"/>
                <w:sz w:val="16"/>
              </w:rPr>
              <w:t xml:space="preserve">70.2–98.6</w:t>
            </w:r>
          </w:p>
        </w:tc>
        <w:tc>
          <w:tcPr/>
          <w:p>
            <w:pPr>
              <w:pStyle w:val="Compact"/>
              <w:spacing w:line="240" w:lineRule="auto" w:before="20" w:after="20"/>
              <w:jc w:val="left"/>
            </w:pPr>
            <w:r>
              <w:rPr>
                <w:rFonts w:ascii="Times New Roman" w:hAnsi="Times New Roman" w:cs="Times New Roman" w:eastAsia="Times New Roman"/>
                <w:color w:val="000000"/>
                <w:sz w:val="16"/>
              </w:rPr>
              <w:t xml:space="preserve">31</w:t>
            </w:r>
          </w:p>
        </w:tc>
        <w:tc>
          <w:tcPr/>
          <w:p>
            <w:pPr>
              <w:pStyle w:val="Compact"/>
              <w:spacing w:line="240" w:lineRule="auto" w:before="20" w:after="20"/>
              <w:jc w:val="left"/>
            </w:pPr>
            <w:r>
              <w:rPr>
                <w:rFonts w:ascii="Times New Roman" w:hAnsi="Times New Roman" w:cs="Times New Roman" w:eastAsia="Times New Roman"/>
                <w:color w:val="000000"/>
                <w:sz w:val="16"/>
              </w:rPr>
              <w:t xml:space="preserve">4.75</w:t>
            </w:r>
          </w:p>
        </w:tc>
        <w:tc>
          <w:tcPr/>
          <w:p>
            <w:pPr>
              <w:pStyle w:val="Compact"/>
              <w:spacing w:line="240" w:lineRule="auto" w:before="20" w:after="20"/>
              <w:jc w:val="left"/>
            </w:pPr>
            <w:r>
              <w:rPr>
                <w:rFonts w:ascii="Times New Roman" w:hAnsi="Times New Roman" w:cs="Times New Roman" w:eastAsia="Times New Roman"/>
                <w:color w:val="000000"/>
                <w:sz w:val="16"/>
              </w:rPr>
              <w:t xml:space="preserve">7.21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(gamma=0.005, pre-registered)</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ACI-CQR-S (gamma source-selected)</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4.9</w:t>
            </w:r>
          </w:p>
        </w:tc>
        <w:tc>
          <w:tcPr/>
          <w:p>
            <w:pPr>
              <w:pStyle w:val="Compact"/>
              <w:spacing w:line="240" w:lineRule="auto" w:before="20" w:after="20"/>
              <w:jc w:val="left"/>
            </w:pPr>
            <w:r>
              <w:rPr>
                <w:rFonts w:ascii="Times New Roman" w:hAnsi="Times New Roman" w:cs="Times New Roman" w:eastAsia="Times New Roman"/>
                <w:color w:val="000000"/>
                <w:sz w:val="16"/>
              </w:rPr>
              <w:t xml:space="preserve">7.4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88.1</w:t>
            </w:r>
          </w:p>
        </w:tc>
        <w:tc>
          <w:tcPr/>
          <w:p>
            <w:pPr>
              <w:pStyle w:val="Compact"/>
              <w:spacing w:line="240" w:lineRule="auto" w:before="20" w:after="20"/>
              <w:jc w:val="left"/>
            </w:pPr>
            <w:r>
              <w:rPr>
                <w:rFonts w:ascii="Times New Roman" w:hAnsi="Times New Roman" w:cs="Times New Roman" w:eastAsia="Times New Roman"/>
                <w:color w:val="000000"/>
                <w:sz w:val="16"/>
              </w:rPr>
              <w:t xml:space="preserve">69.2–98.7</w:t>
            </w:r>
          </w:p>
        </w:tc>
        <w:tc>
          <w:tcPr/>
          <w:p>
            <w:pPr>
              <w:pStyle w:val="Compact"/>
              <w:spacing w:line="240" w:lineRule="auto" w:before="20" w:after="20"/>
              <w:jc w:val="left"/>
            </w:pPr>
            <w:r>
              <w:rPr>
                <w:rFonts w:ascii="Times New Roman" w:hAnsi="Times New Roman" w:cs="Times New Roman" w:eastAsia="Times New Roman"/>
                <w:color w:val="000000"/>
                <w:sz w:val="16"/>
              </w:rPr>
              <w:t xml:space="preserve">33</w:t>
            </w:r>
          </w:p>
        </w:tc>
        <w:tc>
          <w:tcPr/>
          <w:p>
            <w:pPr>
              <w:pStyle w:val="Compact"/>
              <w:spacing w:line="240" w:lineRule="auto" w:before="20" w:after="20"/>
              <w:jc w:val="left"/>
            </w:pPr>
            <w:r>
              <w:rPr>
                <w:rFonts w:ascii="Times New Roman" w:hAnsi="Times New Roman" w:cs="Times New Roman" w:eastAsia="Times New Roman"/>
                <w:color w:val="000000"/>
                <w:sz w:val="16"/>
              </w:rPr>
              <w:t xml:space="preserve">4.74</w:t>
            </w:r>
          </w:p>
        </w:tc>
        <w:tc>
          <w:tcPr/>
          <w:p>
            <w:pPr>
              <w:pStyle w:val="Compact"/>
              <w:spacing w:line="240" w:lineRule="auto" w:before="20" w:after="20"/>
              <w:jc w:val="left"/>
            </w:pPr>
            <w:r>
              <w:rPr>
                <w:rFonts w:ascii="Times New Roman" w:hAnsi="Times New Roman" w:cs="Times New Roman" w:eastAsia="Times New Roman"/>
                <w:color w:val="000000"/>
                <w:sz w:val="16"/>
              </w:rPr>
              <w:t xml:space="preserve">7.21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SCP-R4 (rolling 4-week target calibration)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89.5–90.1</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4.76</w:t>
            </w:r>
          </w:p>
        </w:tc>
        <w:tc>
          <w:tcPr/>
          <w:p>
            <w:pPr>
              <w:pStyle w:val="Compact"/>
              <w:spacing w:line="240" w:lineRule="auto" w:before="20" w:after="20"/>
              <w:jc w:val="left"/>
            </w:pPr>
            <w:r>
              <w:rPr>
                <w:rFonts w:ascii="Times New Roman" w:hAnsi="Times New Roman" w:cs="Times New Roman" w:eastAsia="Times New Roman"/>
                <w:color w:val="000000"/>
                <w:sz w:val="16"/>
              </w:rPr>
              <w:t xml:space="preserve">7.31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(gamma=0, expanding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79.3–97.1</w:t>
            </w:r>
          </w:p>
        </w:tc>
        <w:tc>
          <w:tcPr/>
          <w:p>
            <w:pPr>
              <w:pStyle w:val="Compact"/>
              <w:spacing w:line="240" w:lineRule="auto" w:before="20" w:after="20"/>
              <w:jc w:val="left"/>
            </w:pPr>
            <w:r>
              <w:rPr>
                <w:rFonts w:ascii="Times New Roman" w:hAnsi="Times New Roman" w:cs="Times New Roman" w:eastAsia="Times New Roman"/>
                <w:color w:val="000000"/>
                <w:sz w:val="16"/>
              </w:rPr>
              <w:t xml:space="preserve">21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18.07</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(gamma=0.005, pre-registered)</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18.6</w:t>
            </w:r>
          </w:p>
        </w:tc>
        <w:tc>
          <w:tcPr/>
          <w:p>
            <w:pPr>
              <w:pStyle w:val="Compact"/>
              <w:spacing w:line="240" w:lineRule="auto" w:before="20" w:after="20"/>
              <w:jc w:val="left"/>
            </w:pPr>
            <w:r>
              <w:rPr>
                <w:rFonts w:ascii="Times New Roman" w:hAnsi="Times New Roman" w:cs="Times New Roman" w:eastAsia="Times New Roman"/>
                <w:color w:val="000000"/>
                <w:sz w:val="16"/>
              </w:rPr>
              <w:t xml:space="preserve">88.55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ACI-CQR-S (gamma source-selected)</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88.9–90.8</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17.81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78.6–97.3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21</w:t>
            </w:r>
          </w:p>
        </w:tc>
        <w:tc>
          <w:tcPr/>
          <w:p>
            <w:pPr>
              <w:pStyle w:val="Compact"/>
              <w:spacing w:line="240" w:lineRule="auto" w:before="20" w:after="20"/>
              <w:jc w:val="left"/>
            </w:pPr>
            <w:r>
              <w:rPr>
                <w:rFonts w:ascii="Times New Roman" w:hAnsi="Times New Roman" w:cs="Times New Roman" w:eastAsia="Times New Roman"/>
                <w:color w:val="000000"/>
                <w:sz w:val="16"/>
              </w:rPr>
              <w:t xml:space="preserve">18.14</w:t>
            </w:r>
          </w:p>
        </w:tc>
        <w:tc>
          <w:tcPr/>
          <w:p>
            <w:pPr>
              <w:pStyle w:val="Compact"/>
              <w:spacing w:line="240" w:lineRule="auto" w:before="20" w:after="20"/>
              <w:jc w:val="left"/>
            </w:pPr>
            <w:r>
              <w:rPr>
                <w:rFonts w:ascii="Times New Roman" w:hAnsi="Times New Roman" w:cs="Times New Roman" w:eastAsia="Times New Roman"/>
                <w:color w:val="000000"/>
                <w:sz w:val="16"/>
              </w:rPr>
              <w:t xml:space="preserve">28.15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(random folds)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SCP-R4 (rolling 4-week target calibration)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89.2</w:t>
            </w:r>
          </w:p>
        </w:tc>
        <w:tc>
          <w:tcPr/>
          <w:p>
            <w:pPr>
              <w:pStyle w:val="Compact"/>
              <w:spacing w:line="240" w:lineRule="auto" w:before="20" w:after="20"/>
              <w:jc w:val="left"/>
            </w:pPr>
            <w:r>
              <w:rPr>
                <w:rFonts w:ascii="Times New Roman" w:hAnsi="Times New Roman" w:cs="Times New Roman" w:eastAsia="Times New Roman"/>
                <w:color w:val="000000"/>
                <w:sz w:val="16"/>
              </w:rPr>
              <w:t xml:space="preserve">88.4–90.0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19.39</w:t>
            </w:r>
          </w:p>
        </w:tc>
        <w:tc>
          <w:tcPr/>
          <w:p>
            <w:pPr>
              <w:pStyle w:val="Compact"/>
              <w:spacing w:line="240" w:lineRule="auto" w:before="20" w:after="20"/>
              <w:jc w:val="left"/>
            </w:pPr>
            <w:r>
              <w:rPr>
                <w:rFonts w:ascii="Times New Roman" w:hAnsi="Times New Roman" w:cs="Times New Roman" w:eastAsia="Times New Roman"/>
                <w:color w:val="000000"/>
                <w:sz w:val="16"/>
              </w:rPr>
              <w:t xml:space="preserve">31.65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(gamma=0, expanding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89.6</w:t>
            </w:r>
          </w:p>
        </w:tc>
        <w:tc>
          <w:tcPr/>
          <w:p>
            <w:pPr>
              <w:pStyle w:val="Compact"/>
              <w:spacing w:line="240" w:lineRule="auto" w:before="20" w:after="20"/>
              <w:jc w:val="left"/>
            </w:pPr>
            <w:r>
              <w:rPr>
                <w:rFonts w:ascii="Times New Roman" w:hAnsi="Times New Roman" w:cs="Times New Roman" w:eastAsia="Times New Roman"/>
                <w:color w:val="000000"/>
                <w:sz w:val="16"/>
              </w:rPr>
              <w:t xml:space="preserve">79.5–97.8</w:t>
            </w:r>
          </w:p>
        </w:tc>
        <w:tc>
          <w:tcPr/>
          <w:p>
            <w:pPr>
              <w:pStyle w:val="Compact"/>
              <w:spacing w:line="240" w:lineRule="auto" w:before="20" w:after="20"/>
              <w:jc w:val="left"/>
            </w:pPr>
            <w:r>
              <w:rPr>
                <w:rFonts w:ascii="Times New Roman" w:hAnsi="Times New Roman" w:cs="Times New Roman" w:eastAsia="Times New Roman"/>
                <w:color w:val="000000"/>
                <w:sz w:val="16"/>
              </w:rPr>
              <w:t xml:space="preserve">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19.39</w:t>
            </w:r>
          </w:p>
        </w:tc>
        <w:tc>
          <w:tcPr/>
          <w:p>
            <w:pPr>
              <w:pStyle w:val="Compact"/>
              <w:spacing w:line="240" w:lineRule="auto" w:before="20" w:after="20"/>
              <w:jc w:val="left"/>
            </w:pPr>
            <w:r>
              <w:rPr>
                <w:rFonts w:ascii="Times New Roman" w:hAnsi="Times New Roman" w:cs="Times New Roman" w:eastAsia="Times New Roman"/>
                <w:color w:val="000000"/>
                <w:sz w:val="16"/>
              </w:rPr>
              <w:t xml:space="preserve">28.5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 (gamma=0.005, pre-registered)</w:t>
            </w:r>
          </w:p>
        </w:tc>
        <w:tc>
          <w:tcPr/>
          <w:p>
            <w:pPr>
              <w:pStyle w:val="Compact"/>
              <w:spacing w:line="240" w:lineRule="auto" w:before="20" w:after="20"/>
              <w:jc w:val="left"/>
            </w:pPr>
            <w:r>
              <w:rPr>
                <w:rFonts w:ascii="Times New Roman" w:hAnsi="Times New Roman" w:cs="Times New Roman" w:eastAsia="Times New Roman"/>
                <w:color w:val="000000"/>
                <w:sz w:val="16"/>
              </w:rPr>
              <w:t xml:space="preserve">90</w:t>
            </w:r>
          </w:p>
        </w:tc>
        <w:tc>
          <w:tcPr/>
          <w:p>
            <w:pPr>
              <w:pStyle w:val="Compact"/>
              <w:spacing w:line="240" w:lineRule="auto" w:before="20" w:after="20"/>
              <w:jc w:val="left"/>
            </w:pPr>
            <w:r>
              <w:rPr>
                <w:rFonts w:ascii="Times New Roman" w:hAnsi="Times New Roman" w:cs="Times New Roman" w:eastAsia="Times New Roman"/>
                <w:color w:val="000000"/>
                <w:sz w:val="16"/>
              </w:rPr>
              <w:t xml:space="preserve">89.8–90.1</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19.04</w:t>
            </w:r>
          </w:p>
        </w:tc>
        <w:tc>
          <w:tcPr/>
          <w:p>
            <w:pPr>
              <w:pStyle w:val="Compact"/>
              <w:spacing w:line="240" w:lineRule="auto" w:before="20" w:after="20"/>
              <w:jc w:val="left"/>
            </w:pPr>
            <w:r>
              <w:rPr>
                <w:rFonts w:ascii="Times New Roman" w:hAnsi="Times New Roman" w:cs="Times New Roman" w:eastAsia="Times New Roman"/>
                <w:color w:val="000000"/>
                <w:sz w:val="16"/>
              </w:rPr>
              <w:t xml:space="preserve">88.27</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ACI-CQR-S (gamma source-selected)</w:t>
            </w:r>
          </w:p>
        </w:tc>
        <w:tc>
          <w:tcPr/>
          <w:p>
            <w:pPr>
              <w:pStyle w:val="Compact"/>
              <w:spacing w:line="240" w:lineRule="auto" w:before="20" w:after="20"/>
              <w:jc w:val="left"/>
            </w:pPr>
            <w:r>
              <w:rPr>
                <w:rFonts w:ascii="Times New Roman" w:hAnsi="Times New Roman" w:cs="Times New Roman" w:eastAsia="Times New Roman"/>
                <w:color w:val="000000"/>
                <w:sz w:val="16"/>
              </w:rPr>
              <w:t xml:space="preserve">89.9</w:t>
            </w:r>
          </w:p>
        </w:tc>
        <w:tc>
          <w:tcPr/>
          <w:p>
            <w:pPr>
              <w:pStyle w:val="Compact"/>
              <w:spacing w:line="240" w:lineRule="auto" w:before="20" w:after="20"/>
              <w:jc w:val="left"/>
            </w:pPr>
            <w:r>
              <w:rPr>
                <w:rFonts w:ascii="Times New Roman" w:hAnsi="Times New Roman" w:cs="Times New Roman" w:eastAsia="Times New Roman"/>
                <w:color w:val="000000"/>
                <w:sz w:val="16"/>
              </w:rPr>
              <w:t xml:space="preserve">88.9–91.0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18.51</w:t>
            </w:r>
          </w:p>
        </w:tc>
        <w:tc>
          <w:tcPr/>
          <w:p>
            <w:pPr>
              <w:pStyle w:val="Compact"/>
              <w:spacing w:line="240" w:lineRule="auto" w:before="20" w:after="20"/>
              <w:jc w:val="left"/>
            </w:pPr>
            <w:r>
              <w:rPr>
                <w:rFonts w:ascii="Times New Roman" w:hAnsi="Times New Roman" w:cs="Times New Roman" w:eastAsia="Times New Roman"/>
                <w:color w:val="000000"/>
                <w:sz w:val="16"/>
              </w:rPr>
              <w:t xml:space="preserve">28.51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CQR</w:t>
            </w:r>
          </w:p>
        </w:tc>
        <w:tc>
          <w:tcPr/>
          <w:p>
            <w:pPr>
              <w:pStyle w:val="Compact"/>
              <w:spacing w:line="240" w:lineRule="auto" w:before="20" w:after="20"/>
              <w:jc w:val="left"/>
            </w:pPr>
            <w:r>
              <w:rPr>
                <w:rFonts w:ascii="Times New Roman" w:hAnsi="Times New Roman" w:cs="Times New Roman" w:eastAsia="Times New Roman"/>
                <w:color w:val="000000"/>
                <w:sz w:val="16"/>
              </w:rPr>
              <w:t xml:space="preserve">89.5</w:t>
            </w:r>
          </w:p>
        </w:tc>
        <w:tc>
          <w:tcPr/>
          <w:p>
            <w:pPr>
              <w:pStyle w:val="Compact"/>
              <w:spacing w:line="240" w:lineRule="auto" w:before="20" w:after="20"/>
              <w:jc w:val="left"/>
            </w:pPr>
            <w:r>
              <w:rPr>
                <w:rFonts w:ascii="Times New Roman" w:hAnsi="Times New Roman" w:cs="Times New Roman" w:eastAsia="Times New Roman"/>
                <w:color w:val="000000"/>
                <w:sz w:val="16"/>
              </w:rPr>
              <w:t xml:space="preserve">78.9–98.0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19.39</w:t>
            </w:r>
          </w:p>
        </w:tc>
        <w:tc>
          <w:tcPr/>
          <w:p>
            <w:pPr>
              <w:pStyle w:val="Compact"/>
              <w:spacing w:line="240" w:lineRule="auto" w:before="20" w:after="20"/>
              <w:jc w:val="left"/>
            </w:pPr>
            <w:r>
              <w:rPr>
                <w:rFonts w:ascii="Times New Roman" w:hAnsi="Times New Roman" w:cs="Times New Roman" w:eastAsia="Times New Roman"/>
                <w:color w:val="000000"/>
                <w:sz w:val="16"/>
              </w:rPr>
              <w:t xml:space="preserve">28.5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unseen (spatial blocks)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SCP-R4 (rolling 4-week target calibration)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89.3</w:t>
            </w:r>
          </w:p>
        </w:tc>
        <w:tc>
          <w:tcPr/>
          <w:p>
            <w:pPr>
              <w:pStyle w:val="Compact"/>
              <w:spacing w:line="240" w:lineRule="auto" w:before="20" w:after="20"/>
              <w:jc w:val="left"/>
            </w:pPr>
            <w:r>
              <w:rPr>
                <w:rFonts w:ascii="Times New Roman" w:hAnsi="Times New Roman" w:cs="Times New Roman" w:eastAsia="Times New Roman"/>
                <w:color w:val="000000"/>
                <w:sz w:val="16"/>
              </w:rPr>
              <w:t xml:space="preserve">88.4–90.0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19.63</w:t>
            </w:r>
          </w:p>
        </w:tc>
        <w:tc>
          <w:tcPr/>
          <w:p>
            <w:pPr>
              <w:pStyle w:val="Compact"/>
              <w:spacing w:line="240" w:lineRule="auto" w:before="20" w:after="20"/>
              <w:jc w:val="left"/>
            </w:pPr>
            <w:r>
              <w:rPr>
                <w:rFonts w:ascii="Times New Roman" w:hAnsi="Times New Roman" w:cs="Times New Roman" w:eastAsia="Times New Roman"/>
                <w:color w:val="000000"/>
                <w:sz w:val="16"/>
              </w:rPr>
              <w:t xml:space="preserve">31.9</w:t>
            </w:r>
          </w:p>
        </w:tc>
      </w:tr>
    </w:tbl>
    <w:p>
      <w:pPr>
        <w:pStyle w:val="BodyText"/>
        <w:keepNext/>
        <w:spacing w:line="240" w:lineRule="auto"/>
        <w:jc w:val="center"/>
      </w:pPr>
      <w:r>
        <w:drawing>
          <wp:inline>
            <wp:extent cx="5334000" cy="2112526"/>
            <wp:effectExtent b="0" l="0" r="0" t="0"/>
            <wp:docPr descr="" title="" id="63" name="Picture"/>
            <a:graphic>
              <a:graphicData uri="http://schemas.openxmlformats.org/drawingml/2006/picture">
                <pic:pic>
                  <pic:nvPicPr>
                    <pic:cNvPr descr="/home/user/cross-regional-electricity-forecasting/cross_regional_electricity_forecasting/figures/fig09_calibration.png" id="64" name="Picture"/>
                    <pic:cNvPicPr>
                      <a:picLocks noChangeArrowheads="1" noChangeAspect="1"/>
                    </pic:cNvPicPr>
                  </pic:nvPicPr>
                  <pic:blipFill>
                    <a:blip r:embed="rId62"/>
                    <a:stretch>
                      <a:fillRect/>
                    </a:stretch>
                  </pic:blipFill>
                  <pic:spPr bwMode="auto">
                    <a:xfrm>
                      <a:off x="0" y="0"/>
                      <a:ext cx="5334000" cy="2112526"/>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9.</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Calibration of nominal 90% intervals (h = 24 h): per-BA coverage (dots; bar = mean) for (a) in-region and (b) unseen-region models; (c) monthly pooled coverage for unseen BAs.</w:t>
      </w:r>
    </w:p>
    <w:p>
      <w:pPr>
        <w:pStyle w:val="BodyText"/>
        <w:keepNext/>
        <w:spacing w:line="240" w:lineRule="auto"/>
        <w:jc w:val="center"/>
      </w:pPr>
      <w:r>
        <w:drawing>
          <wp:inline>
            <wp:extent cx="5334000" cy="1927487"/>
            <wp:effectExtent b="0" l="0" r="0" t="0"/>
            <wp:docPr descr="" title="" id="66" name="Picture"/>
            <a:graphic>
              <a:graphicData uri="http://schemas.openxmlformats.org/drawingml/2006/picture">
                <pic:pic>
                  <pic:nvPicPr>
                    <pic:cNvPr descr="/home/user/cross-regional-electricity-forecasting/cross_regional_electricity_forecasting/figures/fig10_interval_example.png" id="67" name="Picture"/>
                    <pic:cNvPicPr>
                      <a:picLocks noChangeArrowheads="1" noChangeAspect="1"/>
                    </pic:cNvPicPr>
                  </pic:nvPicPr>
                  <pic:blipFill>
                    <a:blip r:embed="rId65"/>
                    <a:stretch>
                      <a:fillRect/>
                    </a:stretch>
                  </pic:blipFill>
                  <pic:spPr bwMode="auto">
                    <a:xfrm>
                      <a:off x="0" y="0"/>
                      <a:ext cx="5334000" cy="1927487"/>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10.</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Day-ahead 90% prediction intervals for an unseen BA (IID), test period (BA chosen as the one with median CQR coverage).</w:t>
      </w:r>
    </w:p>
    <w:bookmarkEnd w:id="68"/>
    <w:bookmarkEnd w:id="69"/>
    <w:bookmarkStart w:id="70" w:name="discussion"/>
    <w:p>
      <w:pPr>
        <w:pStyle w:val="Heading1"/>
        <w:keepNext/>
        <w:spacing w:before="240" w:after="120"/>
      </w:pPr>
      <w:r>
        <w:rPr>
          <w:rStyle w:val="SectionNumber"/>
          <w:rFonts w:ascii="Times New Roman" w:hAnsi="Times New Roman" w:cs="Times New Roman" w:eastAsia="Times New Roman"/>
          <w:b/>
          <w:color w:val="000000"/>
          <w:sz w:val="28"/>
        </w:rPr>
        <w:t xml:space="preserve">10</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Discussion</w:t>
      </w:r>
    </w:p>
    <w:p>
      <w:pPr>
        <w:pStyle w:val="FirstParagraph"/>
        <w:spacing w:line="360" w:lineRule="auto" w:after="120"/>
        <w:jc w:val="both"/>
      </w:pPr>
      <w:r>
        <w:rPr>
          <w:bCs/>
          <w:rFonts w:ascii="Times New Roman" w:hAnsi="Times New Roman" w:cs="Times New Roman" w:eastAsia="Times New Roman"/>
          <w:b/>
          <w:color w:val="000000"/>
          <w:sz w:val="24"/>
        </w:rPr>
        <w:t xml:space="preserve">Why does zero-shot transfer work as well as it does?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Three design choices make an unseen BA look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in distribution</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to a global model.</w:t>
      </w:r>
    </w:p>
    <w:p>
      <w:pPr>
        <w:numPr>
          <w:ilvl w:val="0"/>
          <w:numId w:val="1021"/>
        </w:numPr>
        <w:pStyle w:val="Compact"/>
        <w:spacing w:line="360" w:lineRule="auto" w:after="120"/>
        <w:jc w:val="both"/>
      </w:pPr>
      <w:r>
        <w:rPr>
          <w:iCs/>
          <w:rFonts w:ascii="Times New Roman" w:hAnsi="Times New Roman" w:cs="Times New Roman" w:eastAsia="Times New Roman"/>
          <w:i/>
          <w:color w:val="000000"/>
          <w:sz w:val="24"/>
        </w:rPr>
        <w:t xml:space="preserve">Instance scaling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the trailing weekly mean removes level differences of three orders of magnitude, and with them most of the between-BA variation in absolute terms.</w:t>
      </w:r>
    </w:p>
    <w:p>
      <w:pPr>
        <w:numPr>
          <w:ilvl w:val="0"/>
          <w:numId w:val="1021"/>
        </w:numPr>
        <w:pStyle w:val="Compact"/>
        <w:spacing w:line="360" w:lineRule="auto" w:after="120"/>
        <w:jc w:val="both"/>
      </w:pPr>
      <w:r>
        <w:rPr>
          <w:iCs/>
          <w:rFonts w:ascii="Times New Roman" w:hAnsi="Times New Roman" w:cs="Times New Roman" w:eastAsia="Times New Roman"/>
          <w:i/>
          <w:color w:val="000000"/>
          <w:sz w:val="24"/>
        </w:rPr>
        <w:t xml:space="preserve">Shared shapes.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Once normalised, the daily and weekly profiles of U.S. BAs share a small number of shapes driven by human activity and climate. Forty source BAs from all three interconnections cover these shapes well. Accuracy declines steadily as the source pool shrinks: to a median nMAE of 4.81% with 20 sources and 4.97% with five, against 4.75% with 40 (Section 11.2).</w:t>
      </w:r>
    </w:p>
    <w:p>
      <w:pPr>
        <w:numPr>
          <w:ilvl w:val="0"/>
          <w:numId w:val="1021"/>
        </w:numPr>
        <w:pStyle w:val="Compact"/>
        <w:spacing w:line="360" w:lineRule="auto" w:after="120"/>
        <w:jc w:val="both"/>
      </w:pPr>
      <w:r>
        <w:rPr>
          <w:iCs/>
          <w:rFonts w:ascii="Times New Roman" w:hAnsi="Times New Roman" w:cs="Times New Roman" w:eastAsia="Times New Roman"/>
          <w:i/>
          <w:color w:val="000000"/>
          <w:sz w:val="24"/>
        </w:rPr>
        <w:t xml:space="preserve">Lag-dominated information.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 short horizons the most recent observations carry most of the information. This explains why the geographic gap, although statistically clear, is small in absolute terms at the median: about 0.1 percentage point of nMAE at 24 h with random folds, rising to about 1.7% (relative) when whole regions are held out. It also explains why the gap is largest in relative terms at 1 h, where errors are smallest and BA-specific intraday dynamics matter most. The largest relative gaps occur in a few BAs: Grant County PUD (GCPD) at every horizon, and MISO at 1 h. We did not investigate the causes, which may include atypical customer mixes or reporting practices.</w:t>
      </w:r>
    </w:p>
    <w:p>
      <w:pPr>
        <w:pStyle w:val="FirstParagraph"/>
        <w:spacing w:line="360" w:lineRule="auto" w:after="120"/>
        <w:jc w:val="both"/>
      </w:pPr>
      <w:r>
        <w:rPr>
          <w:rFonts w:ascii="Times New Roman" w:hAnsi="Times New Roman" w:cs="Times New Roman" w:eastAsia="Times New Roman"/>
          <w:color w:val="000000"/>
          <w:sz w:val="24"/>
        </w:rPr>
        <w:t xml:space="preserve">With random folds, zero-shot models are more accurate than local models at intraday horizons and non-inferior day-ahead. When whole regions are held out, they are on a par with local models at both horizons. This is consistent with the global-model literature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(Hewamalage et al., 2022; Montero-Manso and Hyndman, 2021)</w:t>
      </w:r>
      <w:r>
        <w:rPr>
          <w:rFonts w:ascii="Times New Roman" w:hAnsi="Times New Roman" w:cs="Times New Roman" w:eastAsia="Times New Roman"/>
          <w:color w:val="000000"/>
          <w:sz w:val="24"/>
        </w:rPr>
        <w:t xml:space="preserve">. For system-level load with the information set studied here, the practical corollary is that</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data pooling is worth at least as much as target-specific history</w:t>
      </w:r>
      <w:r>
        <w:rPr>
          <w:rFonts w:ascii="Times New Roman" w:hAnsi="Times New Roman" w:cs="Times New Roman" w:eastAsia="Times New Roman"/>
          <w:color w:val="000000"/>
          <w:sz w:val="24"/>
        </w:rPr>
        <w:t xml:space="preserve">. The exceptions, a few BAs with large intraday gaps, are discussed under practical implications.</w:t>
      </w:r>
    </w:p>
    <w:p>
      <w:pPr>
        <w:pStyle w:val="BodyText"/>
        <w:spacing w:line="360" w:lineRule="auto" w:after="120"/>
        <w:jc w:val="both"/>
      </w:pPr>
      <w:r>
        <w:rPr>
          <w:bCs/>
          <w:rFonts w:ascii="Times New Roman" w:hAnsi="Times New Roman" w:cs="Times New Roman" w:eastAsia="Times New Roman"/>
          <w:b/>
          <w:color w:val="000000"/>
          <w:sz w:val="24"/>
        </w:rPr>
        <w:t xml:space="preserve">Why does fine-tuning on a few weeks hurt?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Continued boosting on one to thirteen weeks fits the idiosyncrasies of a short window. Whatever the onboarding date, such a window is seasonally unrepresentative of the following year: the degradation appeared at all four dates we tested (late December, April, July and October). Local models trained on the same window are far worse still. Without a validation scheme for choosing how much to adapt, which the short window cannot provide, the safest policy for a newly onboarded system is to use the pooled model unchanged. Adaptation should be revisited once at least a full seasonal cycle is available. Shrinkage-based or regularised adaptation, and adaptation of the</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calibration layer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rather than of the point model, are natural alternatives. The latter is what ACI effectively does.</w:t>
      </w:r>
    </w:p>
    <w:p>
      <w:pPr>
        <w:pStyle w:val="BodyText"/>
        <w:spacing w:line="360" w:lineRule="auto" w:after="120"/>
        <w:jc w:val="both"/>
      </w:pPr>
      <w:r>
        <w:rPr>
          <w:bCs/>
          <w:rFonts w:ascii="Times New Roman" w:hAnsi="Times New Roman" w:cs="Times New Roman" w:eastAsia="Times New Roman"/>
          <w:b/>
          <w:color w:val="000000"/>
          <w:sz w:val="24"/>
        </w:rPr>
        <w:t xml:space="preserve">Calibration is a per-system and per-period property.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Average coverage over 48 BAs hides large BA-level deviations. A single pooled calibration set cannot be exchangeable with every BA. This holds for unseen and in-region BAs alike, and with spatially blocked folds; the heterogeneity among BAs and over time therefore matters more than whether the BA was seen in training. Short target-specific calibration windows fail for the same reason that short adaptation windows do: they are seasonally unrepresentative.</w:t>
      </w:r>
    </w:p>
    <w:p>
      <w:pPr>
        <w:pStyle w:val="BodyText"/>
        <w:spacing w:line="360" w:lineRule="auto" w:after="120"/>
        <w:jc w:val="both"/>
      </w:pPr>
      <w:r>
        <w:rPr>
          <w:rFonts w:ascii="Times New Roman" w:hAnsi="Times New Roman" w:cs="Times New Roman" w:eastAsia="Times New Roman"/>
          <w:color w:val="000000"/>
          <w:sz w:val="24"/>
        </w:rPr>
        <w:t xml:space="preserve">Online recalibration with ACI fixes per-BA marginal coverage by construction, so its value lies in the price paid in sharpness. With delayed feedback (24 h), a step that is too large lets</w:t>
      </w:r>
      <w:r>
        <w:rPr>
          <w:rFonts w:ascii="Times New Roman" w:hAnsi="Times New Roman" w:cs="Times New Roman" w:eastAsia="Times New Roman"/>
          <w:color w:val="000000"/>
          <w:sz w:val="24"/>
        </w:rPr>
        <w:t xml:space="preserve"> </w:t>
      </w:r>
      <m:oMath>
        <m:sSub>
          <m:e>
            <m:r>
              <m:t>α</m:t>
            </m:r>
          </m:e>
          <m:sub>
            <m:r>
              <m:t>t</m:t>
            </m:r>
          </m:sub>
        </m:sSub>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overshoot before earlier updates take effect, producing occasional extreme intervals. Choosing</w:t>
      </w:r>
      <w:r>
        <w:rPr>
          <w:rFonts w:ascii="Times New Roman" w:hAnsi="Times New Roman" w:cs="Times New Roman" w:eastAsia="Times New Roman"/>
          <w:color w:val="000000"/>
          <w:sz w:val="24"/>
        </w:rPr>
        <w:t xml:space="preserve"> </w:t>
      </w:r>
      <m:oMath>
        <m:r>
          <m:t>γ</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other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validation data avoided this. It gave intervals as sharp as static CQR at 24 h and a few per cent less sharp at 1 h. Conditional coverage remains imperfect at seasonal peaks and in the highest load decile, which matters most for reserves. Aggregated or strongly adaptive variants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(Bhatnagar et al., 2023; Zaffran et al., 2022)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and conditional methods are natural next steps.</w:t>
      </w:r>
    </w:p>
    <w:p>
      <w:pPr>
        <w:pStyle w:val="BodyText"/>
        <w:spacing w:line="360" w:lineRule="auto" w:after="120"/>
        <w:jc w:val="both"/>
      </w:pPr>
      <w:r>
        <w:rPr>
          <w:bCs/>
          <w:rFonts w:ascii="Times New Roman" w:hAnsi="Times New Roman" w:cs="Times New Roman" w:eastAsia="Times New Roman"/>
          <w:b/>
          <w:color w:val="000000"/>
          <w:sz w:val="24"/>
        </w:rPr>
        <w:t xml:space="preserve">Trade-offs (RQ5).</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table below summarises the trade-offs across the regimes studied.</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1584"/>
        <w:gridCol w:w="1584"/>
        <w:gridCol w:w="1584"/>
        <w:gridCol w:w="1584"/>
        <w:gridCol w:w="1584"/>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Regime</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Accuracy (median, relative)</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Interval reliability</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Target data needed</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Compute and maintenance</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Local LightGBM (per BA)</w:t>
            </w:r>
          </w:p>
        </w:tc>
        <w:tc>
          <w:tcPr/>
          <w:p>
            <w:pPr>
              <w:pStyle w:val="Compact"/>
              <w:spacing w:line="240" w:lineRule="auto" w:before="20" w:after="20"/>
              <w:jc w:val="left"/>
            </w:pPr>
            <w:r>
              <w:rPr>
                <w:rFonts w:ascii="Times New Roman" w:hAnsi="Times New Roman" w:cs="Times New Roman" w:eastAsia="Times New Roman"/>
                <w:color w:val="000000"/>
                <w:sz w:val="18"/>
              </w:rPr>
              <w:t xml:space="preserve">Baseline</w:t>
            </w:r>
          </w:p>
        </w:tc>
        <w:tc>
          <w:tcPr/>
          <w:p>
            <w:pPr>
              <w:pStyle w:val="Compact"/>
              <w:spacing w:line="240" w:lineRule="auto" w:before="20" w:after="20"/>
              <w:jc w:val="left"/>
            </w:pPr>
            <w:r>
              <w:rPr>
                <w:rFonts w:ascii="Times New Roman" w:hAnsi="Times New Roman" w:cs="Times New Roman" w:eastAsia="Times New Roman"/>
                <w:color w:val="000000"/>
                <w:sz w:val="18"/>
              </w:rPr>
              <w:t xml:space="preserve">Needs per-BA recalibration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Years</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model per BA</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Best at all horizons</w:t>
            </w:r>
          </w:p>
        </w:tc>
        <w:tc>
          <w:tcPr/>
          <w:p>
            <w:pPr>
              <w:pStyle w:val="Compact"/>
              <w:spacing w:line="240" w:lineRule="auto" w:before="20" w:after="20"/>
              <w:jc w:val="left"/>
            </w:pPr>
            <w:r>
              <w:rPr>
                <w:rFonts w:ascii="Times New Roman" w:hAnsi="Times New Roman" w:cs="Times New Roman" w:eastAsia="Times New Roman"/>
                <w:color w:val="000000"/>
                <w:sz w:val="18"/>
              </w:rPr>
              <w:t xml:space="preserve">Static CQR under-covers (&gt;5 pp) in 18.8% (24 h) to 25.0% (1 h) of BAs</w:t>
            </w:r>
          </w:p>
        </w:tc>
        <w:tc>
          <w:tcPr/>
          <w:p>
            <w:pPr>
              <w:pStyle w:val="Compact"/>
              <w:spacing w:line="240" w:lineRule="auto" w:before="20" w:after="20"/>
              <w:jc w:val="left"/>
            </w:pPr>
            <w:r>
              <w:rPr>
                <w:rFonts w:ascii="Times New Roman" w:hAnsi="Times New Roman" w:cs="Times New Roman" w:eastAsia="Times New Roman"/>
                <w:color w:val="000000"/>
                <w:sz w:val="18"/>
              </w:rPr>
              <w:t xml:space="preserve">Shared pool including target</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model per horizon</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Global, zero-shot (random folds)</w:t>
            </w:r>
          </w:p>
        </w:tc>
        <w:tc>
          <w:tcPr/>
          <w:p>
            <w:pPr>
              <w:pStyle w:val="Compact"/>
              <w:spacing w:line="240" w:lineRule="auto" w:before="20" w:after="20"/>
              <w:jc w:val="left"/>
            </w:pPr>
            <w:r>
              <w:rPr>
                <w:rFonts w:ascii="Times New Roman" w:hAnsi="Times New Roman" w:cs="Times New Roman" w:eastAsia="Times New Roman"/>
                <w:color w:val="000000"/>
                <w:sz w:val="18"/>
              </w:rPr>
              <w:t xml:space="preserve">+0.5% (24 h) to +3.4% (1 h) vs in-region; maximum +44.6% at 1 h</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 as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week (for scale)</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 no retraining to add a BA</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Global, zero-shot (spatial blocks)</w:t>
            </w:r>
          </w:p>
        </w:tc>
        <w:tc>
          <w:tcPr/>
          <w:p>
            <w:pPr>
              <w:pStyle w:val="Compact"/>
              <w:spacing w:line="240" w:lineRule="auto" w:before="20" w:after="20"/>
              <w:jc w:val="left"/>
            </w:pPr>
            <w:r>
              <w:rPr>
                <w:rFonts w:ascii="Times New Roman" w:hAnsi="Times New Roman" w:cs="Times New Roman" w:eastAsia="Times New Roman"/>
                <w:color w:val="000000"/>
                <w:sz w:val="18"/>
              </w:rPr>
              <w:t xml:space="preserve">+1.7% (24 h) to +8.0% (1 h) vs in-region; on a par with local</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 pattern</w:t>
            </w:r>
          </w:p>
        </w:tc>
        <w:tc>
          <w:tcPr/>
          <w:p>
            <w:pPr>
              <w:pStyle w:val="Compact"/>
              <w:spacing w:line="240" w:lineRule="auto" w:before="20" w:after="20"/>
              <w:jc w:val="left"/>
            </w:pPr>
            <w:r>
              <w:rPr>
                <w:rFonts w:ascii="Times New Roman" w:hAnsi="Times New Roman" w:cs="Times New Roman" w:eastAsia="Times New Roman"/>
                <w:color w:val="000000"/>
                <w:sz w:val="18"/>
              </w:rPr>
              <w:t xml:space="preserve">One week</w:t>
            </w:r>
          </w:p>
        </w:tc>
        <w:tc>
          <w:tcPr/>
          <w:p>
            <w:pPr>
              <w:pStyle w:val="Compact"/>
              <w:spacing w:line="240" w:lineRule="auto" w:before="20" w:after="20"/>
              <w:jc w:val="left"/>
            </w:pPr>
            <w:r>
              <w:rPr>
                <w:rFonts w:ascii="Times New Roman" w:hAnsi="Times New Roman" w:cs="Times New Roman" w:eastAsia="Times New Roman"/>
                <w:color w:val="000000"/>
                <w:sz w:val="18"/>
              </w:rPr>
              <w:t xml:space="preserve">Same</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Fine-tuned on 1–13 weeks</w:t>
            </w:r>
          </w:p>
        </w:tc>
        <w:tc>
          <w:tcPr/>
          <w:p>
            <w:pPr>
              <w:pStyle w:val="Compact"/>
              <w:spacing w:line="240" w:lineRule="auto" w:before="20" w:after="20"/>
              <w:jc w:val="left"/>
            </w:pPr>
            <w:r>
              <w:rPr>
                <w:rFonts w:ascii="Times New Roman" w:hAnsi="Times New Roman" w:cs="Times New Roman" w:eastAsia="Times New Roman"/>
                <w:color w:val="000000"/>
                <w:sz w:val="18"/>
              </w:rPr>
              <w:t xml:space="preserve">Worse than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Not studied</w:t>
            </w:r>
          </w:p>
        </w:tc>
        <w:tc>
          <w:tcPr/>
          <w:p>
            <w:pPr>
              <w:pStyle w:val="Compact"/>
              <w:spacing w:line="240" w:lineRule="auto" w:before="20" w:after="20"/>
              <w:jc w:val="left"/>
            </w:pPr>
            <w:r>
              <w:rPr>
                <w:rFonts w:ascii="Times New Roman" w:hAnsi="Times New Roman" w:cs="Times New Roman" w:eastAsia="Times New Roman"/>
                <w:color w:val="000000"/>
                <w:sz w:val="18"/>
              </w:rPr>
              <w:t xml:space="preserve">Weeks</w:t>
            </w:r>
          </w:p>
        </w:tc>
        <w:tc>
          <w:tcPr/>
          <w:p>
            <w:pPr>
              <w:pStyle w:val="Compact"/>
              <w:spacing w:line="240" w:lineRule="auto" w:before="20" w:after="20"/>
              <w:jc w:val="left"/>
            </w:pPr>
            <w:r>
              <w:rPr>
                <w:rFonts w:ascii="Times New Roman" w:hAnsi="Times New Roman" w:cs="Times New Roman" w:eastAsia="Times New Roman"/>
                <w:color w:val="000000"/>
                <w:sz w:val="18"/>
              </w:rPr>
              <w:t xml:space="preserve">Small per-BA cost</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 ACI (source-selected γ)</w:t>
            </w:r>
          </w:p>
        </w:tc>
        <w:tc>
          <w:tcPr/>
          <w:p>
            <w:pPr>
              <w:pStyle w:val="Compact"/>
              <w:spacing w:line="240" w:lineRule="auto" w:before="20" w:after="20"/>
              <w:jc w:val="left"/>
            </w:pPr>
            <w:r>
              <w:rPr>
                <w:rFonts w:ascii="Times New Roman" w:hAnsi="Times New Roman" w:cs="Times New Roman" w:eastAsia="Times New Roman"/>
                <w:color w:val="000000"/>
                <w:sz w:val="18"/>
              </w:rPr>
              <w:t xml:space="preserve">Unchanged (point)</w:t>
            </w:r>
          </w:p>
        </w:tc>
        <w:tc>
          <w:tcPr/>
          <w:p>
            <w:pPr>
              <w:pStyle w:val="Compact"/>
              <w:spacing w:line="240" w:lineRule="auto" w:before="20" w:after="20"/>
              <w:jc w:val="left"/>
            </w:pPr>
            <w:r>
              <w:rPr>
                <w:rFonts w:ascii="Times New Roman" w:hAnsi="Times New Roman" w:cs="Times New Roman" w:eastAsia="Times New Roman"/>
                <w:color w:val="000000"/>
                <w:sz w:val="18"/>
              </w:rPr>
              <w:t xml:space="preserve">Near-nominal per-BA marginal coverage; sharpness equal to CQR at 24 h, slightly lower at 1 h</w:t>
            </w:r>
          </w:p>
        </w:tc>
        <w:tc>
          <w:tcPr/>
          <w:p>
            <w:pPr>
              <w:pStyle w:val="Compact"/>
              <w:spacing w:line="240" w:lineRule="auto" w:before="20" w:after="20"/>
              <w:jc w:val="left"/>
            </w:pPr>
            <w:r>
              <w:rPr>
                <w:rFonts w:ascii="Times New Roman" w:hAnsi="Times New Roman" w:cs="Times New Roman" w:eastAsia="Times New Roman"/>
                <w:color w:val="000000"/>
                <w:sz w:val="18"/>
              </w:rPr>
              <w:t xml:space="preserve">Online feedback</w:t>
            </w:r>
          </w:p>
        </w:tc>
        <w:tc>
          <w:tcPr/>
          <w:p>
            <w:pPr>
              <w:pStyle w:val="Compact"/>
              <w:spacing w:line="240" w:lineRule="auto" w:before="20" w:after="20"/>
              <w:jc w:val="left"/>
            </w:pPr>
            <w:r>
              <w:rPr>
                <w:rFonts w:ascii="Times New Roman" w:hAnsi="Times New Roman" w:cs="Times New Roman" w:eastAsia="Times New Roman"/>
                <w:color w:val="000000"/>
                <w:sz w:val="18"/>
              </w:rPr>
              <w:t xml:space="preserve">Negligible</w:t>
            </w:r>
          </w:p>
        </w:tc>
      </w:tr>
    </w:tbl>
    <w:p>
      <w:pPr>
        <w:pStyle w:val="BodyText"/>
        <w:spacing w:line="360" w:lineRule="auto" w:after="120"/>
        <w:jc w:val="both"/>
      </w:pPr>
      <w:r>
        <w:rPr>
          <w:bCs/>
          <w:rFonts w:ascii="Times New Roman" w:hAnsi="Times New Roman" w:cs="Times New Roman" w:eastAsia="Times New Roman"/>
          <w:b/>
          <w:color w:val="000000"/>
          <w:sz w:val="24"/>
        </w:rPr>
        <w:t xml:space="preserve">Relation to operator forecasts.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BAs’ own day-ahead forecasts are more accurate than our 24-h models, which use only past demand and calendar information. This does not contradict the main findings. The purpose of the benchmark is to isolate the effects of geographic and temporal shift under a fixed, reproducible information set, not to replace operational weather-driven forecasting. The results suggest a practical complement: a pooled, weather-free model calibrated online can serve as a fallback or sanity check for any BA from day one, including BAs without forecasting staff.</w:t>
      </w:r>
    </w:p>
    <w:bookmarkEnd w:id="70"/>
    <w:bookmarkStart w:id="81" w:name="robustness-and-ablation-analysis"/>
    <w:p>
      <w:pPr>
        <w:pStyle w:val="Heading1"/>
        <w:keepNext/>
        <w:spacing w:before="240" w:after="120"/>
      </w:pPr>
      <w:r>
        <w:rPr>
          <w:rStyle w:val="SectionNumber"/>
          <w:rFonts w:ascii="Times New Roman" w:hAnsi="Times New Roman" w:cs="Times New Roman" w:eastAsia="Times New Roman"/>
          <w:b/>
          <w:color w:val="000000"/>
          <w:sz w:val="28"/>
        </w:rPr>
        <w:t xml:space="preserve">11</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Robustness and ablation analysis</w:t>
      </w:r>
    </w:p>
    <w:bookmarkStart w:id="74" w:name="missing-input-observations-rq4"/>
    <w:p>
      <w:pPr>
        <w:pStyle w:val="Heading2"/>
        <w:keepNext/>
        <w:spacing w:before="240" w:after="120"/>
      </w:pPr>
      <w:r>
        <w:rPr>
          <w:rStyle w:val="SectionNumber"/>
          <w:rFonts w:ascii="Times New Roman" w:hAnsi="Times New Roman" w:cs="Times New Roman" w:eastAsia="Times New Roman"/>
          <w:b/>
          <w:color w:val="000000"/>
          <w:sz w:val="24"/>
        </w:rPr>
        <w:t xml:space="preserve">11.1</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Missing input observations (RQ4)</w:t>
      </w:r>
    </w:p>
    <w:p>
      <w:pPr>
        <w:pStyle w:val="FirstParagraph"/>
        <w:spacing w:line="360" w:lineRule="auto" w:after="120"/>
        <w:jc w:val="both"/>
      </w:pPr>
      <w:r>
        <w:rPr>
          <w:rFonts w:ascii="Times New Roman" w:hAnsi="Times New Roman" w:cs="Times New Roman" w:eastAsia="Times New Roman"/>
          <w:color w:val="000000"/>
          <w:sz w:val="24"/>
        </w:rPr>
        <w:t xml:space="preserve">Table 9 and Fig. 11 report accuracy when test-period inputs are corrupted while labels are left intact.</w:t>
      </w:r>
    </w:p>
    <w:p>
      <w:pPr>
        <w:pStyle w:val="BodyText"/>
        <w:spacing w:line="360" w:lineRule="auto" w:after="120"/>
        <w:jc w:val="both"/>
      </w:pPr>
      <w:r>
        <w:rPr>
          <w:bCs/>
          <w:rFonts w:ascii="Times New Roman" w:hAnsi="Times New Roman" w:cs="Times New Roman" w:eastAsia="Times New Roman"/>
          <w:b/>
          <w:color w:val="000000"/>
          <w:sz w:val="24"/>
        </w:rPr>
        <w:t xml:space="preserve">Day-ahead forecasts degrade modestly.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with 10% of input hours missing completely at random (MCAR), the median nMAE of G-IN rises from 4.64% to 5.05% with LightGBM’s native missing-value handling. It rises to 6.93% when 40% of inputs are missing.</w:t>
      </w:r>
    </w:p>
    <w:p>
      <w:pPr>
        <w:pStyle w:val="BodyText"/>
        <w:spacing w:line="360" w:lineRule="auto" w:after="120"/>
        <w:jc w:val="both"/>
      </w:pPr>
      <w:r>
        <w:rPr>
          <w:bCs/>
          <w:rFonts w:ascii="Times New Roman" w:hAnsi="Times New Roman" w:cs="Times New Roman" w:eastAsia="Times New Roman"/>
          <w:b/>
          <w:color w:val="000000"/>
          <w:sz w:val="24"/>
        </w:rPr>
        <w:t xml:space="preserve">Hour-ahead forecasts are far more sensitive,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because they rely on the most recent observation. With native handling, 10% MCAR raises the median nMAE from 1.14% to 1.84%, and 40% MCAR to 4.04%.</w:t>
      </w:r>
    </w:p>
    <w:p>
      <w:pPr>
        <w:pStyle w:val="BodyText"/>
        <w:spacing w:line="360" w:lineRule="auto" w:after="120"/>
        <w:jc w:val="both"/>
      </w:pPr>
      <w:r>
        <w:rPr>
          <w:bCs/>
          <w:rFonts w:ascii="Times New Roman" w:hAnsi="Times New Roman" w:cs="Times New Roman" w:eastAsia="Times New Roman"/>
          <w:b/>
          <w:color w:val="000000"/>
          <w:sz w:val="24"/>
        </w:rPr>
        <w:t xml:space="preserve">The best imputation strategy depends on the gap pattern.</w:t>
      </w:r>
    </w:p>
    <w:p>
      <w:pPr>
        <w:numPr>
          <w:ilvl w:val="0"/>
          <w:numId w:val="1022"/>
        </w:numPr>
        <w:pStyle w:val="Compact"/>
        <w:spacing w:line="360" w:lineRule="auto" w:after="120"/>
        <w:jc w:val="both"/>
      </w:pPr>
      <w:r>
        <w:rPr>
          <w:rFonts w:ascii="Times New Roman" w:hAnsi="Times New Roman" w:cs="Times New Roman" w:eastAsia="Times New Roman"/>
          <w:color w:val="000000"/>
          <w:sz w:val="24"/>
        </w:rPr>
        <w:t xml:space="preserve">For scattered MCAR gaps, causal last-observation-carried-forward imputation is better than native handling (1.68% at 10% MCAR,</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w:t>
      </w:r>
    </w:p>
    <w:p>
      <w:pPr>
        <w:numPr>
          <w:ilvl w:val="0"/>
          <w:numId w:val="1022"/>
        </w:numPr>
        <w:pStyle w:val="Compact"/>
        <w:spacing w:line="360" w:lineRule="auto" w:after="120"/>
        <w:jc w:val="both"/>
      </w:pPr>
      <w:r>
        <w:rPr>
          <w:rFonts w:ascii="Times New Roman" w:hAnsi="Times New Roman" w:cs="Times New Roman" w:eastAsia="Times New Roman"/>
          <w:color w:val="000000"/>
          <w:sz w:val="24"/>
        </w:rPr>
        <w:t xml:space="preserve">For contiguous outages it is worse: with 168-h blocks 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it reaches 2.42%, against 1.95% (native) and 1.87% (weekly-seasonal imputation).</w:t>
      </w:r>
    </w:p>
    <w:p>
      <w:pPr>
        <w:pStyle w:val="FirstParagraph"/>
        <w:spacing w:line="360" w:lineRule="auto" w:after="120"/>
        <w:jc w:val="both"/>
      </w:pPr>
      <w:r>
        <w:rPr>
          <w:bCs/>
          <w:rFonts w:ascii="Times New Roman" w:hAnsi="Times New Roman" w:cs="Times New Roman" w:eastAsia="Times New Roman"/>
          <w:b/>
          <w:color w:val="000000"/>
          <w:sz w:val="24"/>
        </w:rPr>
        <w:t xml:space="preserve">Training with masked inputs is the most effective remedy.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model trained with 10% MCAR input masking reaches 1.32% at 10% MCAR and 2.29% at 40% MCAR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On clean inputs it costs 1.17% versus 1.14%. That is a relative penalty of a few per cent, similar in size to the 1-h geographic gap, which is the price of robustness. Augmentation was tested for the in-region model only.</w:t>
      </w:r>
    </w:p>
    <w:p>
      <w:pPr>
        <w:pStyle w:val="BodyText"/>
        <w:spacing w:line="360" w:lineRule="auto" w:after="120"/>
        <w:jc w:val="both"/>
      </w:pPr>
      <w:r>
        <w:rPr>
          <w:bCs/>
          <w:rFonts w:ascii="Times New Roman" w:hAnsi="Times New Roman" w:cs="Times New Roman" w:eastAsia="Times New Roman"/>
          <w:b/>
          <w:color w:val="000000"/>
          <w:sz w:val="24"/>
        </w:rPr>
        <w:t xml:space="preserve">Unseen BAs behave the same way.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zero-shot model degrades in the same way as the in-region model (e.g., 1.93% at 10% MCAR,</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so missing data does not interact with geographic shift.</w:t>
      </w:r>
    </w:p>
    <w:p>
      <w:pPr>
        <w:pStyle w:val="BodyText"/>
        <w:spacing w:line="360" w:lineRule="auto" w:after="120"/>
        <w:jc w:val="both"/>
      </w:pPr>
      <w:r>
        <w:rPr>
          <w:bCs/>
          <w:rFonts w:ascii="Times New Roman" w:hAnsi="Times New Roman" w:cs="Times New Roman" w:eastAsia="Times New Roman"/>
          <w:b/>
          <w:color w:val="000000"/>
          <w:sz w:val="24"/>
        </w:rPr>
        <w:t xml:space="preserve">Unscored hours.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 the most severe scenarios the instance scale cannot be computed for some origins, because fewer than 24 of the preceding 168 hours are observed, and no forecast is issued. All strategies within a scenario are scored on the common set of hours where every strategy issued a forecast; in the worst BA and scenario 96.9% of hours remain. Real EIA-930 gaps are clustered rather than uniformly random, so the MCAR and uniform-outage scenarios are stylised.</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9.</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Median nMAE (%) of the in-region global model with corrupted inputs (test period; common scored hours).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828"/>
        <w:gridCol w:w="1105"/>
        <w:gridCol w:w="1289"/>
        <w:gridCol w:w="736"/>
        <w:gridCol w:w="1749"/>
        <w:gridCol w:w="2210"/>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Scenario</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Native NaN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LOCF</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Weekly-seasonal</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MCAR-trained, native</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clean</w:t>
            </w:r>
          </w:p>
        </w:tc>
        <w:tc>
          <w:tcPr/>
          <w:p>
            <w:pPr>
              <w:pStyle w:val="Compact"/>
              <w:spacing w:line="240" w:lineRule="auto" w:before="20" w:after="20"/>
              <w:jc w:val="left"/>
            </w:pPr>
            <w:r>
              <w:rPr>
                <w:rFonts w:ascii="Times New Roman" w:hAnsi="Times New Roman" w:cs="Times New Roman" w:eastAsia="Times New Roman"/>
                <w:color w:val="000000"/>
                <w:sz w:val="18"/>
              </w:rPr>
              <w:t xml:space="preserve">1.14</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1.17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MCAR_10</w:t>
            </w:r>
          </w:p>
        </w:tc>
        <w:tc>
          <w:tcPr/>
          <w:p>
            <w:pPr>
              <w:pStyle w:val="Compact"/>
              <w:spacing w:line="240" w:lineRule="auto" w:before="20" w:after="20"/>
              <w:jc w:val="left"/>
            </w:pPr>
            <w:r>
              <w:rPr>
                <w:rFonts w:ascii="Times New Roman" w:hAnsi="Times New Roman" w:cs="Times New Roman" w:eastAsia="Times New Roman"/>
                <w:color w:val="000000"/>
                <w:sz w:val="18"/>
              </w:rPr>
              <w:t xml:space="preserve">1.84</w:t>
            </w:r>
          </w:p>
        </w:tc>
        <w:tc>
          <w:tcPr/>
          <w:p>
            <w:pPr>
              <w:pStyle w:val="Compact"/>
              <w:spacing w:line="240" w:lineRule="auto" w:before="20" w:after="20"/>
              <w:jc w:val="left"/>
            </w:pPr>
            <w:r>
              <w:rPr>
                <w:rFonts w:ascii="Times New Roman" w:hAnsi="Times New Roman" w:cs="Times New Roman" w:eastAsia="Times New Roman"/>
                <w:color w:val="000000"/>
                <w:sz w:val="18"/>
              </w:rPr>
              <w:t xml:space="preserve">1.68</w:t>
            </w:r>
          </w:p>
        </w:tc>
        <w:tc>
          <w:tcPr/>
          <w:p>
            <w:pPr>
              <w:pStyle w:val="Compact"/>
              <w:spacing w:line="240" w:lineRule="auto" w:before="20" w:after="20"/>
              <w:jc w:val="left"/>
            </w:pPr>
            <w:r>
              <w:rPr>
                <w:rFonts w:ascii="Times New Roman" w:hAnsi="Times New Roman" w:cs="Times New Roman" w:eastAsia="Times New Roman"/>
                <w:color w:val="000000"/>
                <w:sz w:val="18"/>
              </w:rPr>
              <w:t xml:space="preserve">2.19</w:t>
            </w:r>
          </w:p>
        </w:tc>
        <w:tc>
          <w:tcPr/>
          <w:p>
            <w:pPr>
              <w:pStyle w:val="Compact"/>
              <w:spacing w:line="240" w:lineRule="auto" w:before="20" w:after="20"/>
              <w:jc w:val="left"/>
            </w:pPr>
            <w:r>
              <w:rPr>
                <w:rFonts w:ascii="Times New Roman" w:hAnsi="Times New Roman" w:cs="Times New Roman" w:eastAsia="Times New Roman"/>
                <w:color w:val="000000"/>
                <w:sz w:val="18"/>
              </w:rPr>
              <w:t xml:space="preserve">1.32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MCAR_40</w:t>
            </w:r>
          </w:p>
        </w:tc>
        <w:tc>
          <w:tcPr/>
          <w:p>
            <w:pPr>
              <w:pStyle w:val="Compact"/>
              <w:spacing w:line="240" w:lineRule="auto" w:before="20" w:after="20"/>
              <w:jc w:val="left"/>
            </w:pPr>
            <w:r>
              <w:rPr>
                <w:rFonts w:ascii="Times New Roman" w:hAnsi="Times New Roman" w:cs="Times New Roman" w:eastAsia="Times New Roman"/>
                <w:color w:val="000000"/>
                <w:sz w:val="18"/>
              </w:rPr>
              <w:t xml:space="preserve">4.04</w:t>
            </w:r>
          </w:p>
        </w:tc>
        <w:tc>
          <w:tcPr/>
          <w:p>
            <w:pPr>
              <w:pStyle w:val="Compact"/>
              <w:spacing w:line="240" w:lineRule="auto" w:before="20" w:after="20"/>
              <w:jc w:val="left"/>
            </w:pPr>
            <w:r>
              <w:rPr>
                <w:rFonts w:ascii="Times New Roman" w:hAnsi="Times New Roman" w:cs="Times New Roman" w:eastAsia="Times New Roman"/>
                <w:color w:val="000000"/>
                <w:sz w:val="18"/>
              </w:rPr>
              <w:t xml:space="preserve">3.68</w:t>
            </w:r>
          </w:p>
        </w:tc>
        <w:tc>
          <w:tcPr/>
          <w:p>
            <w:pPr>
              <w:pStyle w:val="Compact"/>
              <w:spacing w:line="240" w:lineRule="auto" w:before="20" w:after="20"/>
              <w:jc w:val="left"/>
            </w:pPr>
            <w:r>
              <w:rPr>
                <w:rFonts w:ascii="Times New Roman" w:hAnsi="Times New Roman" w:cs="Times New Roman" w:eastAsia="Times New Roman"/>
                <w:color w:val="000000"/>
                <w:sz w:val="18"/>
              </w:rPr>
              <w:t xml:space="preserve">5.14</w:t>
            </w:r>
          </w:p>
        </w:tc>
        <w:tc>
          <w:tcPr/>
          <w:p>
            <w:pPr>
              <w:pStyle w:val="Compact"/>
              <w:spacing w:line="240" w:lineRule="auto" w:before="20" w:after="20"/>
              <w:jc w:val="left"/>
            </w:pPr>
            <w:r>
              <w:rPr>
                <w:rFonts w:ascii="Times New Roman" w:hAnsi="Times New Roman" w:cs="Times New Roman" w:eastAsia="Times New Roman"/>
                <w:color w:val="000000"/>
                <w:sz w:val="18"/>
              </w:rPr>
              <w:t xml:space="preserve">2.29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BLOCK_24h</w:t>
            </w:r>
          </w:p>
        </w:tc>
        <w:tc>
          <w:tcPr/>
          <w:p>
            <w:pPr>
              <w:pStyle w:val="Compact"/>
              <w:spacing w:line="240" w:lineRule="auto" w:before="20" w:after="20"/>
              <w:jc w:val="left"/>
            </w:pPr>
            <w:r>
              <w:rPr>
                <w:rFonts w:ascii="Times New Roman" w:hAnsi="Times New Roman" w:cs="Times New Roman" w:eastAsia="Times New Roman"/>
                <w:color w:val="000000"/>
                <w:sz w:val="18"/>
              </w:rPr>
              <w:t xml:space="preserve">1.89</w:t>
            </w:r>
          </w:p>
        </w:tc>
        <w:tc>
          <w:tcPr/>
          <w:p>
            <w:pPr>
              <w:pStyle w:val="Compact"/>
              <w:spacing w:line="240" w:lineRule="auto" w:before="20" w:after="20"/>
              <w:jc w:val="left"/>
            </w:pPr>
            <w:r>
              <w:rPr>
                <w:rFonts w:ascii="Times New Roman" w:hAnsi="Times New Roman" w:cs="Times New Roman" w:eastAsia="Times New Roman"/>
                <w:color w:val="000000"/>
                <w:sz w:val="18"/>
              </w:rPr>
              <w:t xml:space="preserve">2.52</w:t>
            </w:r>
          </w:p>
        </w:tc>
        <w:tc>
          <w:tcPr/>
          <w:p>
            <w:pPr>
              <w:pStyle w:val="Compact"/>
              <w:spacing w:line="240" w:lineRule="auto" w:before="20" w:after="20"/>
              <w:jc w:val="left"/>
            </w:pPr>
            <w:r>
              <w:rPr>
                <w:rFonts w:ascii="Times New Roman" w:hAnsi="Times New Roman" w:cs="Times New Roman" w:eastAsia="Times New Roman"/>
                <w:color w:val="000000"/>
                <w:sz w:val="18"/>
              </w:rPr>
              <w:t xml:space="preserve">1.91</w:t>
            </w:r>
          </w:p>
        </w:tc>
        <w:tc>
          <w:tcPr/>
          <w:p>
            <w:pPr>
              <w:pStyle w:val="Compact"/>
              <w:spacing w:line="240" w:lineRule="auto" w:before="20" w:after="20"/>
              <w:jc w:val="left"/>
            </w:pPr>
            <w:r>
              <w:rPr>
                <w:rFonts w:ascii="Times New Roman" w:hAnsi="Times New Roman" w:cs="Times New Roman" w:eastAsia="Times New Roman"/>
                <w:color w:val="000000"/>
                <w:sz w:val="18"/>
              </w:rPr>
              <w:t xml:space="preserve">1.71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BLOCK_168h</w:t>
            </w:r>
          </w:p>
        </w:tc>
        <w:tc>
          <w:tcPr/>
          <w:p>
            <w:pPr>
              <w:pStyle w:val="Compact"/>
              <w:spacing w:line="240" w:lineRule="auto" w:before="20" w:after="20"/>
              <w:jc w:val="left"/>
            </w:pPr>
            <w:r>
              <w:rPr>
                <w:rFonts w:ascii="Times New Roman" w:hAnsi="Times New Roman" w:cs="Times New Roman" w:eastAsia="Times New Roman"/>
                <w:color w:val="000000"/>
                <w:sz w:val="18"/>
              </w:rPr>
              <w:t xml:space="preserve">1.95</w:t>
            </w:r>
          </w:p>
        </w:tc>
        <w:tc>
          <w:tcPr/>
          <w:p>
            <w:pPr>
              <w:pStyle w:val="Compact"/>
              <w:spacing w:line="240" w:lineRule="auto" w:before="20" w:after="20"/>
              <w:jc w:val="left"/>
            </w:pPr>
            <w:r>
              <w:rPr>
                <w:rFonts w:ascii="Times New Roman" w:hAnsi="Times New Roman" w:cs="Times New Roman" w:eastAsia="Times New Roman"/>
                <w:color w:val="000000"/>
                <w:sz w:val="18"/>
              </w:rPr>
              <w:t xml:space="preserve">2.42</w:t>
            </w:r>
          </w:p>
        </w:tc>
        <w:tc>
          <w:tcPr/>
          <w:p>
            <w:pPr>
              <w:pStyle w:val="Compact"/>
              <w:spacing w:line="240" w:lineRule="auto" w:before="20" w:after="20"/>
              <w:jc w:val="left"/>
            </w:pPr>
            <w:r>
              <w:rPr>
                <w:rFonts w:ascii="Times New Roman" w:hAnsi="Times New Roman" w:cs="Times New Roman" w:eastAsia="Times New Roman"/>
                <w:color w:val="000000"/>
                <w:sz w:val="18"/>
              </w:rPr>
              <w:t xml:space="preserve">1.87</w:t>
            </w:r>
          </w:p>
        </w:tc>
        <w:tc>
          <w:tcPr/>
          <w:p>
            <w:pPr>
              <w:pStyle w:val="Compact"/>
              <w:spacing w:line="240" w:lineRule="auto" w:before="20" w:after="20"/>
              <w:jc w:val="left"/>
            </w:pPr>
            <w:r>
              <w:rPr>
                <w:rFonts w:ascii="Times New Roman" w:hAnsi="Times New Roman" w:cs="Times New Roman" w:eastAsia="Times New Roman"/>
                <w:color w:val="000000"/>
                <w:sz w:val="18"/>
              </w:rPr>
              <w:t xml:space="preserve">1.94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clean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w:t>
            </w:r>
          </w:p>
        </w:tc>
        <w:tc>
          <w:tcPr/>
          <w:p>
            <w:pPr>
              <w:pStyle w:val="Compact"/>
              <w:spacing w:line="240" w:lineRule="auto" w:before="20" w:after="20"/>
              <w:jc w:val="left"/>
            </w:pPr>
            <w:r>
              <w:rPr>
                <w:rFonts w:ascii="Times New Roman" w:hAnsi="Times New Roman" w:cs="Times New Roman" w:eastAsia="Times New Roman"/>
                <w:color w:val="000000"/>
                <w:sz w:val="18"/>
              </w:rPr>
              <w:t xml:space="preserve">4.65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MCAR_10</w:t>
            </w:r>
          </w:p>
        </w:tc>
        <w:tc>
          <w:tcPr/>
          <w:p>
            <w:pPr>
              <w:pStyle w:val="Compact"/>
              <w:spacing w:line="240" w:lineRule="auto" w:before="20" w:after="20"/>
              <w:jc w:val="left"/>
            </w:pPr>
            <w:r>
              <w:rPr>
                <w:rFonts w:ascii="Times New Roman" w:hAnsi="Times New Roman" w:cs="Times New Roman" w:eastAsia="Times New Roman"/>
                <w:color w:val="000000"/>
                <w:sz w:val="18"/>
              </w:rPr>
              <w:t xml:space="preserve">5.05</w:t>
            </w:r>
          </w:p>
        </w:tc>
        <w:tc>
          <w:tcPr/>
          <w:p>
            <w:pPr>
              <w:pStyle w:val="Compact"/>
              <w:spacing w:line="240" w:lineRule="auto" w:before="20" w:after="20"/>
              <w:jc w:val="left"/>
            </w:pPr>
            <w:r>
              <w:rPr>
                <w:rFonts w:ascii="Times New Roman" w:hAnsi="Times New Roman" w:cs="Times New Roman" w:eastAsia="Times New Roman"/>
                <w:color w:val="000000"/>
                <w:sz w:val="18"/>
              </w:rPr>
              <w:t xml:space="preserve">4.81</w:t>
            </w:r>
          </w:p>
        </w:tc>
        <w:tc>
          <w:tcPr/>
          <w:p>
            <w:pPr>
              <w:pStyle w:val="Compact"/>
              <w:spacing w:line="240" w:lineRule="auto" w:before="20" w:after="20"/>
              <w:jc w:val="left"/>
            </w:pPr>
            <w:r>
              <w:rPr>
                <w:rFonts w:ascii="Times New Roman" w:hAnsi="Times New Roman" w:cs="Times New Roman" w:eastAsia="Times New Roman"/>
                <w:color w:val="000000"/>
                <w:sz w:val="18"/>
              </w:rPr>
              <w:t xml:space="preserve">5.06</w:t>
            </w:r>
          </w:p>
        </w:tc>
        <w:tc>
          <w:tcPr/>
          <w:p>
            <w:pPr>
              <w:pStyle w:val="Compact"/>
              <w:spacing w:line="240" w:lineRule="auto" w:before="20" w:after="20"/>
              <w:jc w:val="left"/>
            </w:pPr>
            <w:r>
              <w:rPr>
                <w:rFonts w:ascii="Times New Roman" w:hAnsi="Times New Roman" w:cs="Times New Roman" w:eastAsia="Times New Roman"/>
                <w:color w:val="000000"/>
                <w:sz w:val="18"/>
              </w:rPr>
              <w:t xml:space="preserve">4.72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MCAR_40</w:t>
            </w:r>
          </w:p>
        </w:tc>
        <w:tc>
          <w:tcPr/>
          <w:p>
            <w:pPr>
              <w:pStyle w:val="Compact"/>
              <w:spacing w:line="240" w:lineRule="auto" w:before="20" w:after="20"/>
              <w:jc w:val="left"/>
            </w:pPr>
            <w:r>
              <w:rPr>
                <w:rFonts w:ascii="Times New Roman" w:hAnsi="Times New Roman" w:cs="Times New Roman" w:eastAsia="Times New Roman"/>
                <w:color w:val="000000"/>
                <w:sz w:val="18"/>
              </w:rPr>
              <w:t xml:space="preserve">6.93</w:t>
            </w:r>
          </w:p>
        </w:tc>
        <w:tc>
          <w:tcPr/>
          <w:p>
            <w:pPr>
              <w:pStyle w:val="Compact"/>
              <w:spacing w:line="240" w:lineRule="auto" w:before="20" w:after="20"/>
              <w:jc w:val="left"/>
            </w:pPr>
            <w:r>
              <w:rPr>
                <w:rFonts w:ascii="Times New Roman" w:hAnsi="Times New Roman" w:cs="Times New Roman" w:eastAsia="Times New Roman"/>
                <w:color w:val="000000"/>
                <w:sz w:val="18"/>
              </w:rPr>
              <w:t xml:space="preserve">5.98</w:t>
            </w:r>
          </w:p>
        </w:tc>
        <w:tc>
          <w:tcPr/>
          <w:p>
            <w:pPr>
              <w:pStyle w:val="Compact"/>
              <w:spacing w:line="240" w:lineRule="auto" w:before="20" w:after="20"/>
              <w:jc w:val="left"/>
            </w:pPr>
            <w:r>
              <w:rPr>
                <w:rFonts w:ascii="Times New Roman" w:hAnsi="Times New Roman" w:cs="Times New Roman" w:eastAsia="Times New Roman"/>
                <w:color w:val="000000"/>
                <w:sz w:val="18"/>
              </w:rPr>
              <w:t xml:space="preserve">6.66</w:t>
            </w:r>
          </w:p>
        </w:tc>
        <w:tc>
          <w:tcPr/>
          <w:p>
            <w:pPr>
              <w:pStyle w:val="Compact"/>
              <w:spacing w:line="240" w:lineRule="auto" w:before="20" w:after="20"/>
              <w:jc w:val="left"/>
            </w:pPr>
            <w:r>
              <w:rPr>
                <w:rFonts w:ascii="Times New Roman" w:hAnsi="Times New Roman" w:cs="Times New Roman" w:eastAsia="Times New Roman"/>
                <w:color w:val="000000"/>
                <w:sz w:val="18"/>
              </w:rPr>
              <w:t xml:space="preserve">5.4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BLOCK_24h</w:t>
            </w:r>
          </w:p>
        </w:tc>
        <w:tc>
          <w:tcPr/>
          <w:p>
            <w:pPr>
              <w:pStyle w:val="Compact"/>
              <w:spacing w:line="240" w:lineRule="auto" w:before="20" w:after="20"/>
              <w:jc w:val="left"/>
            </w:pPr>
            <w:r>
              <w:rPr>
                <w:rFonts w:ascii="Times New Roman" w:hAnsi="Times New Roman" w:cs="Times New Roman" w:eastAsia="Times New Roman"/>
                <w:color w:val="000000"/>
                <w:sz w:val="18"/>
              </w:rPr>
              <w:t xml:space="preserve">5.02</w:t>
            </w:r>
          </w:p>
        </w:tc>
        <w:tc>
          <w:tcPr/>
          <w:p>
            <w:pPr>
              <w:pStyle w:val="Compact"/>
              <w:spacing w:line="240" w:lineRule="auto" w:before="20" w:after="20"/>
              <w:jc w:val="left"/>
            </w:pPr>
            <w:r>
              <w:rPr>
                <w:rFonts w:ascii="Times New Roman" w:hAnsi="Times New Roman" w:cs="Times New Roman" w:eastAsia="Times New Roman"/>
                <w:color w:val="000000"/>
                <w:sz w:val="18"/>
              </w:rPr>
              <w:t xml:space="preserve">5.81</w:t>
            </w:r>
          </w:p>
        </w:tc>
        <w:tc>
          <w:tcPr/>
          <w:p>
            <w:pPr>
              <w:pStyle w:val="Compact"/>
              <w:spacing w:line="240" w:lineRule="auto" w:before="20" w:after="20"/>
              <w:jc w:val="left"/>
            </w:pPr>
            <w:r>
              <w:rPr>
                <w:rFonts w:ascii="Times New Roman" w:hAnsi="Times New Roman" w:cs="Times New Roman" w:eastAsia="Times New Roman"/>
                <w:color w:val="000000"/>
                <w:sz w:val="18"/>
              </w:rPr>
              <w:t xml:space="preserve">5.13</w:t>
            </w:r>
          </w:p>
        </w:tc>
        <w:tc>
          <w:tcPr/>
          <w:p>
            <w:pPr>
              <w:pStyle w:val="Compact"/>
              <w:spacing w:line="240" w:lineRule="auto" w:before="20" w:after="20"/>
              <w:jc w:val="left"/>
            </w:pPr>
            <w:r>
              <w:rPr>
                <w:rFonts w:ascii="Times New Roman" w:hAnsi="Times New Roman" w:cs="Times New Roman" w:eastAsia="Times New Roman"/>
                <w:color w:val="000000"/>
                <w:sz w:val="18"/>
              </w:rPr>
              <w:t xml:space="preserve">4.94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24</w:t>
            </w:r>
          </w:p>
        </w:tc>
        <w:tc>
          <w:tcPr/>
          <w:p>
            <w:pPr>
              <w:pStyle w:val="Compact"/>
              <w:spacing w:line="240" w:lineRule="auto" w:before="20" w:after="20"/>
              <w:jc w:val="left"/>
            </w:pPr>
            <w:r>
              <w:rPr>
                <w:rFonts w:ascii="Times New Roman" w:hAnsi="Times New Roman" w:cs="Times New Roman" w:eastAsia="Times New Roman"/>
                <w:color w:val="000000"/>
                <w:sz w:val="18"/>
              </w:rPr>
              <w:t xml:space="preserve">BLOCK_168h</w:t>
            </w:r>
          </w:p>
        </w:tc>
        <w:tc>
          <w:tcPr/>
          <w:p>
            <w:pPr>
              <w:pStyle w:val="Compact"/>
              <w:spacing w:line="240" w:lineRule="auto" w:before="20" w:after="20"/>
              <w:jc w:val="left"/>
            </w:pPr>
            <w:r>
              <w:rPr>
                <w:rFonts w:ascii="Times New Roman" w:hAnsi="Times New Roman" w:cs="Times New Roman" w:eastAsia="Times New Roman"/>
                <w:color w:val="000000"/>
                <w:sz w:val="18"/>
              </w:rPr>
              <w:t xml:space="preserve">5.07</w:t>
            </w:r>
          </w:p>
        </w:tc>
        <w:tc>
          <w:tcPr/>
          <w:p>
            <w:pPr>
              <w:pStyle w:val="Compact"/>
              <w:spacing w:line="240" w:lineRule="auto" w:before="20" w:after="20"/>
              <w:jc w:val="left"/>
            </w:pPr>
            <w:r>
              <w:rPr>
                <w:rFonts w:ascii="Times New Roman" w:hAnsi="Times New Roman" w:cs="Times New Roman" w:eastAsia="Times New Roman"/>
                <w:color w:val="000000"/>
                <w:sz w:val="18"/>
              </w:rPr>
              <w:t xml:space="preserve">5.79</w:t>
            </w:r>
          </w:p>
        </w:tc>
        <w:tc>
          <w:tcPr/>
          <w:p>
            <w:pPr>
              <w:pStyle w:val="Compact"/>
              <w:spacing w:line="240" w:lineRule="auto" w:before="20" w:after="20"/>
              <w:jc w:val="left"/>
            </w:pPr>
            <w:r>
              <w:rPr>
                <w:rFonts w:ascii="Times New Roman" w:hAnsi="Times New Roman" w:cs="Times New Roman" w:eastAsia="Times New Roman"/>
                <w:color w:val="000000"/>
                <w:sz w:val="18"/>
              </w:rPr>
              <w:t xml:space="preserve">5.07</w:t>
            </w:r>
          </w:p>
        </w:tc>
        <w:tc>
          <w:tcPr/>
          <w:p>
            <w:pPr>
              <w:pStyle w:val="Compact"/>
              <w:spacing w:line="240" w:lineRule="auto" w:before="20" w:after="20"/>
              <w:jc w:val="left"/>
            </w:pPr>
            <w:r>
              <w:rPr>
                <w:rFonts w:ascii="Times New Roman" w:hAnsi="Times New Roman" w:cs="Times New Roman" w:eastAsia="Times New Roman"/>
                <w:color w:val="000000"/>
                <w:sz w:val="18"/>
              </w:rPr>
              <w:t xml:space="preserve">5.03</w:t>
            </w:r>
          </w:p>
        </w:tc>
      </w:tr>
    </w:tbl>
    <w:p>
      <w:pPr>
        <w:pStyle w:val="BodyText"/>
        <w:keepNext/>
        <w:spacing w:line="240" w:lineRule="auto"/>
        <w:jc w:val="center"/>
      </w:pPr>
      <w:r>
        <w:drawing>
          <wp:inline>
            <wp:extent cx="5334000" cy="2049561"/>
            <wp:effectExtent b="0" l="0" r="0" t="0"/>
            <wp:docPr descr="" title="" id="72" name="Picture"/>
            <a:graphic>
              <a:graphicData uri="http://schemas.openxmlformats.org/drawingml/2006/picture">
                <pic:pic>
                  <pic:nvPicPr>
                    <pic:cNvPr descr="/home/user/cross-regional-electricity-forecasting/cross_regional_electricity_forecasting/figures/fig11_missing_data.png" id="73" name="Picture"/>
                    <pic:cNvPicPr>
                      <a:picLocks noChangeArrowheads="1" noChangeAspect="1"/>
                    </pic:cNvPicPr>
                  </pic:nvPicPr>
                  <pic:blipFill>
                    <a:blip r:embed="rId71"/>
                    <a:stretch>
                      <a:fillRect/>
                    </a:stretch>
                  </pic:blipFill>
                  <pic:spPr bwMode="auto">
                    <a:xfrm>
                      <a:off x="0" y="0"/>
                      <a:ext cx="5334000" cy="2049561"/>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Robustness to missing inputs: median test nMAE vs share of missing input hours for imputation strategies; × and + mark 24-h and 168-h outage scenarios.</w:t>
      </w:r>
    </w:p>
    <w:bookmarkEnd w:id="74"/>
    <w:bookmarkStart w:id="78" w:name="ablations-of-the-zero-shot-model"/>
    <w:p>
      <w:pPr>
        <w:pStyle w:val="Heading2"/>
        <w:keepNext/>
        <w:spacing w:before="240" w:after="120"/>
      </w:pPr>
      <w:r>
        <w:rPr>
          <w:rStyle w:val="SectionNumber"/>
          <w:rFonts w:ascii="Times New Roman" w:hAnsi="Times New Roman" w:cs="Times New Roman" w:eastAsia="Times New Roman"/>
          <w:b/>
          <w:color w:val="000000"/>
          <w:sz w:val="24"/>
        </w:rPr>
        <w:t xml:space="preserve">11.2</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Ablations of the zero-shot model</w:t>
      </w:r>
    </w:p>
    <w:p>
      <w:pPr>
        <w:pStyle w:val="FirstParagraph"/>
        <w:spacing w:line="360" w:lineRule="auto" w:after="120"/>
        <w:jc w:val="both"/>
      </w:pPr>
      <w:r>
        <w:rPr>
          <w:rFonts w:ascii="Times New Roman" w:hAnsi="Times New Roman" w:cs="Times New Roman" w:eastAsia="Times New Roman"/>
          <w:color w:val="000000"/>
          <w:sz w:val="24"/>
        </w:rPr>
        <w:t xml:space="preserve">Table 10 and Fig. 12 report ablations for unseen BAs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Each is measured as the median per-BA relative change in nMAE against the full zero-shot model.</w:t>
      </w:r>
    </w:p>
    <w:p>
      <w:pPr>
        <w:pStyle w:val="BodyText"/>
        <w:spacing w:line="360" w:lineRule="auto" w:after="120"/>
        <w:jc w:val="both"/>
      </w:pPr>
      <w:r>
        <w:rPr>
          <w:bCs/>
          <w:rFonts w:ascii="Times New Roman" w:hAnsi="Times New Roman" w:cs="Times New Roman" w:eastAsia="Times New Roman"/>
          <w:b/>
          <w:color w:val="000000"/>
          <w:sz w:val="24"/>
        </w:rPr>
        <w:t xml:space="preserve">Feature groups.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changes are:</w:t>
      </w:r>
    </w:p>
    <w:p>
      <w:pPr>
        <w:numPr>
          <w:ilvl w:val="0"/>
          <w:numId w:val="1023"/>
        </w:numPr>
        <w:pStyle w:val="Compact"/>
        <w:spacing w:line="360" w:lineRule="auto" w:after="120"/>
        <w:jc w:val="both"/>
      </w:pPr>
      <w:r>
        <w:rPr>
          <w:rFonts w:ascii="Times New Roman" w:hAnsi="Times New Roman" w:cs="Times New Roman" w:eastAsia="Times New Roman"/>
          <w:color w:val="000000"/>
          <w:sz w:val="24"/>
        </w:rPr>
        <w:t xml:space="preserve">removing calendar features: 6.7% (95% CI 5.0 to 7.0%);</w:t>
      </w:r>
    </w:p>
    <w:p>
      <w:pPr>
        <w:numPr>
          <w:ilvl w:val="0"/>
          <w:numId w:val="1023"/>
        </w:numPr>
        <w:pStyle w:val="Compact"/>
        <w:spacing w:line="360" w:lineRule="auto" w:after="120"/>
        <w:jc w:val="both"/>
      </w:pPr>
      <w:r>
        <w:rPr>
          <w:rFonts w:ascii="Times New Roman" w:hAnsi="Times New Roman" w:cs="Times New Roman" w:eastAsia="Times New Roman"/>
          <w:color w:val="000000"/>
          <w:sz w:val="24"/>
        </w:rPr>
        <w:t xml:space="preserve">removing the weekly lags: 0.6% (CI 0.5 to 1.3%);</w:t>
      </w:r>
    </w:p>
    <w:p>
      <w:pPr>
        <w:numPr>
          <w:ilvl w:val="0"/>
          <w:numId w:val="1023"/>
        </w:numPr>
        <w:pStyle w:val="Compact"/>
        <w:spacing w:line="360" w:lineRule="auto" w:after="120"/>
        <w:jc w:val="both"/>
      </w:pPr>
      <w:r>
        <w:rPr>
          <w:rFonts w:ascii="Times New Roman" w:hAnsi="Times New Roman" w:cs="Times New Roman" w:eastAsia="Times New Roman"/>
          <w:color w:val="000000"/>
          <w:sz w:val="24"/>
        </w:rPr>
        <w:t xml:space="preserve">keeping only the four most recent lags: 0.3% (CI 0.1 to 0.4%).</w:t>
      </w:r>
    </w:p>
    <w:p>
      <w:pPr>
        <w:pStyle w:val="FirstParagraph"/>
        <w:spacing w:line="360" w:lineRule="auto" w:after="120"/>
        <w:jc w:val="both"/>
      </w:pPr>
      <w:r>
        <w:rPr>
          <w:bCs/>
          <w:rFonts w:ascii="Times New Roman" w:hAnsi="Times New Roman" w:cs="Times New Roman" w:eastAsia="Times New Roman"/>
          <w:b/>
          <w:color w:val="000000"/>
          <w:sz w:val="24"/>
        </w:rPr>
        <w:t xml:space="preserve">Source-pool size.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Shrinking the source pool from 40 BAs to 20, 10 or 5 randomly drawn BAs gives median nMAEs of 4.81%, 4.87% and 4.97% (averages over three draws), against 4.75% with all 40 sources. Results vary little across draws (with five sources, 4.93–5.00%), so the size of the pool, rather than its particular composition, drives the loss.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10.</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Ablations of the zero-shot global model (h = 24 h, unseen BAs).</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2679"/>
        <w:gridCol w:w="1012"/>
        <w:gridCol w:w="2143"/>
        <w:gridCol w:w="833"/>
        <w:gridCol w:w="1250"/>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8"/>
              </w:rPr>
              <w:t xml:space="preserve">Variant</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nMAE % median</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Median rel. change vs full LRO %</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95% CI</w:t>
            </w:r>
          </w:p>
        </w:tc>
        <w:tc>
          <w:tcPr/>
          <w:p>
            <w:pPr>
              <w:pStyle w:val="Compact"/>
              <w:spacing w:line="240" w:lineRule="auto" w:before="20" w:after="20"/>
              <w:jc w:val="left"/>
            </w:pPr>
            <w:r>
              <w:rPr>
                <w:rFonts w:ascii="Times New Roman" w:hAnsi="Times New Roman" w:cs="Times New Roman" w:eastAsia="Times New Roman"/>
                <w:b/>
                <w:color w:val="000000"/>
                <w:sz w:val="18"/>
              </w:rPr>
              <w:t xml:space="preserve">Wilcoxon p (Holm)</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(unseen region, zero-shot)</w:t>
            </w:r>
          </w:p>
        </w:tc>
        <w:tc>
          <w:tcPr/>
          <w:p>
            <w:pPr>
              <w:pStyle w:val="Compact"/>
              <w:spacing w:line="240" w:lineRule="auto" w:before="20" w:after="20"/>
              <w:jc w:val="left"/>
            </w:pPr>
            <w:r>
              <w:rPr>
                <w:rFonts w:ascii="Times New Roman" w:hAnsi="Times New Roman" w:cs="Times New Roman" w:eastAsia="Times New Roman"/>
                <w:color w:val="000000"/>
                <w:sz w:val="18"/>
              </w:rPr>
              <w:t xml:space="preserve">4.75</w:t>
            </w:r>
          </w:p>
        </w:tc>
        <w:tc>
          <w:tcPr/>
          <w:p>
            <w:pPr>
              <w:pStyle w:val="Compact"/>
              <w:spacing w:line="240" w:lineRule="auto" w:before="20" w:after="20"/>
              <w:jc w:val="left"/>
            </w:pPr>
            <w:r>
              <w:rPr>
                <w:rFonts w:ascii="Times New Roman" w:hAnsi="Times New Roman" w:cs="Times New Roman" w:eastAsia="Times New Roman"/>
                <w:color w:val="000000"/>
                <w:sz w:val="18"/>
              </w:rPr>
              <w:t xml:space="preserve">reference</w:t>
            </w:r>
          </w:p>
        </w:tc>
        <w:tc>
          <w:tcPr/>
          <w:p>
            <w:pPr>
              <w:pStyle w:val="Compact"/>
              <w:spacing w:line="240" w:lineRule="auto" w:before="20" w:after="20"/>
              <w:jc w:val="left"/>
            </w:pPr>
          </w:p>
        </w:tc>
        <w:tc>
          <w:tcPr/>
          <w:p>
            <w:pPr>
              <w:pStyle w:val="Compact"/>
              <w:spacing w:line="240" w:lineRule="auto" w:before="20" w:after="20"/>
              <w:jc w:val="left"/>
            </w:pP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LightGBM, global (in-region)</w:t>
            </w:r>
          </w:p>
        </w:tc>
        <w:tc>
          <w:tcPr/>
          <w:p>
            <w:pPr>
              <w:pStyle w:val="Compact"/>
              <w:spacing w:line="240" w:lineRule="auto" w:before="20" w:after="20"/>
              <w:jc w:val="left"/>
            </w:pPr>
            <w:r>
              <w:rPr>
                <w:rFonts w:ascii="Times New Roman" w:hAnsi="Times New Roman" w:cs="Times New Roman" w:eastAsia="Times New Roman"/>
                <w:color w:val="000000"/>
                <w:sz w:val="18"/>
              </w:rPr>
              <w:t xml:space="preserve">4.64</w:t>
            </w:r>
          </w:p>
        </w:tc>
        <w:tc>
          <w:tcPr/>
          <w:p>
            <w:pPr>
              <w:pStyle w:val="Compact"/>
              <w:spacing w:line="240" w:lineRule="auto" w:before="20" w:after="20"/>
              <w:jc w:val="left"/>
            </w:pPr>
            <w:r>
              <w:rPr>
                <w:rFonts w:ascii="Times New Roman" w:hAnsi="Times New Roman" w:cs="Times New Roman" w:eastAsia="Times New Roman"/>
                <w:color w:val="000000"/>
                <w:sz w:val="18"/>
              </w:rPr>
              <w:t xml:space="preserve">-0.5</w:t>
            </w:r>
          </w:p>
        </w:tc>
        <w:tc>
          <w:tcPr/>
          <w:p>
            <w:pPr>
              <w:pStyle w:val="Compact"/>
              <w:spacing w:line="240" w:lineRule="auto" w:before="20" w:after="20"/>
              <w:jc w:val="left"/>
            </w:pPr>
            <w:r>
              <w:rPr>
                <w:rFonts w:ascii="Times New Roman" w:hAnsi="Times New Roman" w:cs="Times New Roman" w:eastAsia="Times New Roman"/>
                <w:color w:val="000000"/>
                <w:sz w:val="18"/>
              </w:rPr>
              <w:t xml:space="preserve">[-0.7, -0.4]</w:t>
            </w:r>
          </w:p>
        </w:tc>
        <w:tc>
          <w:tcPr/>
          <w:p>
            <w:pPr>
              <w:pStyle w:val="Compact"/>
              <w:spacing w:line="240" w:lineRule="auto" w:before="20" w:after="20"/>
              <w:jc w:val="left"/>
            </w:pPr>
            <w:r>
              <w:rPr>
                <w:rFonts w:ascii="Times New Roman" w:hAnsi="Times New Roman" w:cs="Times New Roman" w:eastAsia="Times New Roman"/>
                <w:color w:val="000000"/>
                <w:sz w:val="18"/>
              </w:rPr>
              <w:t xml:space="preserve">6.3e-12</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Without calendar features</w:t>
            </w:r>
          </w:p>
        </w:tc>
        <w:tc>
          <w:tcPr/>
          <w:p>
            <w:pPr>
              <w:pStyle w:val="Compact"/>
              <w:spacing w:line="240" w:lineRule="auto" w:before="20" w:after="20"/>
              <w:jc w:val="left"/>
            </w:pPr>
            <w:r>
              <w:rPr>
                <w:rFonts w:ascii="Times New Roman" w:hAnsi="Times New Roman" w:cs="Times New Roman" w:eastAsia="Times New Roman"/>
                <w:color w:val="000000"/>
                <w:sz w:val="18"/>
              </w:rPr>
              <w:t xml:space="preserve">5.09</w:t>
            </w:r>
          </w:p>
        </w:tc>
        <w:tc>
          <w:tcPr/>
          <w:p>
            <w:pPr>
              <w:pStyle w:val="Compact"/>
              <w:spacing w:line="240" w:lineRule="auto" w:before="20" w:after="20"/>
              <w:jc w:val="left"/>
            </w:pPr>
            <w:r>
              <w:rPr>
                <w:rFonts w:ascii="Times New Roman" w:hAnsi="Times New Roman" w:cs="Times New Roman" w:eastAsia="Times New Roman"/>
                <w:color w:val="000000"/>
                <w:sz w:val="18"/>
              </w:rPr>
              <w:t xml:space="preserve">6.7</w:t>
            </w:r>
          </w:p>
        </w:tc>
        <w:tc>
          <w:tcPr/>
          <w:p>
            <w:pPr>
              <w:pStyle w:val="Compact"/>
              <w:spacing w:line="240" w:lineRule="auto" w:before="20" w:after="20"/>
              <w:jc w:val="left"/>
            </w:pPr>
            <w:r>
              <w:rPr>
                <w:rFonts w:ascii="Times New Roman" w:hAnsi="Times New Roman" w:cs="Times New Roman" w:eastAsia="Times New Roman"/>
                <w:color w:val="000000"/>
                <w:sz w:val="18"/>
              </w:rPr>
              <w:t xml:space="preserve">[5.0, 7.0]</w:t>
            </w:r>
          </w:p>
        </w:tc>
        <w:tc>
          <w:tcPr/>
          <w:p>
            <w:pPr>
              <w:pStyle w:val="Compact"/>
              <w:spacing w:line="240" w:lineRule="auto" w:before="20" w:after="20"/>
              <w:jc w:val="left"/>
            </w:pPr>
            <w:r>
              <w:rPr>
                <w:rFonts w:ascii="Times New Roman" w:hAnsi="Times New Roman" w:cs="Times New Roman" w:eastAsia="Times New Roman"/>
                <w:color w:val="000000"/>
                <w:sz w:val="18"/>
              </w:rPr>
              <w:t xml:space="preserve">9.2e-14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Without weekly lags (168, 336 h)</w:t>
            </w:r>
          </w:p>
        </w:tc>
        <w:tc>
          <w:tcPr/>
          <w:p>
            <w:pPr>
              <w:pStyle w:val="Compact"/>
              <w:spacing w:line="240" w:lineRule="auto" w:before="20" w:after="20"/>
              <w:jc w:val="left"/>
            </w:pPr>
            <w:r>
              <w:rPr>
                <w:rFonts w:ascii="Times New Roman" w:hAnsi="Times New Roman" w:cs="Times New Roman" w:eastAsia="Times New Roman"/>
                <w:color w:val="000000"/>
                <w:sz w:val="18"/>
              </w:rPr>
              <w:t xml:space="preserve">4.87</w:t>
            </w:r>
          </w:p>
        </w:tc>
        <w:tc>
          <w:tcPr/>
          <w:p>
            <w:pPr>
              <w:pStyle w:val="Compact"/>
              <w:spacing w:line="240" w:lineRule="auto" w:before="20" w:after="20"/>
              <w:jc w:val="left"/>
            </w:pPr>
            <w:r>
              <w:rPr>
                <w:rFonts w:ascii="Times New Roman" w:hAnsi="Times New Roman" w:cs="Times New Roman" w:eastAsia="Times New Roman"/>
                <w:color w:val="000000"/>
                <w:sz w:val="18"/>
              </w:rPr>
              <w:t xml:space="preserve">0.6</w:t>
            </w:r>
          </w:p>
        </w:tc>
        <w:tc>
          <w:tcPr/>
          <w:p>
            <w:pPr>
              <w:pStyle w:val="Compact"/>
              <w:spacing w:line="240" w:lineRule="auto" w:before="20" w:after="20"/>
              <w:jc w:val="left"/>
            </w:pPr>
            <w:r>
              <w:rPr>
                <w:rFonts w:ascii="Times New Roman" w:hAnsi="Times New Roman" w:cs="Times New Roman" w:eastAsia="Times New Roman"/>
                <w:color w:val="000000"/>
                <w:sz w:val="18"/>
              </w:rPr>
              <w:t xml:space="preserve">[0.5, 1.3]</w:t>
            </w:r>
          </w:p>
        </w:tc>
        <w:tc>
          <w:tcPr/>
          <w:p>
            <w:pPr>
              <w:pStyle w:val="Compact"/>
              <w:spacing w:line="240" w:lineRule="auto" w:before="20" w:after="20"/>
              <w:jc w:val="left"/>
            </w:pPr>
            <w:r>
              <w:rPr>
                <w:rFonts w:ascii="Times New Roman" w:hAnsi="Times New Roman" w:cs="Times New Roman" w:eastAsia="Times New Roman"/>
                <w:color w:val="000000"/>
                <w:sz w:val="18"/>
              </w:rPr>
              <w:t xml:space="preserve">7.8e-05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Recent lags 0–3 h only (drop lags 4–23 h)</w:t>
            </w:r>
          </w:p>
        </w:tc>
        <w:tc>
          <w:tcPr/>
          <w:p>
            <w:pPr>
              <w:pStyle w:val="Compact"/>
              <w:spacing w:line="240" w:lineRule="auto" w:before="20" w:after="20"/>
              <w:jc w:val="left"/>
            </w:pPr>
            <w:r>
              <w:rPr>
                <w:rFonts w:ascii="Times New Roman" w:hAnsi="Times New Roman" w:cs="Times New Roman" w:eastAsia="Times New Roman"/>
                <w:color w:val="000000"/>
                <w:sz w:val="18"/>
              </w:rPr>
              <w:t xml:space="preserve">4.76</w:t>
            </w:r>
          </w:p>
        </w:tc>
        <w:tc>
          <w:tcPr/>
          <w:p>
            <w:pPr>
              <w:pStyle w:val="Compact"/>
              <w:spacing w:line="240" w:lineRule="auto" w:before="20" w:after="20"/>
              <w:jc w:val="left"/>
            </w:pPr>
            <w:r>
              <w:rPr>
                <w:rFonts w:ascii="Times New Roman" w:hAnsi="Times New Roman" w:cs="Times New Roman" w:eastAsia="Times New Roman"/>
                <w:color w:val="000000"/>
                <w:sz w:val="18"/>
              </w:rPr>
              <w:t xml:space="preserve">0.3</w:t>
            </w:r>
          </w:p>
        </w:tc>
        <w:tc>
          <w:tcPr/>
          <w:p>
            <w:pPr>
              <w:pStyle w:val="Compact"/>
              <w:spacing w:line="240" w:lineRule="auto" w:before="20" w:after="20"/>
              <w:jc w:val="left"/>
            </w:pPr>
            <w:r>
              <w:rPr>
                <w:rFonts w:ascii="Times New Roman" w:hAnsi="Times New Roman" w:cs="Times New Roman" w:eastAsia="Times New Roman"/>
                <w:color w:val="000000"/>
                <w:sz w:val="18"/>
              </w:rPr>
              <w:t xml:space="preserve">[0.1, 0.4]</w:t>
            </w:r>
          </w:p>
        </w:tc>
        <w:tc>
          <w:tcPr/>
          <w:p>
            <w:pPr>
              <w:pStyle w:val="Compact"/>
              <w:spacing w:line="240" w:lineRule="auto" w:before="20" w:after="20"/>
              <w:jc w:val="left"/>
            </w:pPr>
            <w:r>
              <w:rPr>
                <w:rFonts w:ascii="Times New Roman" w:hAnsi="Times New Roman" w:cs="Times New Roman" w:eastAsia="Times New Roman"/>
                <w:color w:val="000000"/>
                <w:sz w:val="18"/>
              </w:rPr>
              <w:t xml:space="preserve">7.8e-05</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5 random source BAs (draw 1)</w:t>
            </w:r>
          </w:p>
        </w:tc>
        <w:tc>
          <w:tcPr/>
          <w:p>
            <w:pPr>
              <w:pStyle w:val="Compact"/>
              <w:spacing w:line="240" w:lineRule="auto" w:before="20" w:after="20"/>
              <w:jc w:val="left"/>
            </w:pPr>
            <w:r>
              <w:rPr>
                <w:rFonts w:ascii="Times New Roman" w:hAnsi="Times New Roman" w:cs="Times New Roman" w:eastAsia="Times New Roman"/>
                <w:color w:val="000000"/>
                <w:sz w:val="18"/>
              </w:rPr>
              <w:t xml:space="preserve">4.93</w:t>
            </w:r>
          </w:p>
        </w:tc>
        <w:tc>
          <w:tcPr/>
          <w:p>
            <w:pPr>
              <w:pStyle w:val="Compact"/>
              <w:spacing w:line="240" w:lineRule="auto" w:before="20" w:after="20"/>
              <w:jc w:val="left"/>
            </w:pPr>
            <w:r>
              <w:rPr>
                <w:rFonts w:ascii="Times New Roman" w:hAnsi="Times New Roman" w:cs="Times New Roman" w:eastAsia="Times New Roman"/>
                <w:color w:val="000000"/>
                <w:sz w:val="18"/>
              </w:rPr>
              <w:t xml:space="preserve">3.2</w:t>
            </w:r>
          </w:p>
        </w:tc>
        <w:tc>
          <w:tcPr/>
          <w:p>
            <w:pPr>
              <w:pStyle w:val="Compact"/>
              <w:spacing w:line="240" w:lineRule="auto" w:before="20" w:after="20"/>
              <w:jc w:val="left"/>
            </w:pPr>
            <w:r>
              <w:rPr>
                <w:rFonts w:ascii="Times New Roman" w:hAnsi="Times New Roman" w:cs="Times New Roman" w:eastAsia="Times New Roman"/>
                <w:color w:val="000000"/>
                <w:sz w:val="18"/>
              </w:rPr>
              <w:t xml:space="preserve">[2.2, 4.8]</w:t>
            </w:r>
          </w:p>
        </w:tc>
        <w:tc>
          <w:tcPr/>
          <w:p>
            <w:pPr>
              <w:pStyle w:val="Compact"/>
              <w:spacing w:line="240" w:lineRule="auto" w:before="20" w:after="20"/>
              <w:jc w:val="left"/>
            </w:pPr>
            <w:r>
              <w:rPr>
                <w:rFonts w:ascii="Times New Roman" w:hAnsi="Times New Roman" w:cs="Times New Roman" w:eastAsia="Times New Roman"/>
                <w:color w:val="000000"/>
                <w:sz w:val="18"/>
              </w:rPr>
              <w:t xml:space="preserve">9.2e-14</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5 random source BAs (draw 2)</w:t>
            </w:r>
          </w:p>
        </w:tc>
        <w:tc>
          <w:tcPr/>
          <w:p>
            <w:pPr>
              <w:pStyle w:val="Compact"/>
              <w:spacing w:line="240" w:lineRule="auto" w:before="20" w:after="20"/>
              <w:jc w:val="left"/>
            </w:pPr>
            <w:r>
              <w:rPr>
                <w:rFonts w:ascii="Times New Roman" w:hAnsi="Times New Roman" w:cs="Times New Roman" w:eastAsia="Times New Roman"/>
                <w:color w:val="000000"/>
                <w:sz w:val="18"/>
              </w:rPr>
              <w:t xml:space="preserve">5</w:t>
            </w:r>
          </w:p>
        </w:tc>
        <w:tc>
          <w:tcPr/>
          <w:p>
            <w:pPr>
              <w:pStyle w:val="Compact"/>
              <w:spacing w:line="240" w:lineRule="auto" w:before="20" w:after="20"/>
              <w:jc w:val="left"/>
            </w:pPr>
            <w:r>
              <w:rPr>
                <w:rFonts w:ascii="Times New Roman" w:hAnsi="Times New Roman" w:cs="Times New Roman" w:eastAsia="Times New Roman"/>
                <w:color w:val="000000"/>
                <w:sz w:val="18"/>
              </w:rPr>
              <w:t xml:space="preserve">3.3</w:t>
            </w:r>
          </w:p>
        </w:tc>
        <w:tc>
          <w:tcPr/>
          <w:p>
            <w:pPr>
              <w:pStyle w:val="Compact"/>
              <w:spacing w:line="240" w:lineRule="auto" w:before="20" w:after="20"/>
              <w:jc w:val="left"/>
            </w:pPr>
            <w:r>
              <w:rPr>
                <w:rFonts w:ascii="Times New Roman" w:hAnsi="Times New Roman" w:cs="Times New Roman" w:eastAsia="Times New Roman"/>
                <w:color w:val="000000"/>
                <w:sz w:val="18"/>
              </w:rPr>
              <w:t xml:space="preserve">[2.6, 4.9]</w:t>
            </w:r>
          </w:p>
        </w:tc>
        <w:tc>
          <w:tcPr/>
          <w:p>
            <w:pPr>
              <w:pStyle w:val="Compact"/>
              <w:spacing w:line="240" w:lineRule="auto" w:before="20" w:after="20"/>
              <w:jc w:val="left"/>
            </w:pPr>
            <w:r>
              <w:rPr>
                <w:rFonts w:ascii="Times New Roman" w:hAnsi="Times New Roman" w:cs="Times New Roman" w:eastAsia="Times New Roman"/>
                <w:color w:val="000000"/>
                <w:sz w:val="18"/>
              </w:rPr>
              <w:t xml:space="preserve">3.2e-13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5 random source BAs (draw 3)</w:t>
            </w:r>
          </w:p>
        </w:tc>
        <w:tc>
          <w:tcPr/>
          <w:p>
            <w:pPr>
              <w:pStyle w:val="Compact"/>
              <w:spacing w:line="240" w:lineRule="auto" w:before="20" w:after="20"/>
              <w:jc w:val="left"/>
            </w:pPr>
            <w:r>
              <w:rPr>
                <w:rFonts w:ascii="Times New Roman" w:hAnsi="Times New Roman" w:cs="Times New Roman" w:eastAsia="Times New Roman"/>
                <w:color w:val="000000"/>
                <w:sz w:val="18"/>
              </w:rPr>
              <w:t xml:space="preserve">4.99</w:t>
            </w:r>
          </w:p>
        </w:tc>
        <w:tc>
          <w:tcPr/>
          <w:p>
            <w:pPr>
              <w:pStyle w:val="Compact"/>
              <w:spacing w:line="240" w:lineRule="auto" w:before="20" w:after="20"/>
              <w:jc w:val="left"/>
            </w:pPr>
            <w:r>
              <w:rPr>
                <w:rFonts w:ascii="Times New Roman" w:hAnsi="Times New Roman" w:cs="Times New Roman" w:eastAsia="Times New Roman"/>
                <w:color w:val="000000"/>
                <w:sz w:val="18"/>
              </w:rPr>
              <w:t xml:space="preserve">3.7</w:t>
            </w:r>
          </w:p>
        </w:tc>
        <w:tc>
          <w:tcPr/>
          <w:p>
            <w:pPr>
              <w:pStyle w:val="Compact"/>
              <w:spacing w:line="240" w:lineRule="auto" w:before="20" w:after="20"/>
              <w:jc w:val="left"/>
            </w:pPr>
            <w:r>
              <w:rPr>
                <w:rFonts w:ascii="Times New Roman" w:hAnsi="Times New Roman" w:cs="Times New Roman" w:eastAsia="Times New Roman"/>
                <w:color w:val="000000"/>
                <w:sz w:val="18"/>
              </w:rPr>
              <w:t xml:space="preserve">[3.1, 4.5]</w:t>
            </w:r>
          </w:p>
        </w:tc>
        <w:tc>
          <w:tcPr/>
          <w:p>
            <w:pPr>
              <w:pStyle w:val="Compact"/>
              <w:spacing w:line="240" w:lineRule="auto" w:before="20" w:after="20"/>
              <w:jc w:val="left"/>
            </w:pPr>
            <w:r>
              <w:rPr>
                <w:rFonts w:ascii="Times New Roman" w:hAnsi="Times New Roman" w:cs="Times New Roman" w:eastAsia="Times New Roman"/>
                <w:color w:val="000000"/>
                <w:sz w:val="18"/>
              </w:rPr>
              <w:t xml:space="preserve">1.6e-13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10 random source BAs (draw 1)</w:t>
            </w:r>
          </w:p>
        </w:tc>
        <w:tc>
          <w:tcPr/>
          <w:p>
            <w:pPr>
              <w:pStyle w:val="Compact"/>
              <w:spacing w:line="240" w:lineRule="auto" w:before="20" w:after="20"/>
              <w:jc w:val="left"/>
            </w:pPr>
            <w:r>
              <w:rPr>
                <w:rFonts w:ascii="Times New Roman" w:hAnsi="Times New Roman" w:cs="Times New Roman" w:eastAsia="Times New Roman"/>
                <w:color w:val="000000"/>
                <w:sz w:val="18"/>
              </w:rPr>
              <w:t xml:space="preserve">4.87</w:t>
            </w:r>
          </w:p>
        </w:tc>
        <w:tc>
          <w:tcPr/>
          <w:p>
            <w:pPr>
              <w:pStyle w:val="Compact"/>
              <w:spacing w:line="240" w:lineRule="auto" w:before="20" w:after="20"/>
              <w:jc w:val="left"/>
            </w:pPr>
            <w:r>
              <w:rPr>
                <w:rFonts w:ascii="Times New Roman" w:hAnsi="Times New Roman" w:cs="Times New Roman" w:eastAsia="Times New Roman"/>
                <w:color w:val="000000"/>
                <w:sz w:val="18"/>
              </w:rPr>
              <w:t xml:space="preserve">1.6</w:t>
            </w:r>
          </w:p>
        </w:tc>
        <w:tc>
          <w:tcPr/>
          <w:p>
            <w:pPr>
              <w:pStyle w:val="Compact"/>
              <w:spacing w:line="240" w:lineRule="auto" w:before="20" w:after="20"/>
              <w:jc w:val="left"/>
            </w:pPr>
            <w:r>
              <w:rPr>
                <w:rFonts w:ascii="Times New Roman" w:hAnsi="Times New Roman" w:cs="Times New Roman" w:eastAsia="Times New Roman"/>
                <w:color w:val="000000"/>
                <w:sz w:val="18"/>
              </w:rPr>
              <w:t xml:space="preserve">[1.1, 1.9]</w:t>
            </w:r>
          </w:p>
        </w:tc>
        <w:tc>
          <w:tcPr/>
          <w:p>
            <w:pPr>
              <w:pStyle w:val="Compact"/>
              <w:spacing w:line="240" w:lineRule="auto" w:before="20" w:after="20"/>
              <w:jc w:val="left"/>
            </w:pPr>
            <w:r>
              <w:rPr>
                <w:rFonts w:ascii="Times New Roman" w:hAnsi="Times New Roman" w:cs="Times New Roman" w:eastAsia="Times New Roman"/>
                <w:color w:val="000000"/>
                <w:sz w:val="18"/>
              </w:rPr>
              <w:t xml:space="preserve">1.2e-10</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10 random source BAs (draw 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4.86</w:t>
            </w:r>
          </w:p>
        </w:tc>
        <w:tc>
          <w:tcPr/>
          <w:p>
            <w:pPr>
              <w:pStyle w:val="Compact"/>
              <w:spacing w:line="240" w:lineRule="auto" w:before="20" w:after="20"/>
              <w:jc w:val="left"/>
            </w:pPr>
            <w:r>
              <w:rPr>
                <w:rFonts w:ascii="Times New Roman" w:hAnsi="Times New Roman" w:cs="Times New Roman" w:eastAsia="Times New Roman"/>
                <w:color w:val="000000"/>
                <w:sz w:val="18"/>
              </w:rPr>
              <w:t xml:space="preserve">2.1</w:t>
            </w:r>
          </w:p>
        </w:tc>
        <w:tc>
          <w:tcPr/>
          <w:p>
            <w:pPr>
              <w:pStyle w:val="Compact"/>
              <w:spacing w:line="240" w:lineRule="auto" w:before="20" w:after="20"/>
              <w:jc w:val="left"/>
            </w:pPr>
            <w:r>
              <w:rPr>
                <w:rFonts w:ascii="Times New Roman" w:hAnsi="Times New Roman" w:cs="Times New Roman" w:eastAsia="Times New Roman"/>
                <w:color w:val="000000"/>
                <w:sz w:val="18"/>
              </w:rPr>
              <w:t xml:space="preserve">[1.4, 2.4]</w:t>
            </w:r>
          </w:p>
        </w:tc>
        <w:tc>
          <w:tcPr/>
          <w:p>
            <w:pPr>
              <w:pStyle w:val="Compact"/>
              <w:spacing w:line="240" w:lineRule="auto" w:before="20" w:after="20"/>
              <w:jc w:val="left"/>
            </w:pPr>
            <w:r>
              <w:rPr>
                <w:rFonts w:ascii="Times New Roman" w:hAnsi="Times New Roman" w:cs="Times New Roman" w:eastAsia="Times New Roman"/>
                <w:color w:val="000000"/>
                <w:sz w:val="18"/>
              </w:rPr>
              <w:t xml:space="preserve">7.4e-11</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10 random source BAs (draw 3)</w:t>
            </w:r>
          </w:p>
        </w:tc>
        <w:tc>
          <w:tcPr/>
          <w:p>
            <w:pPr>
              <w:pStyle w:val="Compact"/>
              <w:spacing w:line="240" w:lineRule="auto" w:before="20" w:after="20"/>
              <w:jc w:val="left"/>
            </w:pPr>
            <w:r>
              <w:rPr>
                <w:rFonts w:ascii="Times New Roman" w:hAnsi="Times New Roman" w:cs="Times New Roman" w:eastAsia="Times New Roman"/>
                <w:color w:val="000000"/>
                <w:sz w:val="18"/>
              </w:rPr>
              <w:t xml:space="preserve">4.87</w:t>
            </w:r>
          </w:p>
        </w:tc>
        <w:tc>
          <w:tcPr/>
          <w:p>
            <w:pPr>
              <w:pStyle w:val="Compact"/>
              <w:spacing w:line="240" w:lineRule="auto" w:before="20" w:after="20"/>
              <w:jc w:val="left"/>
            </w:pPr>
            <w:r>
              <w:rPr>
                <w:rFonts w:ascii="Times New Roman" w:hAnsi="Times New Roman" w:cs="Times New Roman" w:eastAsia="Times New Roman"/>
                <w:color w:val="000000"/>
                <w:sz w:val="18"/>
              </w:rPr>
              <w:t xml:space="preserve">2.1</w:t>
            </w:r>
          </w:p>
        </w:tc>
        <w:tc>
          <w:tcPr/>
          <w:p>
            <w:pPr>
              <w:pStyle w:val="Compact"/>
              <w:spacing w:line="240" w:lineRule="auto" w:before="20" w:after="20"/>
              <w:jc w:val="left"/>
            </w:pPr>
            <w:r>
              <w:rPr>
                <w:rFonts w:ascii="Times New Roman" w:hAnsi="Times New Roman" w:cs="Times New Roman" w:eastAsia="Times New Roman"/>
                <w:color w:val="000000"/>
                <w:sz w:val="18"/>
              </w:rPr>
              <w:t xml:space="preserve">[1.6, 2.7]</w:t>
            </w:r>
          </w:p>
        </w:tc>
        <w:tc>
          <w:tcPr/>
          <w:p>
            <w:pPr>
              <w:pStyle w:val="Compact"/>
              <w:spacing w:line="240" w:lineRule="auto" w:before="20" w:after="20"/>
              <w:jc w:val="left"/>
            </w:pPr>
            <w:r>
              <w:rPr>
                <w:rFonts w:ascii="Times New Roman" w:hAnsi="Times New Roman" w:cs="Times New Roman" w:eastAsia="Times New Roman"/>
                <w:color w:val="000000"/>
                <w:sz w:val="18"/>
              </w:rPr>
              <w:t xml:space="preserve">2.1e-13</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20 random source BAs (draw 1)</w:t>
            </w:r>
          </w:p>
        </w:tc>
        <w:tc>
          <w:tcPr/>
          <w:p>
            <w:pPr>
              <w:pStyle w:val="Compact"/>
              <w:spacing w:line="240" w:lineRule="auto" w:before="20" w:after="20"/>
              <w:jc w:val="left"/>
            </w:pPr>
            <w:r>
              <w:rPr>
                <w:rFonts w:ascii="Times New Roman" w:hAnsi="Times New Roman" w:cs="Times New Roman" w:eastAsia="Times New Roman"/>
                <w:color w:val="000000"/>
                <w:sz w:val="18"/>
              </w:rPr>
              <w:t xml:space="preserve">4.79</w:t>
            </w:r>
          </w:p>
        </w:tc>
        <w:tc>
          <w:tcPr/>
          <w:p>
            <w:pPr>
              <w:pStyle w:val="Compact"/>
              <w:spacing w:line="240" w:lineRule="auto" w:before="20" w:after="20"/>
              <w:jc w:val="left"/>
            </w:pPr>
            <w:r>
              <w:rPr>
                <w:rFonts w:ascii="Times New Roman" w:hAnsi="Times New Roman" w:cs="Times New Roman" w:eastAsia="Times New Roman"/>
                <w:color w:val="000000"/>
                <w:sz w:val="18"/>
              </w:rPr>
              <w:t xml:space="preserve">0.8</w:t>
            </w:r>
          </w:p>
        </w:tc>
        <w:tc>
          <w:tcPr/>
          <w:p>
            <w:pPr>
              <w:pStyle w:val="Compact"/>
              <w:spacing w:line="240" w:lineRule="auto" w:before="20" w:after="20"/>
              <w:jc w:val="left"/>
            </w:pPr>
            <w:r>
              <w:rPr>
                <w:rFonts w:ascii="Times New Roman" w:hAnsi="Times New Roman" w:cs="Times New Roman" w:eastAsia="Times New Roman"/>
                <w:color w:val="000000"/>
                <w:sz w:val="18"/>
              </w:rPr>
              <w:t xml:space="preserve">[0.4, 1.1]</w:t>
            </w:r>
          </w:p>
        </w:tc>
        <w:tc>
          <w:tcPr/>
          <w:p>
            <w:pPr>
              <w:pStyle w:val="Compact"/>
              <w:spacing w:line="240" w:lineRule="auto" w:before="20" w:after="20"/>
              <w:jc w:val="left"/>
            </w:pPr>
            <w:r>
              <w:rPr>
                <w:rFonts w:ascii="Times New Roman" w:hAnsi="Times New Roman" w:cs="Times New Roman" w:eastAsia="Times New Roman"/>
                <w:color w:val="000000"/>
                <w:sz w:val="18"/>
              </w:rPr>
              <w:t xml:space="preserve">3.6e-09</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20 random source BAs (draw 2)</w:t>
            </w:r>
          </w:p>
        </w:tc>
        <w:tc>
          <w:tcPr/>
          <w:p>
            <w:pPr>
              <w:pStyle w:val="Compact"/>
              <w:spacing w:line="240" w:lineRule="auto" w:before="20" w:after="20"/>
              <w:jc w:val="left"/>
            </w:pPr>
            <w:r>
              <w:rPr>
                <w:rFonts w:ascii="Times New Roman" w:hAnsi="Times New Roman" w:cs="Times New Roman" w:eastAsia="Times New Roman"/>
                <w:color w:val="000000"/>
                <w:sz w:val="18"/>
              </w:rPr>
              <w:t xml:space="preserve">4.82</w:t>
            </w:r>
          </w:p>
        </w:tc>
        <w:tc>
          <w:tcPr/>
          <w:p>
            <w:pPr>
              <w:pStyle w:val="Compact"/>
              <w:spacing w:line="240" w:lineRule="auto" w:before="20" w:after="20"/>
              <w:jc w:val="left"/>
            </w:pPr>
            <w:r>
              <w:rPr>
                <w:rFonts w:ascii="Times New Roman" w:hAnsi="Times New Roman" w:cs="Times New Roman" w:eastAsia="Times New Roman"/>
                <w:color w:val="000000"/>
                <w:sz w:val="18"/>
              </w:rPr>
              <w:t xml:space="preserve">0.7</w:t>
            </w:r>
          </w:p>
        </w:tc>
        <w:tc>
          <w:tcPr/>
          <w:p>
            <w:pPr>
              <w:pStyle w:val="Compact"/>
              <w:spacing w:line="240" w:lineRule="auto" w:before="20" w:after="20"/>
              <w:jc w:val="left"/>
            </w:pPr>
            <w:r>
              <w:rPr>
                <w:rFonts w:ascii="Times New Roman" w:hAnsi="Times New Roman" w:cs="Times New Roman" w:eastAsia="Times New Roman"/>
                <w:color w:val="000000"/>
                <w:sz w:val="18"/>
              </w:rPr>
              <w:t xml:space="preserve">[0.3, 0.9]</w:t>
            </w:r>
          </w:p>
        </w:tc>
        <w:tc>
          <w:tcPr/>
          <w:p>
            <w:pPr>
              <w:pStyle w:val="Compact"/>
              <w:spacing w:line="240" w:lineRule="auto" w:before="20" w:after="20"/>
              <w:jc w:val="left"/>
            </w:pPr>
            <w:r>
              <w:rPr>
                <w:rFonts w:ascii="Times New Roman" w:hAnsi="Times New Roman" w:cs="Times New Roman" w:eastAsia="Times New Roman"/>
                <w:color w:val="000000"/>
                <w:sz w:val="18"/>
              </w:rPr>
              <w:t xml:space="preserve">3.5e-07</w:t>
            </w:r>
          </w:p>
        </w:tc>
      </w:tr>
      <w:tr>
        <w:tc>
          <w:tcPr/>
          <w:p>
            <w:pPr>
              <w:pStyle w:val="Compact"/>
              <w:spacing w:line="240" w:lineRule="auto" w:before="20" w:after="20"/>
              <w:jc w:val="left"/>
            </w:pPr>
            <w:r>
              <w:rPr>
                <w:rFonts w:ascii="Times New Roman" w:hAnsi="Times New Roman" w:cs="Times New Roman" w:eastAsia="Times New Roman"/>
                <w:color w:val="000000"/>
                <w:sz w:val="18"/>
              </w:rPr>
              <w:t xml:space="preserve">20 random source BAs (draw 3)</w:t>
            </w:r>
          </w:p>
        </w:tc>
        <w:tc>
          <w:tcPr/>
          <w:p>
            <w:pPr>
              <w:pStyle w:val="Compact"/>
              <w:spacing w:line="240" w:lineRule="auto" w:before="20" w:after="20"/>
              <w:jc w:val="left"/>
            </w:pPr>
            <w:r>
              <w:rPr>
                <w:rFonts w:ascii="Times New Roman" w:hAnsi="Times New Roman" w:cs="Times New Roman" w:eastAsia="Times New Roman"/>
                <w:color w:val="000000"/>
                <w:sz w:val="18"/>
              </w:rPr>
              <w:t xml:space="preserve">4.81</w:t>
            </w:r>
          </w:p>
        </w:tc>
        <w:tc>
          <w:tcPr/>
          <w:p>
            <w:pPr>
              <w:pStyle w:val="Compact"/>
              <w:spacing w:line="240" w:lineRule="auto" w:before="20" w:after="20"/>
              <w:jc w:val="left"/>
            </w:pPr>
            <w:r>
              <w:rPr>
                <w:rFonts w:ascii="Times New Roman" w:hAnsi="Times New Roman" w:cs="Times New Roman" w:eastAsia="Times New Roman"/>
                <w:color w:val="000000"/>
                <w:sz w:val="18"/>
              </w:rPr>
              <w:t xml:space="preserve">0.4</w:t>
            </w:r>
          </w:p>
        </w:tc>
        <w:tc>
          <w:tcPr/>
          <w:p>
            <w:pPr>
              <w:pStyle w:val="Compact"/>
              <w:spacing w:line="240" w:lineRule="auto" w:before="20" w:after="20"/>
              <w:jc w:val="left"/>
            </w:pPr>
            <w:r>
              <w:rPr>
                <w:rFonts w:ascii="Times New Roman" w:hAnsi="Times New Roman" w:cs="Times New Roman" w:eastAsia="Times New Roman"/>
                <w:color w:val="000000"/>
                <w:sz w:val="18"/>
              </w:rPr>
              <w:t xml:space="preserve">[0.2, 0.7]</w:t>
            </w:r>
          </w:p>
        </w:tc>
        <w:tc>
          <w:tcPr/>
          <w:p>
            <w:pPr>
              <w:pStyle w:val="Compact"/>
              <w:spacing w:line="240" w:lineRule="auto" w:before="20" w:after="20"/>
              <w:jc w:val="left"/>
            </w:pPr>
            <w:r>
              <w:rPr>
                <w:rFonts w:ascii="Times New Roman" w:hAnsi="Times New Roman" w:cs="Times New Roman" w:eastAsia="Times New Roman"/>
                <w:color w:val="000000"/>
                <w:sz w:val="18"/>
              </w:rPr>
              <w:t xml:space="preserve">7.8e-05</w:t>
            </w:r>
          </w:p>
        </w:tc>
      </w:tr>
    </w:tbl>
    <w:p>
      <w:pPr>
        <w:pStyle w:val="BodyText"/>
        <w:keepNext/>
        <w:spacing w:line="240" w:lineRule="auto"/>
        <w:jc w:val="center"/>
      </w:pPr>
      <w:r>
        <w:drawing>
          <wp:inline>
            <wp:extent cx="5334000" cy="1885913"/>
            <wp:effectExtent b="0" l="0" r="0" t="0"/>
            <wp:docPr descr="" title="" id="76" name="Picture"/>
            <a:graphic>
              <a:graphicData uri="http://schemas.openxmlformats.org/drawingml/2006/picture">
                <pic:pic>
                  <pic:nvPicPr>
                    <pic:cNvPr descr="/home/user/cross-regional-electricity-forecasting/cross_regional_electricity_forecasting/figures/fig12_ablation.png" id="77" name="Picture"/>
                    <pic:cNvPicPr>
                      <a:picLocks noChangeArrowheads="1" noChangeAspect="1"/>
                    </pic:cNvPicPr>
                  </pic:nvPicPr>
                  <pic:blipFill>
                    <a:blip r:embed="rId75"/>
                    <a:stretch>
                      <a:fillRect/>
                    </a:stretch>
                  </pic:blipFill>
                  <pic:spPr bwMode="auto">
                    <a:xfrm>
                      <a:off x="0" y="0"/>
                      <a:ext cx="5334000" cy="1885913"/>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12.</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Ablations of the zero-shot global model (h = 24 h): (a) feature groups (bars: median relative change; whiskers: 95% bootstrap CI over BAs); (b) size of the source-region pool.</w:t>
      </w:r>
    </w:p>
    <w:bookmarkEnd w:id="78"/>
    <w:bookmarkStart w:id="79" w:name="spatially-blocked-evaluation-post-review"/>
    <w:p>
      <w:pPr>
        <w:pStyle w:val="Heading2"/>
        <w:keepNext/>
        <w:spacing w:before="240" w:after="120"/>
      </w:pPr>
      <w:r>
        <w:rPr>
          <w:rStyle w:val="SectionNumber"/>
          <w:rFonts w:ascii="Times New Roman" w:hAnsi="Times New Roman" w:cs="Times New Roman" w:eastAsia="Times New Roman"/>
          <w:b/>
          <w:color w:val="000000"/>
          <w:sz w:val="24"/>
        </w:rPr>
        <w:t xml:space="preserve">11.3</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Spatially blocked evaluation (post-review)</w:t>
      </w:r>
    </w:p>
    <w:p>
      <w:pPr>
        <w:pStyle w:val="FirstParagraph"/>
        <w:spacing w:line="360" w:lineRule="auto" w:after="120"/>
        <w:jc w:val="both"/>
      </w:pPr>
      <w:r>
        <w:rPr>
          <w:rFonts w:ascii="Times New Roman" w:hAnsi="Times New Roman" w:cs="Times New Roman" w:eastAsia="Times New Roman"/>
          <w:color w:val="000000"/>
          <w:sz w:val="24"/>
        </w:rPr>
        <w:t xml:space="preserve">The random, size-stratified folds of the main analysis keep neighbouring and same-utility BAs of a held-out BA in the training set, so they measure transfer within a covered geography. They may therefore understate the cost of a geographically new region.</w:t>
      </w:r>
    </w:p>
    <w:p>
      <w:pPr>
        <w:pStyle w:val="BodyText"/>
        <w:spacing w:line="360" w:lineRule="auto" w:after="120"/>
        <w:jc w:val="both"/>
      </w:pPr>
      <w:r>
        <w:rPr>
          <w:bCs/>
          <w:rFonts w:ascii="Times New Roman" w:hAnsi="Times New Roman" w:cs="Times New Roman" w:eastAsia="Times New Roman"/>
          <w:b/>
          <w:color w:val="000000"/>
          <w:sz w:val="24"/>
        </w:rPr>
        <w:t xml:space="preserve">Design.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We repeated the zero-shot experiment with nine spatial blocks: the EIA regions NW, CAL, SW, FLA and CAR, and four merged groups of adjacent single-BA regions (TEX+CENT, MIDW+MIDA, SE+TEN, NE+NY). Every BA in a held-out block is excluded from fitting, early stopping and calibration (Supplementary Table S6).</w:t>
      </w:r>
    </w:p>
    <w:p>
      <w:pPr>
        <w:pStyle w:val="BodyText"/>
        <w:spacing w:line="360" w:lineRule="auto" w:after="120"/>
        <w:jc w:val="both"/>
      </w:pPr>
      <w:r>
        <w:rPr>
          <w:bCs/>
          <w:rFonts w:ascii="Times New Roman" w:hAnsi="Times New Roman" w:cs="Times New Roman" w:eastAsia="Times New Roman"/>
          <w:b/>
          <w:color w:val="000000"/>
          <w:sz w:val="24"/>
        </w:rPr>
        <w:t xml:space="preserve">Day-ahead results.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spatially blocked model (G-LRS) attains a median nMAE of 4.81%, against 4.75% for random folds and 4.64% in-region.</w:t>
      </w:r>
    </w:p>
    <w:p>
      <w:pPr>
        <w:numPr>
          <w:ilvl w:val="0"/>
          <w:numId w:val="1024"/>
        </w:numPr>
        <w:pStyle w:val="Compact"/>
        <w:spacing w:line="360" w:lineRule="auto" w:after="120"/>
        <w:jc w:val="both"/>
      </w:pPr>
      <w:r>
        <w:rPr>
          <w:rFonts w:ascii="Times New Roman" w:hAnsi="Times New Roman" w:cs="Times New Roman" w:eastAsia="Times New Roman"/>
          <w:color w:val="000000"/>
          <w:sz w:val="24"/>
        </w:rPr>
        <w:t xml:space="preserve">The median relative gap to the in-region model roughly triples, to 1.7% (CI 1.3 to 2.4%).</w:t>
      </w:r>
    </w:p>
    <w:p>
      <w:pPr>
        <w:numPr>
          <w:ilvl w:val="0"/>
          <w:numId w:val="1024"/>
        </w:numPr>
        <w:pStyle w:val="Compact"/>
        <w:spacing w:line="360" w:lineRule="auto" w:after="120"/>
        <w:jc w:val="both"/>
      </w:pPr>
      <w:r>
        <w:rPr>
          <w:rFonts w:ascii="Times New Roman" w:hAnsi="Times New Roman" w:cs="Times New Roman" w:eastAsia="Times New Roman"/>
          <w:color w:val="000000"/>
          <w:sz w:val="24"/>
        </w:rPr>
        <w:t xml:space="preserve">The 90th percentile of the gap is 4.7% and the maximum 8.8% (GCPD).</w:t>
      </w:r>
    </w:p>
    <w:p>
      <w:pPr>
        <w:numPr>
          <w:ilvl w:val="0"/>
          <w:numId w:val="1024"/>
        </w:numPr>
        <w:pStyle w:val="Compact"/>
        <w:spacing w:line="360" w:lineRule="auto" w:after="120"/>
        <w:jc w:val="both"/>
      </w:pPr>
      <w:r>
        <w:rPr>
          <w:rFonts w:ascii="Times New Roman" w:hAnsi="Times New Roman" w:cs="Times New Roman" w:eastAsia="Times New Roman"/>
          <w:color w:val="000000"/>
          <w:sz w:val="24"/>
        </w:rPr>
        <w:t xml:space="preserve">The spatially blocked model remains statistically indistinguishable from local models trained on four years of target data (0.9%, CI -1.0 to 1.6%).</w:t>
      </w:r>
    </w:p>
    <w:p>
      <w:pPr>
        <w:pStyle w:val="FirstParagraph"/>
        <w:spacing w:line="360" w:lineRule="auto" w:after="120"/>
        <w:jc w:val="both"/>
      </w:pPr>
      <w:r>
        <w:rPr>
          <w:bCs/>
          <w:rFonts w:ascii="Times New Roman" w:hAnsi="Times New Roman" w:cs="Times New Roman" w:eastAsia="Times New Roman"/>
          <w:b/>
          <w:color w:val="000000"/>
          <w:sz w:val="24"/>
        </w:rPr>
        <w:t xml:space="preserve">Hour-ahead results.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cost of spatial novelty is much larger.</w:t>
      </w:r>
    </w:p>
    <w:p>
      <w:pPr>
        <w:numPr>
          <w:ilvl w:val="0"/>
          <w:numId w:val="1025"/>
        </w:numPr>
        <w:pStyle w:val="Compact"/>
        <w:spacing w:line="360" w:lineRule="auto" w:after="120"/>
        <w:jc w:val="both"/>
      </w:pPr>
      <w:r>
        <w:rPr>
          <w:rFonts w:ascii="Times New Roman" w:hAnsi="Times New Roman" w:cs="Times New Roman" w:eastAsia="Times New Roman"/>
          <w:color w:val="000000"/>
          <w:sz w:val="24"/>
        </w:rPr>
        <w:t xml:space="preserve">The spatially blocked gap is 8.0% (CI 6.5 to 10.8%), against 3.4% with random folds.</w:t>
      </w:r>
    </w:p>
    <w:p>
      <w:pPr>
        <w:numPr>
          <w:ilvl w:val="0"/>
          <w:numId w:val="1025"/>
        </w:numPr>
        <w:pStyle w:val="Compact"/>
        <w:spacing w:line="360" w:lineRule="auto" w:after="120"/>
        <w:jc w:val="both"/>
      </w:pPr>
      <w:r>
        <w:rPr>
          <w:rFonts w:ascii="Times New Roman" w:hAnsi="Times New Roman" w:cs="Times New Roman" w:eastAsia="Times New Roman"/>
          <w:color w:val="000000"/>
          <w:sz w:val="24"/>
        </w:rPr>
        <w:t xml:space="preserve">The gap exceeds 10% in 41.7% of BAs, with a maximum of 46.3% (GCPD).</w:t>
      </w:r>
    </w:p>
    <w:p>
      <w:pPr>
        <w:numPr>
          <w:ilvl w:val="0"/>
          <w:numId w:val="1025"/>
        </w:numPr>
        <w:pStyle w:val="Compact"/>
        <w:spacing w:line="360" w:lineRule="auto" w:after="120"/>
        <w:jc w:val="both"/>
      </w:pPr>
      <w:r>
        <w:rPr>
          <w:rFonts w:ascii="Times New Roman" w:hAnsi="Times New Roman" w:cs="Times New Roman" w:eastAsia="Times New Roman"/>
          <w:color w:val="000000"/>
          <w:sz w:val="24"/>
        </w:rPr>
        <w:t xml:space="preserve">The intraday advantage of zero-shot over local models disappears: -0.8%, CI -3.1 to 1.8%.</w:t>
      </w:r>
    </w:p>
    <w:p>
      <w:pPr>
        <w:pStyle w:val="FirstParagraph"/>
        <w:spacing w:line="360" w:lineRule="auto" w:after="120"/>
        <w:jc w:val="both"/>
      </w:pPr>
      <w:r>
        <w:rPr>
          <w:rFonts w:ascii="Times New Roman" w:hAnsi="Times New Roman" w:cs="Times New Roman" w:eastAsia="Times New Roman"/>
          <w:color w:val="000000"/>
          <w:sz w:val="24"/>
        </w:rPr>
        <w:t xml:space="preserve">Neighbouring BAs in the training pool thus explain much of the intraday transfer seen with random folds.</w:t>
      </w:r>
    </w:p>
    <w:p>
      <w:pPr>
        <w:pStyle w:val="BodyText"/>
        <w:spacing w:line="360" w:lineRule="auto" w:after="120"/>
        <w:jc w:val="both"/>
      </w:pPr>
      <w:r>
        <w:rPr>
          <w:rFonts w:ascii="Times New Roman" w:hAnsi="Times New Roman" w:cs="Times New Roman" w:eastAsia="Times New Roman"/>
          <w:color w:val="000000"/>
          <w:sz w:val="24"/>
        </w:rPr>
        <w:t xml:space="preserve">The geographic cost is therefore larger when whole regions are new, especially intraday, although even then the zero-shot model was not worse than local models trained on four years of the target BA’s data. Calibration under spatial blocking is reported in Table 8.</w:t>
      </w:r>
    </w:p>
    <w:bookmarkEnd w:id="79"/>
    <w:bookmarkStart w:id="80" w:name="small-and-lower-quality-bas-post-review"/>
    <w:p>
      <w:pPr>
        <w:pStyle w:val="Heading2"/>
        <w:keepNext/>
        <w:spacing w:before="240" w:after="120"/>
      </w:pPr>
      <w:r>
        <w:rPr>
          <w:rStyle w:val="SectionNumber"/>
          <w:rFonts w:ascii="Times New Roman" w:hAnsi="Times New Roman" w:cs="Times New Roman" w:eastAsia="Times New Roman"/>
          <w:b/>
          <w:color w:val="000000"/>
          <w:sz w:val="24"/>
        </w:rPr>
        <w:t xml:space="preserve">11.4</w:t>
      </w:r>
      <w:r>
        <w:rPr>
          <w:rFonts w:ascii="Times New Roman" w:hAnsi="Times New Roman" w:cs="Times New Roman" w:eastAsia="Times New Roman"/>
          <w:b/>
          <w:color w:val="000000"/>
          <w:sz w:val="24"/>
        </w:rPr>
        <w:tab/>
      </w:r>
      <w:r>
        <w:rPr>
          <w:rFonts w:ascii="Times New Roman" w:hAnsi="Times New Roman" w:cs="Times New Roman" w:eastAsia="Times New Roman"/>
          <w:b/>
          <w:color w:val="000000"/>
          <w:sz w:val="24"/>
        </w:rPr>
        <w:t xml:space="preserve">Small and lower-quality BAs (post-review)</w:t>
      </w:r>
    </w:p>
    <w:p>
      <w:pPr>
        <w:pStyle w:val="FirstParagraph"/>
        <w:spacing w:line="360" w:lineRule="auto" w:after="120"/>
        <w:jc w:val="both"/>
      </w:pPr>
      <w:r>
        <w:rPr>
          <w:rFonts w:ascii="Times New Roman" w:hAnsi="Times New Roman" w:cs="Times New Roman" w:eastAsia="Times New Roman"/>
          <w:color w:val="000000"/>
          <w:sz w:val="24"/>
        </w:rPr>
        <w:t xml:space="preserve">The selection criteria excluded five BAs that report demand through 2025: HST, SPA and WAUW (below 200 MW), and PSEI and SEC (data-quality criteria). Applying the in-region model, which never saw these BAs, gives day-ahead median nMAEs of:</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7.02% for HST;</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6.40% for WAUW;</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10.29% for SEC;</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4.01% for PSEI;</w:t>
      </w:r>
    </w:p>
    <w:p>
      <w:pPr>
        <w:numPr>
          <w:ilvl w:val="0"/>
          <w:numId w:val="1026"/>
        </w:numPr>
        <w:pStyle w:val="Compact"/>
        <w:spacing w:line="360" w:lineRule="auto" w:after="120"/>
        <w:jc w:val="both"/>
      </w:pPr>
      <w:r>
        <w:rPr>
          <w:rFonts w:ascii="Times New Roman" w:hAnsi="Times New Roman" w:cs="Times New Roman" w:eastAsia="Times New Roman"/>
          <w:color w:val="000000"/>
          <w:sz w:val="24"/>
        </w:rPr>
        <w:t xml:space="preserve">25.30% for SPA, a 22 MW federal power-marketing area.</w:t>
      </w:r>
    </w:p>
    <w:p>
      <w:pPr>
        <w:pStyle w:val="FirstParagraph"/>
        <w:spacing w:line="360" w:lineRule="auto" w:after="120"/>
        <w:jc w:val="both"/>
      </w:pPr>
      <w:r>
        <w:rPr>
          <w:rFonts w:ascii="Times New Roman" w:hAnsi="Times New Roman" w:cs="Times New Roman" w:eastAsia="Times New Roman"/>
          <w:color w:val="000000"/>
          <w:sz w:val="24"/>
        </w:rPr>
        <w:t xml:space="preserve">These are comparable to local models trained on the same BAs’ own history (Supplementary Table S7) but far above the errors of the study BAs. The headline accuracy figures should therefore not be extrapolated to very small systems.</w:t>
      </w:r>
    </w:p>
    <w:bookmarkEnd w:id="80"/>
    <w:bookmarkEnd w:id="81"/>
    <w:bookmarkStart w:id="85" w:name="computational-complexity"/>
    <w:p>
      <w:pPr>
        <w:pStyle w:val="Heading1"/>
        <w:keepNext/>
        <w:spacing w:before="240" w:after="120"/>
      </w:pPr>
      <w:r>
        <w:rPr>
          <w:rStyle w:val="SectionNumber"/>
          <w:rFonts w:ascii="Times New Roman" w:hAnsi="Times New Roman" w:cs="Times New Roman" w:eastAsia="Times New Roman"/>
          <w:b/>
          <w:color w:val="000000"/>
          <w:sz w:val="28"/>
        </w:rPr>
        <w:t xml:space="preserve">12</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Computational complexity</w:t>
      </w:r>
    </w:p>
    <w:p>
      <w:pPr>
        <w:pStyle w:val="FirstParagraph"/>
        <w:spacing w:line="360" w:lineRule="auto" w:after="120"/>
        <w:jc w:val="both"/>
      </w:pPr>
      <w:r>
        <w:rPr>
          <w:rFonts w:ascii="Times New Roman" w:hAnsi="Times New Roman" w:cs="Times New Roman" w:eastAsia="Times New Roman"/>
          <w:color w:val="000000"/>
          <w:sz w:val="24"/>
        </w:rPr>
        <w:t xml:space="preserve">All experiments ran on a 4-core CPU with 15 GB of memory (Table 11; Fig. 13).</w:t>
      </w:r>
    </w:p>
    <w:p>
      <w:pPr>
        <w:pStyle w:val="BodyText"/>
        <w:spacing w:line="360" w:lineRule="auto" w:after="120"/>
        <w:jc w:val="both"/>
      </w:pPr>
      <w:r>
        <w:rPr>
          <w:bCs/>
          <w:rFonts w:ascii="Times New Roman" w:hAnsi="Times New Roman" w:cs="Times New Roman" w:eastAsia="Times New Roman"/>
          <w:b/>
          <w:color w:val="000000"/>
          <w:sz w:val="24"/>
        </w:rPr>
        <w:t xml:space="preserve">Training time.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pooled LightGBM model trained in 42.0 s on about 1.7 million rows, with model size 4.64 MB. The 48 local models together took 83.6 s, and ridge regression took 20.6 s.</w:t>
      </w:r>
    </w:p>
    <w:p>
      <w:pPr>
        <w:pStyle w:val="BodyText"/>
        <w:spacing w:line="360" w:lineRule="auto" w:after="120"/>
        <w:jc w:val="both"/>
      </w:pPr>
      <w:r>
        <w:rPr>
          <w:bCs/>
          <w:rFonts w:ascii="Times New Roman" w:hAnsi="Times New Roman" w:cs="Times New Roman" w:eastAsia="Times New Roman"/>
          <w:b/>
          <w:color w:val="000000"/>
          <w:sz w:val="24"/>
        </w:rPr>
        <w:t xml:space="preserve">Shorter horizons.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pooled model used the full 3,000-tree budget (298.1 s; 70.74 MB), and the 48 local models together took 595.6 s. Inference was correspondingly slower: 164.20 µs per forecast, against 5.59 µs at 24 h. Wall-clock times were measured on a shared virtual machine and are indicative only. In particular, the 6-h in-region fit (1261.9 s) overlapped with a concurrent evaluation job; the six leave-regions-out fits at the same horizon, which ran without contention, averaged 79.7 s.</w:t>
      </w:r>
    </w:p>
    <w:p>
      <w:pPr>
        <w:pStyle w:val="BodyText"/>
        <w:spacing w:line="360" w:lineRule="auto" w:after="120"/>
        <w:jc w:val="both"/>
      </w:pPr>
      <w:r>
        <w:rPr>
          <w:bCs/>
          <w:rFonts w:ascii="Times New Roman" w:hAnsi="Times New Roman" w:cs="Times New Roman" w:eastAsia="Times New Roman"/>
          <w:b/>
          <w:color w:val="000000"/>
          <w:sz w:val="24"/>
        </w:rPr>
        <w:t xml:space="preserve">Adaptation and calibration.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Fine-tuning on four weeks of target data took 0.23 s per BA at 24 h. Conformal calibration and ACI updates are negligible by comparison: a sort of the calibration scores, plus one quantile lookup per forecast.</w:t>
      </w:r>
    </w:p>
    <w:p>
      <w:pPr>
        <w:pStyle w:val="BodyText"/>
        <w:spacing w:line="360" w:lineRule="auto" w:after="120"/>
        <w:jc w:val="both"/>
      </w:pPr>
      <w:r>
        <w:rPr>
          <w:bCs/>
          <w:rFonts w:ascii="Times New Roman" w:hAnsi="Times New Roman" w:cs="Times New Roman" w:eastAsia="Times New Roman"/>
          <w:b/>
          <w:color w:val="000000"/>
          <w:sz w:val="24"/>
        </w:rPr>
        <w:t xml:space="preserve">Overall cost.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full study, including all horizons, folds, quantile models and robustness experiments, ran in roughly six hours of wall-clock time. In operation, a single pooled model per horizon replaces dozens of local models and their maintenance.</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11.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Computational cost (4-core CPU).</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1253"/>
        <w:gridCol w:w="512"/>
        <w:gridCol w:w="455"/>
        <w:gridCol w:w="1196"/>
        <w:gridCol w:w="1538"/>
        <w:gridCol w:w="1082"/>
        <w:gridCol w:w="512"/>
        <w:gridCol w:w="1367"/>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Model</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h (h)</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Fits</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fit time (s)</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Inference (µs/forecast)</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Model size (MB)</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Trees</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Peak RSS of run (MB)</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298.1</w:t>
            </w:r>
          </w:p>
        </w:tc>
        <w:tc>
          <w:tcPr/>
          <w:p>
            <w:pPr>
              <w:pStyle w:val="Compact"/>
              <w:spacing w:line="240" w:lineRule="auto" w:before="20" w:after="20"/>
              <w:jc w:val="left"/>
            </w:pPr>
            <w:r>
              <w:rPr>
                <w:rFonts w:ascii="Times New Roman" w:hAnsi="Times New Roman" w:cs="Times New Roman" w:eastAsia="Times New Roman"/>
                <w:color w:val="000000"/>
                <w:sz w:val="16"/>
              </w:rPr>
              <w:t xml:space="preserve">164.2</w:t>
            </w:r>
          </w:p>
        </w:tc>
        <w:tc>
          <w:tcPr/>
          <w:p>
            <w:pPr>
              <w:pStyle w:val="Compact"/>
              <w:spacing w:line="240" w:lineRule="auto" w:before="20" w:after="20"/>
              <w:jc w:val="left"/>
            </w:pPr>
            <w:r>
              <w:rPr>
                <w:rFonts w:ascii="Times New Roman" w:hAnsi="Times New Roman" w:cs="Times New Roman" w:eastAsia="Times New Roman"/>
                <w:color w:val="000000"/>
                <w:sz w:val="16"/>
              </w:rPr>
              <w:t xml:space="preserve">70.74</w:t>
            </w:r>
          </w:p>
        </w:tc>
        <w:tc>
          <w:tcPr/>
          <w:p>
            <w:pPr>
              <w:pStyle w:val="Compact"/>
              <w:spacing w:line="240" w:lineRule="auto" w:before="20" w:after="20"/>
              <w:jc w:val="left"/>
            </w:pPr>
            <w:r>
              <w:rPr>
                <w:rFonts w:ascii="Times New Roman" w:hAnsi="Times New Roman" w:cs="Times New Roman" w:eastAsia="Times New Roman"/>
                <w:color w:val="000000"/>
                <w:sz w:val="16"/>
              </w:rPr>
              <w:t xml:space="preserve">3000</w:t>
            </w:r>
          </w:p>
        </w:tc>
        <w:tc>
          <w:tcPr/>
          <w:p>
            <w:pPr>
              <w:pStyle w:val="Compact"/>
              <w:spacing w:line="240" w:lineRule="auto" w:before="20" w:after="20"/>
              <w:jc w:val="left"/>
            </w:pPr>
            <w:r>
              <w:rPr>
                <w:rFonts w:ascii="Times New Roman" w:hAnsi="Times New Roman" w:cs="Times New Roman" w:eastAsia="Times New Roman"/>
                <w:color w:val="000000"/>
                <w:sz w:val="16"/>
              </w:rPr>
              <w:t xml:space="preserve">3718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1261.9</w:t>
            </w:r>
          </w:p>
        </w:tc>
        <w:tc>
          <w:tcPr/>
          <w:p>
            <w:pPr>
              <w:pStyle w:val="Compact"/>
              <w:spacing w:line="240" w:lineRule="auto" w:before="20" w:after="20"/>
              <w:jc w:val="left"/>
            </w:pPr>
            <w:r>
              <w:rPr>
                <w:rFonts w:ascii="Times New Roman" w:hAnsi="Times New Roman" w:cs="Times New Roman" w:eastAsia="Times New Roman"/>
                <w:color w:val="000000"/>
                <w:sz w:val="16"/>
              </w:rPr>
              <w:t xml:space="preserve">13.53</w:t>
            </w:r>
          </w:p>
        </w:tc>
        <w:tc>
          <w:tcPr/>
          <w:p>
            <w:pPr>
              <w:pStyle w:val="Compact"/>
              <w:spacing w:line="240" w:lineRule="auto" w:before="20" w:after="20"/>
              <w:jc w:val="left"/>
            </w:pPr>
            <w:r>
              <w:rPr>
                <w:rFonts w:ascii="Times New Roman" w:hAnsi="Times New Roman" w:cs="Times New Roman" w:eastAsia="Times New Roman"/>
                <w:color w:val="000000"/>
                <w:sz w:val="16"/>
              </w:rPr>
              <w:t xml:space="preserve">9.48</w:t>
            </w:r>
          </w:p>
        </w:tc>
        <w:tc>
          <w:tcPr/>
          <w:p>
            <w:pPr>
              <w:pStyle w:val="Compact"/>
              <w:spacing w:line="240" w:lineRule="auto" w:before="20" w:after="20"/>
              <w:jc w:val="left"/>
            </w:pPr>
            <w:r>
              <w:rPr>
                <w:rFonts w:ascii="Times New Roman" w:hAnsi="Times New Roman" w:cs="Times New Roman" w:eastAsia="Times New Roman"/>
                <w:color w:val="000000"/>
                <w:sz w:val="16"/>
              </w:rPr>
              <w:t xml:space="preserve">399</w:t>
            </w:r>
          </w:p>
        </w:tc>
        <w:tc>
          <w:tcPr/>
          <w:p>
            <w:pPr>
              <w:pStyle w:val="Compact"/>
              <w:spacing w:line="240" w:lineRule="auto" w:before="20" w:after="20"/>
              <w:jc w:val="left"/>
            </w:pPr>
            <w:r>
              <w:rPr>
                <w:rFonts w:ascii="Times New Roman" w:hAnsi="Times New Roman" w:cs="Times New Roman" w:eastAsia="Times New Roman"/>
                <w:color w:val="000000"/>
                <w:sz w:val="16"/>
              </w:rPr>
              <w:t xml:space="preserve">3708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42</w:t>
            </w:r>
          </w:p>
        </w:tc>
        <w:tc>
          <w:tcPr/>
          <w:p>
            <w:pPr>
              <w:pStyle w:val="Compact"/>
              <w:spacing w:line="240" w:lineRule="auto" w:before="20" w:after="20"/>
              <w:jc w:val="left"/>
            </w:pPr>
            <w:r>
              <w:rPr>
                <w:rFonts w:ascii="Times New Roman" w:hAnsi="Times New Roman" w:cs="Times New Roman" w:eastAsia="Times New Roman"/>
                <w:color w:val="000000"/>
                <w:sz w:val="16"/>
              </w:rPr>
              <w:t xml:space="preserve">5.59</w:t>
            </w:r>
          </w:p>
        </w:tc>
        <w:tc>
          <w:tcPr/>
          <w:p>
            <w:pPr>
              <w:pStyle w:val="Compact"/>
              <w:spacing w:line="240" w:lineRule="auto" w:before="20" w:after="20"/>
              <w:jc w:val="left"/>
            </w:pPr>
            <w:r>
              <w:rPr>
                <w:rFonts w:ascii="Times New Roman" w:hAnsi="Times New Roman" w:cs="Times New Roman" w:eastAsia="Times New Roman"/>
                <w:color w:val="000000"/>
                <w:sz w:val="16"/>
              </w:rPr>
              <w:t xml:space="preserve">4.64</w:t>
            </w:r>
          </w:p>
        </w:tc>
        <w:tc>
          <w:tcPr/>
          <w:p>
            <w:pPr>
              <w:pStyle w:val="Compact"/>
              <w:spacing w:line="240" w:lineRule="auto" w:before="20" w:after="20"/>
              <w:jc w:val="left"/>
            </w:pPr>
            <w:r>
              <w:rPr>
                <w:rFonts w:ascii="Times New Roman" w:hAnsi="Times New Roman" w:cs="Times New Roman" w:eastAsia="Times New Roman"/>
                <w:color w:val="000000"/>
                <w:sz w:val="16"/>
              </w:rPr>
              <w:t xml:space="preserve">192</w:t>
            </w:r>
          </w:p>
        </w:tc>
        <w:tc>
          <w:tcPr/>
          <w:p>
            <w:pPr>
              <w:pStyle w:val="Compact"/>
              <w:spacing w:line="240" w:lineRule="auto" w:before="20" w:after="20"/>
              <w:jc w:val="left"/>
            </w:pPr>
            <w:r>
              <w:rPr>
                <w:rFonts w:ascii="Times New Roman" w:hAnsi="Times New Roman" w:cs="Times New Roman" w:eastAsia="Times New Roman"/>
                <w:color w:val="000000"/>
                <w:sz w:val="16"/>
              </w:rPr>
              <w:t xml:space="preserve">3723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c>
          <w:tcPr/>
          <w:p>
            <w:pPr>
              <w:pStyle w:val="Compact"/>
              <w:spacing w:line="240" w:lineRule="auto" w:before="20" w:after="20"/>
              <w:jc w:val="left"/>
            </w:pPr>
            <w:r>
              <w:rPr>
                <w:rFonts w:ascii="Times New Roman" w:hAnsi="Times New Roman" w:cs="Times New Roman" w:eastAsia="Times New Roman"/>
                <w:color w:val="000000"/>
                <w:sz w:val="16"/>
              </w:rPr>
              <w:t xml:space="preserve">78.8</w:t>
            </w:r>
          </w:p>
        </w:tc>
        <w:tc>
          <w:tcPr/>
          <w:p>
            <w:pPr>
              <w:pStyle w:val="Compact"/>
              <w:spacing w:line="240" w:lineRule="auto" w:before="20" w:after="20"/>
              <w:jc w:val="left"/>
            </w:pPr>
            <w:r>
              <w:rPr>
                <w:rFonts w:ascii="Times New Roman" w:hAnsi="Times New Roman" w:cs="Times New Roman" w:eastAsia="Times New Roman"/>
                <w:color w:val="000000"/>
                <w:sz w:val="16"/>
              </w:rPr>
              <w:t xml:space="preserve">30.3</w:t>
            </w:r>
          </w:p>
        </w:tc>
        <w:tc>
          <w:tcPr/>
          <w:p>
            <w:pPr>
              <w:pStyle w:val="Compact"/>
              <w:spacing w:line="240" w:lineRule="auto" w:before="20" w:after="20"/>
              <w:jc w:val="left"/>
            </w:pPr>
            <w:r>
              <w:rPr>
                <w:rFonts w:ascii="Times New Roman" w:hAnsi="Times New Roman" w:cs="Times New Roman" w:eastAsia="Times New Roman"/>
                <w:color w:val="000000"/>
                <w:sz w:val="16"/>
              </w:rPr>
              <w:t xml:space="preserve">14.21</w:t>
            </w:r>
          </w:p>
        </w:tc>
        <w:tc>
          <w:tcPr/>
          <w:p>
            <w:pPr>
              <w:pStyle w:val="Compact"/>
              <w:spacing w:line="240" w:lineRule="auto" w:before="20" w:after="20"/>
              <w:jc w:val="left"/>
            </w:pPr>
            <w:r>
              <w:rPr>
                <w:rFonts w:ascii="Times New Roman" w:hAnsi="Times New Roman" w:cs="Times New Roman" w:eastAsia="Times New Roman"/>
                <w:color w:val="000000"/>
                <w:sz w:val="16"/>
              </w:rPr>
              <w:t xml:space="preserve">596</w:t>
            </w:r>
          </w:p>
        </w:tc>
        <w:tc>
          <w:tcPr/>
          <w:p>
            <w:pPr>
              <w:pStyle w:val="Compact"/>
              <w:spacing w:line="240" w:lineRule="auto" w:before="20" w:after="20"/>
              <w:jc w:val="left"/>
            </w:pPr>
            <w:r>
              <w:rPr>
                <w:rFonts w:ascii="Times New Roman" w:hAnsi="Times New Roman" w:cs="Times New Roman" w:eastAsia="Times New Roman"/>
                <w:color w:val="000000"/>
                <w:sz w:val="16"/>
              </w:rPr>
              <w:t xml:space="preserve">5161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LGB_G_IN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c>
          <w:tcPr/>
          <w:p>
            <w:pPr>
              <w:pStyle w:val="Compact"/>
              <w:spacing w:line="240" w:lineRule="auto" w:before="20" w:after="20"/>
              <w:jc w:val="left"/>
            </w:pPr>
            <w:r>
              <w:rPr>
                <w:rFonts w:ascii="Times New Roman" w:hAnsi="Times New Roman" w:cs="Times New Roman" w:eastAsia="Times New Roman"/>
                <w:color w:val="000000"/>
                <w:sz w:val="16"/>
              </w:rPr>
              <w:t xml:space="preserve">33.7</w:t>
            </w:r>
          </w:p>
        </w:tc>
        <w:tc>
          <w:tcPr/>
          <w:p>
            <w:pPr>
              <w:pStyle w:val="Compact"/>
              <w:spacing w:line="240" w:lineRule="auto" w:before="20" w:after="20"/>
              <w:jc w:val="left"/>
            </w:pPr>
            <w:r>
              <w:rPr>
                <w:rFonts w:ascii="Times New Roman" w:hAnsi="Times New Roman" w:cs="Times New Roman" w:eastAsia="Times New Roman"/>
                <w:color w:val="000000"/>
                <w:sz w:val="16"/>
              </w:rPr>
              <w:t xml:space="preserve">4.4</w:t>
            </w:r>
          </w:p>
        </w:tc>
        <w:tc>
          <w:tcPr/>
          <w:p>
            <w:pPr>
              <w:pStyle w:val="Compact"/>
              <w:spacing w:line="240" w:lineRule="auto" w:before="20" w:after="20"/>
              <w:jc w:val="left"/>
            </w:pPr>
            <w:r>
              <w:rPr>
                <w:rFonts w:ascii="Times New Roman" w:hAnsi="Times New Roman" w:cs="Times New Roman" w:eastAsia="Times New Roman"/>
                <w:color w:val="000000"/>
                <w:sz w:val="16"/>
              </w:rPr>
              <w:t xml:space="preserve">3.92</w:t>
            </w:r>
          </w:p>
        </w:tc>
        <w:tc>
          <w:tcPr/>
          <w:p>
            <w:pPr>
              <w:pStyle w:val="Compact"/>
              <w:spacing w:line="240" w:lineRule="auto" w:before="20" w:after="20"/>
              <w:jc w:val="left"/>
            </w:pPr>
            <w:r>
              <w:rPr>
                <w:rFonts w:ascii="Times New Roman" w:hAnsi="Times New Roman" w:cs="Times New Roman" w:eastAsia="Times New Roman"/>
                <w:color w:val="000000"/>
                <w:sz w:val="16"/>
              </w:rPr>
              <w:t xml:space="preserve">162</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245.6</w:t>
            </w:r>
          </w:p>
        </w:tc>
        <w:tc>
          <w:tcPr/>
          <w:p>
            <w:pPr>
              <w:pStyle w:val="Compact"/>
              <w:spacing w:line="240" w:lineRule="auto" w:before="20" w:after="20"/>
              <w:jc w:val="left"/>
            </w:pPr>
            <w:r>
              <w:rPr>
                <w:rFonts w:ascii="Times New Roman" w:hAnsi="Times New Roman" w:cs="Times New Roman" w:eastAsia="Times New Roman"/>
                <w:color w:val="000000"/>
                <w:sz w:val="16"/>
              </w:rPr>
              <w:t xml:space="preserve">171.24</w:t>
            </w:r>
          </w:p>
        </w:tc>
        <w:tc>
          <w:tcPr/>
          <w:p>
            <w:pPr>
              <w:pStyle w:val="Compact"/>
              <w:spacing w:line="240" w:lineRule="auto" w:before="20" w:after="20"/>
              <w:jc w:val="left"/>
            </w:pPr>
            <w:r>
              <w:rPr>
                <w:rFonts w:ascii="Times New Roman" w:hAnsi="Times New Roman" w:cs="Times New Roman" w:eastAsia="Times New Roman"/>
                <w:color w:val="000000"/>
                <w:sz w:val="16"/>
              </w:rPr>
              <w:t xml:space="preserve">63.81</w:t>
            </w:r>
          </w:p>
        </w:tc>
        <w:tc>
          <w:tcPr/>
          <w:p>
            <w:pPr>
              <w:pStyle w:val="Compact"/>
              <w:spacing w:line="240" w:lineRule="auto" w:before="20" w:after="20"/>
              <w:jc w:val="left"/>
            </w:pPr>
            <w:r>
              <w:rPr>
                <w:rFonts w:ascii="Times New Roman" w:hAnsi="Times New Roman" w:cs="Times New Roman" w:eastAsia="Times New Roman"/>
                <w:color w:val="000000"/>
                <w:sz w:val="16"/>
              </w:rPr>
              <w:t xml:space="preserve">2708</w:t>
            </w:r>
          </w:p>
        </w:tc>
        <w:tc>
          <w:tcPr/>
          <w:p>
            <w:pPr>
              <w:pStyle w:val="Compact"/>
              <w:spacing w:line="240" w:lineRule="auto" w:before="20" w:after="20"/>
              <w:jc w:val="left"/>
            </w:pPr>
            <w:r>
              <w:rPr>
                <w:rFonts w:ascii="Times New Roman" w:hAnsi="Times New Roman" w:cs="Times New Roman" w:eastAsia="Times New Roman"/>
                <w:color w:val="000000"/>
                <w:sz w:val="16"/>
              </w:rPr>
              <w:t xml:space="preserve">5173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79.7</w:t>
            </w:r>
          </w:p>
        </w:tc>
        <w:tc>
          <w:tcPr/>
          <w:p>
            <w:pPr>
              <w:pStyle w:val="Compact"/>
              <w:spacing w:line="240" w:lineRule="auto" w:before="20" w:after="20"/>
              <w:jc w:val="left"/>
            </w:pPr>
            <w:r>
              <w:rPr>
                <w:rFonts w:ascii="Times New Roman" w:hAnsi="Times New Roman" w:cs="Times New Roman" w:eastAsia="Times New Roman"/>
                <w:color w:val="000000"/>
                <w:sz w:val="16"/>
              </w:rPr>
              <w:t xml:space="preserve">37.64</w:t>
            </w:r>
          </w:p>
        </w:tc>
        <w:tc>
          <w:tcPr/>
          <w:p>
            <w:pPr>
              <w:pStyle w:val="Compact"/>
              <w:spacing w:line="240" w:lineRule="auto" w:before="20" w:after="20"/>
              <w:jc w:val="left"/>
            </w:pPr>
            <w:r>
              <w:rPr>
                <w:rFonts w:ascii="Times New Roman" w:hAnsi="Times New Roman" w:cs="Times New Roman" w:eastAsia="Times New Roman"/>
                <w:color w:val="000000"/>
                <w:sz w:val="16"/>
              </w:rPr>
              <w:t xml:space="preserve">17.63</w:t>
            </w:r>
          </w:p>
        </w:tc>
        <w:tc>
          <w:tcPr/>
          <w:p>
            <w:pPr>
              <w:pStyle w:val="Compact"/>
              <w:spacing w:line="240" w:lineRule="auto" w:before="20" w:after="20"/>
              <w:jc w:val="left"/>
            </w:pPr>
            <w:r>
              <w:rPr>
                <w:rFonts w:ascii="Times New Roman" w:hAnsi="Times New Roman" w:cs="Times New Roman" w:eastAsia="Times New Roman"/>
                <w:color w:val="000000"/>
                <w:sz w:val="16"/>
              </w:rPr>
              <w:t xml:space="preserve">747</w:t>
            </w:r>
          </w:p>
        </w:tc>
        <w:tc>
          <w:tcPr/>
          <w:p>
            <w:pPr>
              <w:pStyle w:val="Compact"/>
              <w:spacing w:line="240" w:lineRule="auto" w:before="20" w:after="20"/>
              <w:jc w:val="left"/>
            </w:pPr>
            <w:r>
              <w:rPr>
                <w:rFonts w:ascii="Times New Roman" w:hAnsi="Times New Roman" w:cs="Times New Roman" w:eastAsia="Times New Roman"/>
                <w:color w:val="000000"/>
                <w:sz w:val="16"/>
              </w:rPr>
              <w:t xml:space="preserve">5250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39.3</w:t>
            </w:r>
          </w:p>
        </w:tc>
        <w:tc>
          <w:tcPr/>
          <w:p>
            <w:pPr>
              <w:pStyle w:val="Compact"/>
              <w:spacing w:line="240" w:lineRule="auto" w:before="20" w:after="20"/>
              <w:jc w:val="left"/>
            </w:pPr>
            <w:r>
              <w:rPr>
                <w:rFonts w:ascii="Times New Roman" w:hAnsi="Times New Roman" w:cs="Times New Roman" w:eastAsia="Times New Roman"/>
                <w:color w:val="000000"/>
                <w:sz w:val="16"/>
              </w:rPr>
              <w:t xml:space="preserve">6.81</w:t>
            </w:r>
          </w:p>
        </w:tc>
        <w:tc>
          <w:tcPr/>
          <w:p>
            <w:pPr>
              <w:pStyle w:val="Compact"/>
              <w:spacing w:line="240" w:lineRule="auto" w:before="20" w:after="20"/>
              <w:jc w:val="left"/>
            </w:pPr>
            <w:r>
              <w:rPr>
                <w:rFonts w:ascii="Times New Roman" w:hAnsi="Times New Roman" w:cs="Times New Roman" w:eastAsia="Times New Roman"/>
                <w:color w:val="000000"/>
                <w:sz w:val="16"/>
              </w:rPr>
              <w:t xml:space="preserve">5.54</w:t>
            </w:r>
          </w:p>
        </w:tc>
        <w:tc>
          <w:tcPr/>
          <w:p>
            <w:pPr>
              <w:pStyle w:val="Compact"/>
              <w:spacing w:line="240" w:lineRule="auto" w:before="20" w:after="20"/>
              <w:jc w:val="left"/>
            </w:pPr>
            <w:r>
              <w:rPr>
                <w:rFonts w:ascii="Times New Roman" w:hAnsi="Times New Roman" w:cs="Times New Roman" w:eastAsia="Times New Roman"/>
                <w:color w:val="000000"/>
                <w:sz w:val="16"/>
              </w:rPr>
              <w:t xml:space="preserve">230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64.5</w:t>
            </w:r>
          </w:p>
        </w:tc>
        <w:tc>
          <w:tcPr/>
          <w:p>
            <w:pPr>
              <w:pStyle w:val="Compact"/>
              <w:spacing w:line="240" w:lineRule="auto" w:before="20" w:after="20"/>
              <w:jc w:val="left"/>
            </w:pPr>
            <w:r>
              <w:rPr>
                <w:rFonts w:ascii="Times New Roman" w:hAnsi="Times New Roman" w:cs="Times New Roman" w:eastAsia="Times New Roman"/>
                <w:color w:val="000000"/>
                <w:sz w:val="16"/>
              </w:rPr>
              <w:t xml:space="preserve">26.97</w:t>
            </w:r>
          </w:p>
        </w:tc>
        <w:tc>
          <w:tcPr/>
          <w:p>
            <w:pPr>
              <w:pStyle w:val="Compact"/>
              <w:spacing w:line="240" w:lineRule="auto" w:before="20" w:after="20"/>
              <w:jc w:val="left"/>
            </w:pPr>
            <w:r>
              <w:rPr>
                <w:rFonts w:ascii="Times New Roman" w:hAnsi="Times New Roman" w:cs="Times New Roman" w:eastAsia="Times New Roman"/>
                <w:color w:val="000000"/>
                <w:sz w:val="16"/>
              </w:rPr>
              <w:t xml:space="preserve">12.15</w:t>
            </w:r>
          </w:p>
        </w:tc>
        <w:tc>
          <w:tcPr/>
          <w:p>
            <w:pPr>
              <w:pStyle w:val="Compact"/>
              <w:spacing w:line="240" w:lineRule="auto" w:before="20" w:after="20"/>
              <w:jc w:val="left"/>
            </w:pPr>
            <w:r>
              <w:rPr>
                <w:rFonts w:ascii="Times New Roman" w:hAnsi="Times New Roman" w:cs="Times New Roman" w:eastAsia="Times New Roman"/>
                <w:color w:val="000000"/>
                <w:sz w:val="16"/>
              </w:rPr>
              <w:t xml:space="preserve">510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5206</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LGB_G_LRO (quantile)</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33.4</w:t>
            </w:r>
          </w:p>
        </w:tc>
        <w:tc>
          <w:tcPr/>
          <w:p>
            <w:pPr>
              <w:pStyle w:val="Compact"/>
              <w:spacing w:line="240" w:lineRule="auto" w:before="20" w:after="20"/>
              <w:jc w:val="left"/>
            </w:pPr>
            <w:r>
              <w:rPr>
                <w:rFonts w:ascii="Times New Roman" w:hAnsi="Times New Roman" w:cs="Times New Roman" w:eastAsia="Times New Roman"/>
                <w:color w:val="000000"/>
                <w:sz w:val="16"/>
              </w:rPr>
              <w:t xml:space="preserve">5.27</w:t>
            </w:r>
          </w:p>
        </w:tc>
        <w:tc>
          <w:tcPr/>
          <w:p>
            <w:pPr>
              <w:pStyle w:val="Compact"/>
              <w:spacing w:line="240" w:lineRule="auto" w:before="20" w:after="20"/>
              <w:jc w:val="left"/>
            </w:pPr>
            <w:r>
              <w:rPr>
                <w:rFonts w:ascii="Times New Roman" w:hAnsi="Times New Roman" w:cs="Times New Roman" w:eastAsia="Times New Roman"/>
                <w:color w:val="000000"/>
                <w:sz w:val="16"/>
              </w:rPr>
              <w:t xml:space="preserve">4.35</w:t>
            </w:r>
          </w:p>
        </w:tc>
        <w:tc>
          <w:tcPr/>
          <w:p>
            <w:pPr>
              <w:pStyle w:val="Compact"/>
              <w:spacing w:line="240" w:lineRule="auto" w:before="20" w:after="20"/>
              <w:jc w:val="left"/>
            </w:pPr>
            <w:r>
              <w:rPr>
                <w:rFonts w:ascii="Times New Roman" w:hAnsi="Times New Roman" w:cs="Times New Roman" w:eastAsia="Times New Roman"/>
                <w:color w:val="000000"/>
                <w:sz w:val="16"/>
              </w:rPr>
              <w:t xml:space="preserve">180</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LGB_L (48 models)</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595.6</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809.5</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5161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LGB_L (48 models)</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162.2</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169.12</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5250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LGB_L (48 models)</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83.6</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61.45</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RIDGE_G_IN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23.4</w:t>
            </w:r>
          </w:p>
        </w:tc>
        <w:tc>
          <w:tcPr/>
          <w:p>
            <w:pPr>
              <w:pStyle w:val="Compact"/>
              <w:spacing w:line="240" w:lineRule="auto" w:before="20" w:after="20"/>
              <w:jc w:val="left"/>
            </w:pPr>
            <w:r>
              <w:rPr>
                <w:rFonts w:ascii="Times New Roman" w:hAnsi="Times New Roman" w:cs="Times New Roman" w:eastAsia="Times New Roman"/>
                <w:color w:val="000000"/>
                <w:sz w:val="16"/>
              </w:rPr>
              <w:t xml:space="preserve">0.99</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5161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RIDGE_G_IN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6</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27.3</w:t>
            </w:r>
          </w:p>
        </w:tc>
        <w:tc>
          <w:tcPr/>
          <w:p>
            <w:pPr>
              <w:pStyle w:val="Compact"/>
              <w:spacing w:line="240" w:lineRule="auto" w:before="20" w:after="20"/>
              <w:jc w:val="left"/>
            </w:pPr>
            <w:r>
              <w:rPr>
                <w:rFonts w:ascii="Times New Roman" w:hAnsi="Times New Roman" w:cs="Times New Roman" w:eastAsia="Times New Roman"/>
                <w:color w:val="000000"/>
                <w:sz w:val="16"/>
              </w:rPr>
              <w:t xml:space="preserve">2.14</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5250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RIDGE_G_IN</w:t>
            </w:r>
          </w:p>
        </w:tc>
        <w:tc>
          <w:tcPr/>
          <w:p>
            <w:pPr>
              <w:pStyle w:val="Compact"/>
              <w:spacing w:line="240" w:lineRule="auto" w:before="20" w:after="20"/>
              <w:jc w:val="left"/>
            </w:pPr>
            <w:r>
              <w:rPr>
                <w:rFonts w:ascii="Times New Roman" w:hAnsi="Times New Roman" w:cs="Times New Roman" w:eastAsia="Times New Roman"/>
                <w:color w:val="000000"/>
                <w:sz w:val="16"/>
              </w:rPr>
              <w:t xml:space="preserve">24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c>
          <w:tcPr/>
          <w:p>
            <w:pPr>
              <w:pStyle w:val="Compact"/>
              <w:spacing w:line="240" w:lineRule="auto" w:before="20" w:after="20"/>
              <w:jc w:val="left"/>
            </w:pPr>
            <w:r>
              <w:rPr>
                <w:rFonts w:ascii="Times New Roman" w:hAnsi="Times New Roman" w:cs="Times New Roman" w:eastAsia="Times New Roman"/>
                <w:color w:val="000000"/>
                <w:sz w:val="16"/>
              </w:rPr>
              <w:t xml:space="preserve">20.6</w:t>
            </w:r>
          </w:p>
        </w:tc>
        <w:tc>
          <w:tcPr/>
          <w:p>
            <w:pPr>
              <w:pStyle w:val="Compact"/>
              <w:spacing w:line="240" w:lineRule="auto" w:before="20" w:after="20"/>
              <w:jc w:val="left"/>
            </w:pPr>
            <w:r>
              <w:rPr>
                <w:rFonts w:ascii="Times New Roman" w:hAnsi="Times New Roman" w:cs="Times New Roman" w:eastAsia="Times New Roman"/>
                <w:color w:val="000000"/>
                <w:sz w:val="16"/>
              </w:rPr>
              <w:t xml:space="preserve">0.99</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nan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5208</w:t>
            </w:r>
          </w:p>
        </w:tc>
      </w:tr>
    </w:tbl>
    <w:p>
      <w:pPr>
        <w:pStyle w:val="BodyText"/>
        <w:keepNext/>
        <w:spacing w:line="240" w:lineRule="auto"/>
        <w:jc w:val="center"/>
      </w:pPr>
      <w:r>
        <w:drawing>
          <wp:inline>
            <wp:extent cx="5334000" cy="1889848"/>
            <wp:effectExtent b="0" l="0" r="0" t="0"/>
            <wp:docPr descr="" title="" id="83" name="Picture"/>
            <a:graphic>
              <a:graphicData uri="http://schemas.openxmlformats.org/drawingml/2006/picture">
                <pic:pic>
                  <pic:nvPicPr>
                    <pic:cNvPr descr="/home/user/cross-regional-electricity-forecasting/cross_regional_electricity_forecasting/figures/fig13_compute.png" id="84" name="Picture"/>
                    <pic:cNvPicPr>
                      <a:picLocks noChangeArrowheads="1" noChangeAspect="1"/>
                    </pic:cNvPicPr>
                  </pic:nvPicPr>
                  <pic:blipFill>
                    <a:blip r:embed="rId82"/>
                    <a:stretch>
                      <a:fillRect/>
                    </a:stretch>
                  </pic:blipFill>
                  <pic:spPr bwMode="auto">
                    <a:xfrm>
                      <a:off x="0" y="0"/>
                      <a:ext cx="5334000" cy="1889848"/>
                    </a:xfrm>
                    <a:prstGeom prst="rect">
                      <a:avLst/>
                    </a:prstGeom>
                    <a:noFill/>
                    <a:ln w="9525">
                      <a:noFill/>
                      <a:headEnd/>
                      <a:tailEnd/>
                    </a:ln>
                  </pic:spPr>
                </pic:pic>
              </a:graphicData>
            </a:graphic>
          </wp:inline>
        </w:drawing>
      </w:r>
    </w:p>
    <w:p>
      <w:pPr>
        <w:pStyle w:val="FigureCaption"/>
        <w:keepNext w:val="0"/>
        <w:spacing w:line="240" w:lineRule="auto" w:after="200"/>
        <w:jc w:val="both"/>
      </w:pPr>
      <w:r>
        <w:rPr>
          <w:bCs/>
          <w:rFonts w:ascii="Times New Roman" w:hAnsi="Times New Roman" w:cs="Times New Roman" w:eastAsia="Times New Roman"/>
          <w:b/>
          <w:color w:val="000000"/>
          <w:sz w:val="20"/>
        </w:rPr>
        <w:t xml:space="preserve">Fig. 13.</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Computational cost on a 4-core CPU: (a) wall-clock training time; (b) serialised model size (ridge size not measured). The h = 6 h in-region fit coincided with a concurrent evaluation job and its time is inflated by CPU contention; LRO fits at h = 6 h are representative.</w:t>
      </w:r>
    </w:p>
    <w:bookmarkEnd w:id="85"/>
    <w:bookmarkStart w:id="86" w:name="practical-implications"/>
    <w:p>
      <w:pPr>
        <w:pStyle w:val="Heading1"/>
        <w:keepNext/>
        <w:spacing w:before="240" w:after="120"/>
      </w:pPr>
      <w:r>
        <w:rPr>
          <w:rStyle w:val="SectionNumber"/>
          <w:rFonts w:ascii="Times New Roman" w:hAnsi="Times New Roman" w:cs="Times New Roman" w:eastAsia="Times New Roman"/>
          <w:b/>
          <w:color w:val="000000"/>
          <w:sz w:val="28"/>
        </w:rPr>
        <w:t xml:space="preserve">13</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Practical implications</w:t>
      </w:r>
    </w:p>
    <w:p>
      <w:pPr>
        <w:pStyle w:val="FirstParagraph"/>
        <w:spacing w:line="360" w:lineRule="auto" w:after="120"/>
        <w:jc w:val="both"/>
      </w:pPr>
      <w:r>
        <w:rPr>
          <w:rFonts w:ascii="Times New Roman" w:hAnsi="Times New Roman" w:cs="Times New Roman" w:eastAsia="Times New Roman"/>
          <w:color w:val="000000"/>
          <w:sz w:val="24"/>
        </w:rPr>
        <w:t xml:space="preserve">For system operators, market participants and planners, the results translate into five recommendations.</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Onboarding a new or data-poor BA.</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pooled, instance-normalised gradient-boosting model trained on other BAs can produce usable forecasts from the first day; it needs only a week of recent observations to compute the scale. In our data its median accuracy was within 0.5% (day-ahead) to 3.4% (hour-ahead), in relative terms, of a model that had seen the BA. Tail risk is material for intraday use, however: at 1 h the gap exceeded 10% for 6.2% of BAs, including one very large BA. A zero-shot model should therefore be monitored against the BA’s own data, and replaced or pooled with that data, during the first months. Fine-tuning on a few weeks of data degraded accuracy at every onboarding date we tested and is not recommended with the settings studied here.</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Small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Small BAs benefit from pooling as much as large ones. Because the gap was only weakly related to size, a single shared model with BA-specific online calibration is a viable service model for many small utilities.</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Uncertainty for reserves and risk.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Intervals calibrated once on pooled data under-covered in a substantial share of BAs and drifted over time, so operational use should include online recalibration. ACI on top of CQR is guaranteed to reach the nominal long-run coverage. What matters in practice is its sharpness and its behaviour in the first months on a new system, and both depend on the step size. A step size chosen on</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other</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validation data (ACI-CQR-S) gave a median interval score of 28.18% against 28.15% for static CQR at 24 h; Table 8 gives the details. With day-ahead feedback delay, large step sizes should be avoided. A rolling four-week recalibration on the BA’s own recent residuals is a simpler alternative that worked comparably for hour-ahead intervals but was less sharp day-ahead.</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Data quality.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Input gaps matter much more for intraday than for day-ahead forecasts. A simple remedy, training with randomly masked inputs, removes most of the intraday degradation at negligible cost on clean data. For long outages, native missing-value handling or seasonal filling is preferable to carrying the last value forward (Section 11).</w:t>
      </w:r>
    </w:p>
    <w:p>
      <w:pPr>
        <w:numPr>
          <w:ilvl w:val="0"/>
          <w:numId w:val="1027"/>
        </w:numPr>
        <w:pStyle w:val="Compact"/>
        <w:spacing w:line="360" w:lineRule="auto" w:after="120"/>
        <w:jc w:val="both"/>
      </w:pPr>
      <w:r>
        <w:rPr>
          <w:bCs/>
          <w:rFonts w:ascii="Times New Roman" w:hAnsi="Times New Roman" w:cs="Times New Roman" w:eastAsia="Times New Roman"/>
          <w:b/>
          <w:color w:val="000000"/>
          <w:sz w:val="24"/>
        </w:rPr>
        <w:t xml:space="preserve">Compute.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All models in this study train on a commodity 4-core CPU. A pooled model (one model per horizon) is cheaper to maintain than 48 local models and was more accurate.</w:t>
      </w:r>
    </w:p>
    <w:bookmarkEnd w:id="86"/>
    <w:bookmarkStart w:id="87" w:name="limitations"/>
    <w:p>
      <w:pPr>
        <w:pStyle w:val="Heading1"/>
        <w:keepNext/>
        <w:spacing w:before="240" w:after="120"/>
      </w:pPr>
      <w:r>
        <w:rPr>
          <w:rStyle w:val="SectionNumber"/>
          <w:rFonts w:ascii="Times New Roman" w:hAnsi="Times New Roman" w:cs="Times New Roman" w:eastAsia="Times New Roman"/>
          <w:b/>
          <w:color w:val="000000"/>
          <w:sz w:val="28"/>
        </w:rPr>
        <w:t xml:space="preserve">14</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Limitations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Single country and dataset.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study uses U.S. EIA-930 data only. The planned European replication on OPSD could not be run because the data host was unreachable from the execution environment.</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No weather inputs.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Absolute errors are therefore well above operational, weather-driven day-ahead forecasts.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One test window.</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main test window (2024–2025) and a single rolling refit cover two years of temporal variation.</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Correlated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BAs are spatially correlated, so paired tests across BAs overstate the effective sample size. We report effect sizes and block-bootstrap results to mitigate this.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Untuned adaptation.</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Hyper-parameters for the adaptation methods were fixed a priori rather than tuned. Better-regularised adaptation may perform better.</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Compute amendment.</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For compute reasons, models at</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6</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used a higher learning rate, and probabilistic experiments were run at</w:t>
      </w:r>
      <w:r>
        <w:rPr>
          <w:rFonts w:ascii="Times New Roman" w:hAnsi="Times New Roman" w:cs="Times New Roman" w:eastAsia="Times New Roman"/>
          <w:color w:val="000000"/>
          <w:sz w:val="24"/>
        </w:rPr>
        <w:t xml:space="preserve"> </w:t>
      </w:r>
      <m:oMath>
        <m:r>
          <m:t>h</m:t>
        </m:r>
        <m:r>
          <m:rPr>
            <m:sty m:val="p"/>
          </m:rPr>
          <m:t>∈</m:t>
        </m:r>
        <m:r>
          <m:rPr>
            <m:sty m:val="p"/>
          </m:rPr>
          <m:t>{</m:t>
        </m:r>
        <m:r>
          <m:t>1</m:t>
        </m:r>
        <m:r>
          <m:rPr>
            <m:sty m:val="p"/>
          </m:rPr>
          <m:t>,</m:t>
        </m:r>
        <m:r>
          <m:t>24</m:t>
        </m:r>
        <m:r>
          <m:rPr>
            <m:sty m:val="p"/>
          </m:rPr>
          <m:t>}</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only.</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No neural or foundation models.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These could not be included (CPU only; model weights not reachable). How they compare under the same protocol remains open.</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Unscored anomalies.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Labels are PUDL-screened values, and flagged hours were not scored, so performance during data anomalies is not measured.</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Limited tuning.</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Hyper-parameter grids were small (2×2), were tuned at</w:t>
      </w:r>
      <w:r>
        <w:rPr>
          <w:rFonts w:ascii="Times New Roman" w:hAnsi="Times New Roman" w:cs="Times New Roman" w:eastAsia="Times New Roman"/>
          <w:color w:val="000000"/>
          <w:sz w:val="24"/>
        </w:rPr>
        <w:t xml:space="preserve"> </w:t>
      </w:r>
      <m:oMath>
        <m:r>
          <m:t>h</m:t>
        </m:r>
        <m:r>
          <m:rPr>
            <m:sty m:val="p"/>
          </m:rPr>
          <m:t>=</m:t>
        </m:r>
        <m:r>
          <m:t>24</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on the pooled model and reused for leave-regions-out folds. They were not re-tuned after the 1-h and 6-h learning-rate change. At</w:t>
      </w:r>
      <w:r>
        <w:rPr>
          <w:rFonts w:ascii="Times New Roman" w:hAnsi="Times New Roman" w:cs="Times New Roman" w:eastAsia="Times New Roman"/>
          <w:color w:val="000000"/>
          <w:sz w:val="24"/>
        </w:rPr>
        <w:t xml:space="preserve"> </w:t>
      </w:r>
      <m:oMath>
        <m:r>
          <m:t>h</m:t>
        </m:r>
        <m:r>
          <m:rPr>
            <m:sty m:val="p"/>
          </m:rPr>
          <m:t>=</m:t>
        </m:r>
        <m:r>
          <m:t>1</m:t>
        </m:r>
      </m:oMath>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h the in-region model reached the 3,000-tree cap, while the leave-regions-out models stopped between about 2,260 and 3,000 trees, so convergence was not perfectly equal across arms.</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Fixed adaptation settings.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small-tree adaptation models used a learning rate of 0.05 (local) or 0.02 (fine-tuning) at every horizon; they were not covered by the 1-h/6-h amendment.</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Literature search.</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search relied on web-search results of publisher pages; Scopus, Web of Science and Crossref were not accessible. Some references could only be partially verified, and closely related work may have been missed.</w:t>
      </w:r>
    </w:p>
    <w:p>
      <w:pPr>
        <w:numPr>
          <w:ilvl w:val="0"/>
          <w:numId w:val="1028"/>
        </w:numPr>
        <w:pStyle w:val="Compact"/>
        <w:spacing w:line="360" w:lineRule="auto" w:after="120"/>
        <w:jc w:val="both"/>
      </w:pPr>
      <w:r>
        <w:rPr>
          <w:bCs/>
          <w:rFonts w:ascii="Times New Roman" w:hAnsi="Times New Roman" w:cs="Times New Roman" w:eastAsia="Times New Roman"/>
          <w:b/>
          <w:color w:val="000000"/>
          <w:sz w:val="24"/>
        </w:rPr>
        <w:t xml:space="preserve">Sample of BAs.</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48 BAs were selected for data quality and size (at least 200 MW), so the main results concern well-reported, medium-to-large BAs. Section 11 reports a secondary zero-shot check on the excluded small and low-quality BAs.</w:t>
      </w:r>
    </w:p>
    <w:bookmarkEnd w:id="87"/>
    <w:bookmarkStart w:id="88" w:name="threats-to-validity"/>
    <w:p>
      <w:pPr>
        <w:pStyle w:val="Heading1"/>
        <w:keepNext/>
        <w:spacing w:before="240" w:after="120"/>
      </w:pPr>
      <w:r>
        <w:rPr>
          <w:rStyle w:val="SectionNumber"/>
          <w:rFonts w:ascii="Times New Roman" w:hAnsi="Times New Roman" w:cs="Times New Roman" w:eastAsia="Times New Roman"/>
          <w:b/>
          <w:color w:val="000000"/>
          <w:sz w:val="28"/>
        </w:rPr>
        <w:t xml:space="preserve">15</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Threats to validity</w:t>
      </w:r>
    </w:p>
    <w:p>
      <w:pPr>
        <w:pStyle w:val="FirstParagraph"/>
        <w:spacing w:line="360" w:lineRule="auto" w:after="120"/>
        <w:jc w:val="both"/>
      </w:pPr>
      <w:r>
        <w:rPr>
          <w:bCs/>
          <w:rFonts w:ascii="Times New Roman" w:hAnsi="Times New Roman" w:cs="Times New Roman" w:eastAsia="Times New Roman"/>
          <w:b/>
          <w:color w:val="000000"/>
          <w:sz w:val="24"/>
        </w:rPr>
        <w:t xml:space="preserve">Internal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main safeguards against test-set leakage were:</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a configuration and protocol frozen in version control before test scoring;</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past-only feature construction, verified by unit tests that perturb future inputs;</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held-out BAs excluded from fitting, early stopping and calibration;</w:t>
      </w:r>
    </w:p>
    <w:p>
      <w:pPr>
        <w:numPr>
          <w:ilvl w:val="0"/>
          <w:numId w:val="1029"/>
        </w:numPr>
        <w:pStyle w:val="Compact"/>
        <w:spacing w:line="360" w:lineRule="auto" w:after="120"/>
        <w:jc w:val="both"/>
      </w:pPr>
      <w:r>
        <w:rPr>
          <w:rFonts w:ascii="Times New Roman" w:hAnsi="Times New Roman" w:cs="Times New Roman" w:eastAsia="Times New Roman"/>
          <w:color w:val="000000"/>
          <w:sz w:val="24"/>
        </w:rPr>
        <w:t xml:space="preserve">separate early-stopping and calibration weeks.</w:t>
      </w:r>
    </w:p>
    <w:p>
      <w:pPr>
        <w:pStyle w:val="FirstParagraph"/>
        <w:spacing w:line="360" w:lineRule="auto" w:after="120"/>
        <w:jc w:val="both"/>
      </w:pPr>
      <w:r>
        <w:rPr>
          <w:rFonts w:ascii="Times New Roman" w:hAnsi="Times New Roman" w:cs="Times New Roman" w:eastAsia="Times New Roman"/>
          <w:color w:val="000000"/>
          <w:sz w:val="24"/>
        </w:rPr>
        <w:t xml:space="preserve">The freeze was an internal, timestamped commit made on the same day as the analysis; it was not registered externally. Five post-freeze amendments are logged with their motivation (DECISION_LOG D9–D13):</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an ACI implementation fix;</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 validation-selected ACI variant;</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 median-width metric;</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interval-start dating of hour-ending timestamps;</w:t>
      </w:r>
    </w:p>
    <w:p>
      <w:pPr>
        <w:numPr>
          <w:ilvl w:val="0"/>
          <w:numId w:val="1030"/>
        </w:numPr>
        <w:pStyle w:val="Compact"/>
        <w:spacing w:line="360" w:lineRule="auto" w:after="120"/>
        <w:jc w:val="both"/>
      </w:pPr>
      <w:r>
        <w:rPr>
          <w:rFonts w:ascii="Times New Roman" w:hAnsi="Times New Roman" w:cs="Times New Roman" w:eastAsia="Times New Roman"/>
          <w:color w:val="000000"/>
          <w:sz w:val="24"/>
        </w:rPr>
        <w:t xml:space="preserve">a compute-driven learning-rate change at 1 h and 6 h.</w:t>
      </w:r>
    </w:p>
    <w:p>
      <w:pPr>
        <w:pStyle w:val="FirstParagraph"/>
        <w:spacing w:line="360" w:lineRule="auto" w:after="120"/>
        <w:jc w:val="both"/>
      </w:pPr>
      <w:r>
        <w:rPr>
          <w:rFonts w:ascii="Times New Roman" w:hAnsi="Times New Roman" w:cs="Times New Roman" w:eastAsia="Times New Roman"/>
          <w:color w:val="000000"/>
          <w:sz w:val="24"/>
        </w:rPr>
        <w:t xml:space="preserve">All analyses added in response to the internal review (spatially blocked folds, source-only ACI step-size selection, multiple adaptation origins, excluded BAs, conditional and peak-hour diagnostics; D14–D16) are also post hoc. The validation-selected ACI variant was</w:t>
      </w:r>
      <w:r>
        <w:rPr>
          <w:rFonts w:ascii="Times New Roman" w:hAnsi="Times New Roman" w:cs="Times New Roman" w:eastAsia="Times New Roman"/>
          <w:color w:val="000000"/>
          <w:sz w:val="24"/>
        </w:rPr>
        <w:t xml:space="preserve"> </w:t>
      </w:r>
      <w:r>
        <w:rPr>
          <w:iCs/>
          <w:rFonts w:ascii="Times New Roman" w:hAnsi="Times New Roman" w:cs="Times New Roman" w:eastAsia="Times New Roman"/>
          <w:i/>
          <w:color w:val="000000"/>
          <w:sz w:val="24"/>
        </w:rPr>
        <w:t xml:space="preserve">motivated</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by test-set behaviour of the frozen-protocol variant, and its step size was chosen on 2023 data of the evaluated BAs themselves. We therefore treat it as exploratory and base recommendations on the source-only variant.</w:t>
      </w:r>
    </w:p>
    <w:p>
      <w:pPr>
        <w:pStyle w:val="BodyText"/>
        <w:spacing w:line="360" w:lineRule="auto" w:after="120"/>
        <w:jc w:val="both"/>
      </w:pPr>
      <w:r>
        <w:rPr>
          <w:bCs/>
          <w:rFonts w:ascii="Times New Roman" w:hAnsi="Times New Roman" w:cs="Times New Roman" w:eastAsia="Times New Roman"/>
          <w:b/>
          <w:color w:val="000000"/>
          <w:sz w:val="24"/>
        </w:rPr>
        <w:t xml:space="preserve">Construct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Instance-normalised nMAE weights all BAs equally. An analysis weighted by energy would emphasise the largest ISOs, where the geographic gap was small. BA day-ahead forecasts have undocumented issuance times and a different information set.</w:t>
      </w:r>
    </w:p>
    <w:p>
      <w:pPr>
        <w:pStyle w:val="BodyText"/>
        <w:spacing w:line="360" w:lineRule="auto" w:after="120"/>
        <w:jc w:val="both"/>
      </w:pPr>
      <w:r>
        <w:rPr>
          <w:bCs/>
          <w:rFonts w:ascii="Times New Roman" w:hAnsi="Times New Roman" w:cs="Times New Roman" w:eastAsia="Times New Roman"/>
          <w:b/>
          <w:color w:val="000000"/>
          <w:sz w:val="24"/>
        </w:rPr>
        <w:t xml:space="preserve">External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The 48 BAs span three interconnections and a wide range of sizes and climates, but they are not a random sample of power systems worldwide. Regions with very different load composition (e.g. electric heating-dominated systems) may behave differently.</w:t>
      </w:r>
    </w:p>
    <w:p>
      <w:pPr>
        <w:pStyle w:val="BodyText"/>
        <w:spacing w:line="360" w:lineRule="auto" w:after="120"/>
        <w:jc w:val="both"/>
      </w:pPr>
      <w:r>
        <w:rPr>
          <w:bCs/>
          <w:rFonts w:ascii="Times New Roman" w:hAnsi="Times New Roman" w:cs="Times New Roman" w:eastAsia="Times New Roman"/>
          <w:b/>
          <w:color w:val="000000"/>
          <w:sz w:val="24"/>
        </w:rPr>
        <w:t xml:space="preserve">Statistical conclusion validity.</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Multiple comparisons are Holm-adjusted, effect sizes carry bootstrap intervals, and temporal dependence is handled by block bootstrap. Spatial correlation between BAs is not modelled explicitly.</w:t>
      </w:r>
    </w:p>
    <w:bookmarkEnd w:id="88"/>
    <w:bookmarkStart w:id="89" w:name="conclusion-and-future-work"/>
    <w:p>
      <w:pPr>
        <w:pStyle w:val="Heading1"/>
        <w:keepNext/>
        <w:spacing w:before="240" w:after="120"/>
      </w:pPr>
      <w:r>
        <w:rPr>
          <w:rStyle w:val="SectionNumber"/>
          <w:rFonts w:ascii="Times New Roman" w:hAnsi="Times New Roman" w:cs="Times New Roman" w:eastAsia="Times New Roman"/>
          <w:b/>
          <w:color w:val="000000"/>
          <w:sz w:val="28"/>
        </w:rPr>
        <w:t xml:space="preserve">16</w:t>
      </w:r>
      <w:r>
        <w:rPr>
          <w:rFonts w:ascii="Times New Roman" w:hAnsi="Times New Roman" w:cs="Times New Roman" w:eastAsia="Times New Roman"/>
          <w:b/>
          <w:color w:val="000000"/>
          <w:sz w:val="28"/>
        </w:rPr>
        <w:tab/>
      </w:r>
      <w:r>
        <w:rPr>
          <w:rFonts w:ascii="Times New Roman" w:hAnsi="Times New Roman" w:cs="Times New Roman" w:eastAsia="Times New Roman"/>
          <w:b/>
          <w:color w:val="000000"/>
          <w:sz w:val="28"/>
        </w:rPr>
        <w:t xml:space="preserve">Conclusion and future work</w:t>
      </w:r>
    </w:p>
    <w:p>
      <w:pPr>
        <w:pStyle w:val="FirstParagraph"/>
        <w:spacing w:line="360" w:lineRule="auto" w:after="120"/>
        <w:jc w:val="both"/>
      </w:pPr>
      <w:r>
        <w:rPr>
          <w:rFonts w:ascii="Times New Roman" w:hAnsi="Times New Roman" w:cs="Times New Roman" w:eastAsia="Times New Roman"/>
          <w:color w:val="000000"/>
          <w:sz w:val="24"/>
        </w:rPr>
        <w:t xml:space="preserve">We built a leakage-resistant benchmark, with a protocol frozen before test evaluation, for forecasting hourly electricity demand of balancing authorities that a model has never seen, using 48 U.S. BAs from EIA Form 930. Four conclusions follow.</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Zero-shot transfer works, with a tail.</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A pooled, instance-normalised LightGBM model transfers to unseen BAs with a small but systematic median accuracy loss: 0.5% (24 h) to 3.4% (1 h) with random folds, and 1.7% (24 h) to 8.0% (1 h) when whole regions are held out. With random folds it is non-inferior to local models trained on four years of target data day-ahead and better intraday; with whole regions held out it matches local models at both horizons. Some BAs show large intraday gaps.</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Short-window adaptation does not help.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With the settings studied, fine-tuning or local training on one to thirteen weeks of target data degraded forecasts at every onboarding date tested.</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Interval calibration is the binding problem, and it is temporal and BA-specific rather than geographic.</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Static conformal intervals (CQR) under-covered by more than 5 points in a fifth to a third of BAs, whether or not the BA had been seen in training. Online adaptive conformal inference restores marginal coverage by construction. Its practical value depended on the step size: chosen on other BAs, it gave sharpness close to CQR (equal at 24 h, slightly lower at 1 h), whereas the larger pre-specified step produced very wide intervals at 24 h.</w:t>
      </w:r>
    </w:p>
    <w:p>
      <w:pPr>
        <w:numPr>
          <w:ilvl w:val="0"/>
          <w:numId w:val="1031"/>
        </w:numPr>
        <w:pStyle w:val="Compact"/>
        <w:spacing w:line="360" w:lineRule="auto" w:after="120"/>
        <w:jc w:val="both"/>
      </w:pPr>
      <w:r>
        <w:rPr>
          <w:bCs/>
          <w:rFonts w:ascii="Times New Roman" w:hAnsi="Times New Roman" w:cs="Times New Roman" w:eastAsia="Times New Roman"/>
          <w:b/>
          <w:color w:val="000000"/>
          <w:sz w:val="24"/>
        </w:rPr>
        <w:t xml:space="preserve">Data gaps matter mainly intraday, and compute is cheap.</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Missing inputs degraded hour-ahead forecasts substantially but day-ahead forecasts only modestly, and training with masked inputs largely removed the hour-ahead penalty. Computational cost was a minor concern.</w:t>
      </w:r>
    </w:p>
    <w:p>
      <w:pPr>
        <w:pStyle w:val="FirstParagraph"/>
        <w:spacing w:line="360" w:lineRule="auto" w:after="120"/>
        <w:jc w:val="both"/>
      </w:pPr>
      <w:r>
        <w:rPr>
          <w:bCs/>
          <w:rFonts w:ascii="Times New Roman" w:hAnsi="Times New Roman" w:cs="Times New Roman" w:eastAsia="Times New Roman"/>
          <w:b/>
          <w:color w:val="000000"/>
          <w:sz w:val="24"/>
        </w:rPr>
        <w:t xml:space="preserve">Future work.</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Several extensions follow directly:</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replicate the protocol on European data (OPSD/ENTSO-E) and on other national systems;</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add weather forecasts and evaluate whether the geographic gap and calibration findings persist;</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include time-series foundation models in the same leave-regions-out protocol;</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test parameter-free online calibration (e.g. aggregated ACI) and regularised adaptation schemes;</w:t>
      </w:r>
    </w:p>
    <w:p>
      <w:pPr>
        <w:numPr>
          <w:ilvl w:val="0"/>
          <w:numId w:val="1032"/>
        </w:numPr>
        <w:pStyle w:val="Compact"/>
        <w:spacing w:line="360" w:lineRule="auto" w:after="120"/>
        <w:jc w:val="both"/>
      </w:pPr>
      <w:r>
        <w:rPr>
          <w:rFonts w:ascii="Times New Roman" w:hAnsi="Times New Roman" w:cs="Times New Roman" w:eastAsia="Times New Roman"/>
          <w:color w:val="000000"/>
          <w:sz w:val="24"/>
        </w:rPr>
        <w:t xml:space="preserve">extend the analysis to probabilistic forecasts of peaks and ramps.</w:t>
      </w:r>
    </w:p>
    <w:bookmarkEnd w:id="89"/>
    <w:bookmarkStart w:id="90" w:name="data-availability-statement"/>
    <w:p>
      <w:pPr>
        <w:pStyle w:val="Heading1"/>
        <w:keepNext/>
        <w:spacing w:before="240" w:after="120"/>
      </w:pPr>
      <w:r>
        <w:rPr>
          <w:rFonts w:ascii="Times New Roman" w:hAnsi="Times New Roman" w:cs="Times New Roman" w:eastAsia="Times New Roman"/>
          <w:b/>
          <w:color w:val="000000"/>
          <w:sz w:val="28"/>
        </w:rPr>
        <w:t xml:space="preserve">Data availability statement</w:t>
      </w:r>
    </w:p>
    <w:p>
      <w:pPr>
        <w:pStyle w:val="FirstParagraph"/>
        <w:spacing w:line="360" w:lineRule="auto" w:after="120"/>
        <w:jc w:val="both"/>
      </w:pPr>
      <w:r>
        <w:rPr>
          <w:rFonts w:ascii="Times New Roman" w:hAnsi="Times New Roman" w:cs="Times New Roman" w:eastAsia="Times New Roman"/>
          <w:color w:val="000000"/>
          <w:sz w:val="24"/>
        </w:rPr>
        <w:t xml:space="preserve">This study uses publicly available data only. The EIA Form 930 hourly balancing-authority data, as processed by the Public Utility Data Liberation project (Catalyst Cooperative), release v2026.10.0, are available from the PUDL public data bucket (</w:t>
      </w:r>
      <w:r>
        <w:rPr>
          <w:rStyle w:val="VerbatimChar"/>
          <w:rFonts w:ascii="Times New Roman" w:hAnsi="Times New Roman" w:cs="Times New Roman" w:eastAsia="Times New Roman"/>
          <w:color w:val="000000"/>
          <w:sz w:val="24"/>
        </w:rPr>
        <w:t xml:space="preserve">s3://pudl.catalyst.coop/stable/</w:t>
      </w:r>
      <w:r>
        <w:rPr>
          <w:rFonts w:ascii="Times New Roman" w:hAnsi="Times New Roman" w:cs="Times New Roman" w:eastAsia="Times New Roman"/>
          <w:color w:val="000000"/>
          <w:sz w:val="24"/>
        </w:rPr>
        <w:t xml:space="preserve">, retrieved 16 October 2026) and the corresponding Zenodo archive (DOI 10.5281/zenodo.22525116). The original EIA data are a U.S. Government work in the public domain; PUDL outputs are licensed CC-BY-4.0. The download script verifies SHA-256 checksums of the exact files used. Derived predictions, metrics and tables are included in the code repository and supplementary archive. [AUTHOR ACTION: insert the permanent repository/DOI link for the code and derived data, e.g. a Zenodo release of the repository.]</w:t>
      </w:r>
    </w:p>
    <w:bookmarkEnd w:id="90"/>
    <w:bookmarkStart w:id="91" w:name="code-availability-statement"/>
    <w:p>
      <w:pPr>
        <w:pStyle w:val="Heading1"/>
        <w:keepNext/>
        <w:spacing w:before="240" w:after="120"/>
      </w:pPr>
      <w:r>
        <w:rPr>
          <w:rFonts w:ascii="Times New Roman" w:hAnsi="Times New Roman" w:cs="Times New Roman" w:eastAsia="Times New Roman"/>
          <w:b/>
          <w:color w:val="000000"/>
          <w:sz w:val="28"/>
        </w:rPr>
        <w:t xml:space="preserve">Code availability statement</w:t>
      </w:r>
    </w:p>
    <w:p>
      <w:pPr>
        <w:pStyle w:val="FirstParagraph"/>
        <w:spacing w:line="360" w:lineRule="auto" w:after="120"/>
        <w:jc w:val="both"/>
      </w:pPr>
      <w:r>
        <w:rPr>
          <w:rFonts w:ascii="Times New Roman" w:hAnsi="Times New Roman" w:cs="Times New Roman" w:eastAsia="Times New Roman"/>
          <w:color w:val="000000"/>
          <w:sz w:val="24"/>
        </w:rPr>
        <w:t xml:space="preserve">All code needed to reproduce every number, table and figure (data download, preprocessing, model training, evaluation, statistics, figures, tables and manuscript assembly) is available at [AUTHOR ACTION: repository URL / DOI]. A single command (</w:t>
      </w:r>
      <w:r>
        <w:rPr>
          <w:rStyle w:val="VerbatimChar"/>
          <w:rFonts w:ascii="Times New Roman" w:hAnsi="Times New Roman" w:cs="Times New Roman" w:eastAsia="Times New Roman"/>
          <w:color w:val="000000"/>
          <w:sz w:val="24"/>
        </w:rPr>
        <w:t xml:space="preserve">python -m src.run_all</w:t>
      </w:r>
      <w:r>
        <w:rPr>
          <w:rFonts w:ascii="Times New Roman" w:hAnsi="Times New Roman" w:cs="Times New Roman" w:eastAsia="Times New Roman"/>
          <w:color w:val="000000"/>
          <w:sz w:val="24"/>
        </w:rPr>
        <w:t xml:space="preserve">) reproduces the full study on a 4-core CPU in roughly six to seven hours of wall-clock time; the frozen protocol, configuration and decision log are versioned with the code.</w:t>
      </w:r>
    </w:p>
    <w:bookmarkEnd w:id="91"/>
    <w:bookmarkStart w:id="92" w:name="funding"/>
    <w:p>
      <w:pPr>
        <w:pStyle w:val="Heading1"/>
        <w:keepNext/>
        <w:spacing w:before="240" w:after="120"/>
      </w:pPr>
      <w:r>
        <w:rPr>
          <w:rFonts w:ascii="Times New Roman" w:hAnsi="Times New Roman" w:cs="Times New Roman" w:eastAsia="Times New Roman"/>
          <w:b/>
          <w:color w:val="000000"/>
          <w:sz w:val="28"/>
        </w:rPr>
        <w:t xml:space="preserve">Funding</w:t>
      </w:r>
    </w:p>
    <w:p>
      <w:pPr>
        <w:pStyle w:val="FirstParagraph"/>
        <w:spacing w:line="360" w:lineRule="auto" w:after="120"/>
        <w:jc w:val="both"/>
      </w:pPr>
      <w:r>
        <w:rPr>
          <w:rFonts w:ascii="Times New Roman" w:hAnsi="Times New Roman" w:cs="Times New Roman" w:eastAsia="Times New Roman"/>
          <w:color w:val="000000"/>
          <w:sz w:val="24"/>
        </w:rPr>
        <w:t xml:space="preserve">[AUTHOR ACTION: Funding statement. If none: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This research did not receive any specific grant from funding agencies in the public, commercial, or not-for-profit sectors.</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w:t>
      </w:r>
    </w:p>
    <w:bookmarkEnd w:id="92"/>
    <w:bookmarkStart w:id="93" w:name="declaration-of-competing-interest"/>
    <w:p>
      <w:pPr>
        <w:pStyle w:val="Heading1"/>
        <w:keepNext/>
        <w:spacing w:before="240" w:after="120"/>
      </w:pPr>
      <w:r>
        <w:rPr>
          <w:rFonts w:ascii="Times New Roman" w:hAnsi="Times New Roman" w:cs="Times New Roman" w:eastAsia="Times New Roman"/>
          <w:b/>
          <w:color w:val="000000"/>
          <w:sz w:val="28"/>
        </w:rPr>
        <w:t xml:space="preserve">Declaration of competing interest</w:t>
      </w:r>
    </w:p>
    <w:p>
      <w:pPr>
        <w:pStyle w:val="FirstParagraph"/>
        <w:spacing w:line="360" w:lineRule="auto" w:after="120"/>
        <w:jc w:val="both"/>
      </w:pPr>
      <w:r>
        <w:rPr>
          <w:rFonts w:ascii="Times New Roman" w:hAnsi="Times New Roman" w:cs="Times New Roman" w:eastAsia="Times New Roman"/>
          <w:color w:val="000000"/>
          <w:sz w:val="24"/>
        </w:rPr>
        <w:t xml:space="preserve">[AUTHOR ACTION: Declare any competing interests, or state:</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The authors declare that they have no known competing financial interests or personal relationships that could have appeared to influence the work reported in this paper.</w:t>
      </w:r>
      <w:r>
        <w:rPr>
          <w:rFonts w:ascii="Times New Roman" w:hAnsi="Times New Roman" w:cs="Times New Roman" w:eastAsia="Times New Roman"/>
          <w:color w:val="000000"/>
          <w:sz w:val="24"/>
        </w:rPr>
        <w:t xml:space="preserve">”</w:t>
      </w:r>
      <w:r>
        <w:rPr>
          <w:rFonts w:ascii="Times New Roman" w:hAnsi="Times New Roman" w:cs="Times New Roman" w:eastAsia="Times New Roman"/>
          <w:color w:val="000000"/>
          <w:sz w:val="24"/>
        </w:rPr>
        <w:t xml:space="preserve">]</w:t>
      </w:r>
    </w:p>
    <w:bookmarkEnd w:id="93"/>
    <w:bookmarkStart w:id="94" w:name="credit-authorship-contribution-statement"/>
    <w:p>
      <w:pPr>
        <w:pStyle w:val="Heading1"/>
        <w:keepNext/>
        <w:spacing w:before="240" w:after="120"/>
      </w:pPr>
      <w:r>
        <w:rPr>
          <w:rFonts w:ascii="Times New Roman" w:hAnsi="Times New Roman" w:cs="Times New Roman" w:eastAsia="Times New Roman"/>
          <w:b/>
          <w:color w:val="000000"/>
          <w:sz w:val="28"/>
        </w:rPr>
        <w:t xml:space="preserve">CRediT authorship contribution statement</w:t>
      </w:r>
    </w:p>
    <w:p>
      <w:pPr>
        <w:pStyle w:val="FirstParagraph"/>
        <w:spacing w:line="360" w:lineRule="auto" w:after="120"/>
        <w:jc w:val="both"/>
      </w:pPr>
      <w:r>
        <w:rPr>
          <w:rFonts w:ascii="Times New Roman" w:hAnsi="Times New Roman" w:cs="Times New Roman" w:eastAsia="Times New Roman"/>
          <w:color w:val="000000"/>
          <w:sz w:val="24"/>
        </w:rPr>
        <w:t xml:space="preserve">[AUTHOR ACTION: Assign CRediT roles for each author, e.g. </w:t>
      </w:r>
      <w:r>
        <w:rPr>
          <w:bCs/>
          <w:rFonts w:ascii="Times New Roman" w:hAnsi="Times New Roman" w:cs="Times New Roman" w:eastAsia="Times New Roman"/>
          <w:b/>
          <w:color w:val="000000"/>
          <w:sz w:val="24"/>
        </w:rPr>
        <w:t xml:space="preserve">[Author 1]:</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Conceptualization, Methodology, Software, Formal analysis, Writing – original draft.</w:t>
      </w:r>
      <w:r>
        <w:rPr>
          <w:rFonts w:ascii="Times New Roman" w:hAnsi="Times New Roman" w:cs="Times New Roman" w:eastAsia="Times New Roman"/>
          <w:color w:val="000000"/>
          <w:sz w:val="24"/>
        </w:rPr>
        <w:t xml:space="preserve"> </w:t>
      </w:r>
      <w:r>
        <w:rPr>
          <w:bCs/>
          <w:rFonts w:ascii="Times New Roman" w:hAnsi="Times New Roman" w:cs="Times New Roman" w:eastAsia="Times New Roman"/>
          <w:b/>
          <w:color w:val="000000"/>
          <w:sz w:val="24"/>
        </w:rPr>
        <w:t xml:space="preserve">[Author 2]:</w:t>
      </w:r>
      <w:r>
        <w:rPr>
          <w:rFonts w:ascii="Times New Roman" w:hAnsi="Times New Roman" w:cs="Times New Roman" w:eastAsia="Times New Roman"/>
          <w:color w:val="000000"/>
          <w:sz w:val="24"/>
        </w:rPr>
        <w:t xml:space="preserve"> </w:t>
      </w:r>
      <w:r>
        <w:rPr>
          <w:rFonts w:ascii="Times New Roman" w:hAnsi="Times New Roman" w:cs="Times New Roman" w:eastAsia="Times New Roman"/>
          <w:color w:val="000000"/>
          <w:sz w:val="24"/>
        </w:rPr>
        <w:t xml:space="preserve">Supervision, Writing – review &amp; editing.]</w:t>
      </w:r>
    </w:p>
    <w:bookmarkEnd w:id="94"/>
    <w:bookmarkStart w:id="95" w:name="declaration-of-generative-ai-use"/>
    <w:p>
      <w:pPr>
        <w:pStyle w:val="Heading1"/>
        <w:keepNext/>
        <w:spacing w:before="240" w:after="120"/>
      </w:pPr>
      <w:r>
        <w:rPr>
          <w:rFonts w:ascii="Times New Roman" w:hAnsi="Times New Roman" w:cs="Times New Roman" w:eastAsia="Times New Roman"/>
          <w:b/>
          <w:color w:val="000000"/>
          <w:sz w:val="28"/>
        </w:rPr>
        <w:t xml:space="preserve">Declaration of generative AI use</w:t>
      </w:r>
    </w:p>
    <w:p>
      <w:pPr>
        <w:pStyle w:val="FirstParagraph"/>
        <w:spacing w:line="360" w:lineRule="auto" w:after="120"/>
        <w:jc w:val="both"/>
      </w:pPr>
      <w:r>
        <w:rPr>
          <w:rFonts w:ascii="Times New Roman" w:hAnsi="Times New Roman" w:cs="Times New Roman" w:eastAsia="Times New Roman"/>
          <w:color w:val="000000"/>
          <w:sz w:val="24"/>
        </w:rPr>
        <w:t xml:space="preserve">[AUTHOR ACTION: Most journals require disclosure of generative-AI assistance. This manuscript, its code and analyses were prepared with substantial assistance from an AI system (Claude, Anthropic); the authors must review, verify and take responsibility for all content and complete the journal’s AI-disclosure statement accordingly.]</w:t>
      </w:r>
    </w:p>
    <w:bookmarkEnd w:id="95"/>
    <w:bookmarkStart w:id="96" w:name="acknowledgements"/>
    <w:p>
      <w:pPr>
        <w:pStyle w:val="Heading1"/>
        <w:keepNext/>
        <w:spacing w:before="240" w:after="120"/>
      </w:pPr>
      <w:r>
        <w:rPr>
          <w:rFonts w:ascii="Times New Roman" w:hAnsi="Times New Roman" w:cs="Times New Roman" w:eastAsia="Times New Roman"/>
          <w:b/>
          <w:color w:val="000000"/>
          <w:sz w:val="28"/>
        </w:rPr>
        <w:t xml:space="preserve">Acknowledgements</w:t>
      </w:r>
    </w:p>
    <w:p>
      <w:pPr>
        <w:pStyle w:val="FirstParagraph"/>
        <w:spacing w:line="360" w:lineRule="auto" w:after="120"/>
        <w:jc w:val="both"/>
      </w:pPr>
      <w:r>
        <w:rPr>
          <w:rFonts w:ascii="Times New Roman" w:hAnsi="Times New Roman" w:cs="Times New Roman" w:eastAsia="Times New Roman"/>
          <w:color w:val="000000"/>
          <w:sz w:val="24"/>
        </w:rPr>
        <w:t xml:space="preserve">We thank Catalyst Cooperative for the PUDL project and the U.S. Energy Information Administration for publishing Form 930 data. [AUTHOR ACTION: add further acknowledgements or delete.]</w:t>
      </w:r>
    </w:p>
    <w:bookmarkEnd w:id="96"/>
    <w:bookmarkStart w:id="204" w:name="references"/>
    <w:p>
      <w:pPr>
        <w:pStyle w:val="Heading1"/>
        <w:keepNext/>
        <w:spacing w:before="240" w:after="120"/>
      </w:pPr>
      <w:r>
        <w:rPr>
          <w:rFonts w:ascii="Times New Roman" w:hAnsi="Times New Roman" w:cs="Times New Roman" w:eastAsia="Times New Roman"/>
          <w:b/>
          <w:color w:val="000000"/>
          <w:sz w:val="28"/>
        </w:rPr>
        <w:t xml:space="preserve">References</w:t>
      </w:r>
    </w:p>
    <w:bookmarkStart w:id="203" w:name="refs"/>
    <w:bookmarkStart w:id="98" w:name="ref-ahmadi2025globalization"/>
    <w:p>
      <w:pPr>
        <w:pStyle w:val="Bibliography"/>
        <w:spacing w:line="276" w:lineRule="auto" w:after="80"/>
        <w:jc w:val="left"/>
      </w:pPr>
      <w:r>
        <w:rPr>
          <w:rFonts w:ascii="Times New Roman" w:hAnsi="Times New Roman" w:cs="Times New Roman" w:eastAsia="Times New Roman"/>
          <w:color w:val="000000"/>
          <w:sz w:val="22"/>
        </w:rPr>
        <w:t xml:space="preserve">Ahmadi, A., Zareipour, H., Leung, H., 2025.</w:t>
      </w:r>
      <w:r>
        <w:rPr>
          <w:rFonts w:ascii="Times New Roman" w:hAnsi="Times New Roman" w:cs="Times New Roman" w:eastAsia="Times New Roman"/>
          <w:color w:val="000000"/>
          <w:sz w:val="22"/>
        </w:rPr>
        <w:t xml:space="preserve"> </w:t>
      </w:r>
      <w:hyperlink r:id="rId97">
        <w:r>
          <w:rPr>
            <w:rStyle w:val="Hyperlink"/>
          </w:rPr>
          <w:t xml:space="preserve">Globalization for scalable short-term load forecasting</w:t>
        </w:r>
      </w:hyperlink>
      <w:r>
        <w:rPr>
          <w:rFonts w:ascii="Times New Roman" w:hAnsi="Times New Roman" w:cs="Times New Roman" w:eastAsia="Times New Roman"/>
          <w:color w:val="000000"/>
          <w:sz w:val="22"/>
        </w:rPr>
        <w:t xml:space="preserve">.</w:t>
      </w:r>
    </w:p>
    <w:bookmarkEnd w:id="98"/>
    <w:bookmarkStart w:id="99" w:name="ref-angelopoulos2023conformal"/>
    <w:p>
      <w:pPr>
        <w:pStyle w:val="Bibliography"/>
        <w:spacing w:line="276" w:lineRule="auto" w:after="80"/>
        <w:jc w:val="left"/>
      </w:pPr>
      <w:r>
        <w:rPr>
          <w:rFonts w:ascii="Times New Roman" w:hAnsi="Times New Roman" w:cs="Times New Roman" w:eastAsia="Times New Roman"/>
          <w:color w:val="000000"/>
          <w:sz w:val="22"/>
        </w:rPr>
        <w:t xml:space="preserve">Angelopoulos, A.N., Candès, E.J., Tibshirani, R.J., 2023. Conformal</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PID</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control for time series prediction, in: Advances in Neural Information Processing Systems 36.</w:t>
      </w:r>
    </w:p>
    <w:bookmarkEnd w:id="99"/>
    <w:bookmarkStart w:id="101" w:name="ref-ansari2024chronos"/>
    <w:p>
      <w:pPr>
        <w:pStyle w:val="Bibliography"/>
        <w:spacing w:line="276" w:lineRule="auto" w:after="80"/>
        <w:jc w:val="left"/>
      </w:pPr>
      <w:r>
        <w:rPr>
          <w:rFonts w:ascii="Times New Roman" w:hAnsi="Times New Roman" w:cs="Times New Roman" w:eastAsia="Times New Roman"/>
          <w:color w:val="000000"/>
          <w:sz w:val="22"/>
        </w:rPr>
        <w:t xml:space="preserve">Ansari, A.F., others, 2024.</w:t>
      </w:r>
      <w:r>
        <w:rPr>
          <w:rFonts w:ascii="Times New Roman" w:hAnsi="Times New Roman" w:cs="Times New Roman" w:eastAsia="Times New Roman"/>
          <w:color w:val="000000"/>
          <w:sz w:val="22"/>
        </w:rPr>
        <w:t xml:space="preserve"> </w:t>
      </w:r>
      <w:hyperlink r:id="rId100">
        <w:r>
          <w:rPr>
            <w:rStyle w:val="Hyperlink"/>
          </w:rPr>
          <w:t xml:space="preserve">Chronos: Learning the language of time series</w:t>
        </w:r>
      </w:hyperlink>
      <w:r>
        <w:rPr>
          <w:rFonts w:ascii="Times New Roman" w:hAnsi="Times New Roman" w:cs="Times New Roman" w:eastAsia="Times New Roman"/>
          <w:color w:val="000000"/>
          <w:sz w:val="22"/>
        </w:rPr>
        <w:t xml:space="preserve">. Transactions on Machine Learning Research.</w:t>
      </w:r>
    </w:p>
    <w:bookmarkEnd w:id="101"/>
    <w:bookmarkStart w:id="103" w:name="ref-antoniadis2024hierarchical"/>
    <w:p>
      <w:pPr>
        <w:pStyle w:val="Bibliography"/>
        <w:spacing w:line="276" w:lineRule="auto" w:after="80"/>
        <w:jc w:val="left"/>
      </w:pPr>
      <w:r>
        <w:rPr>
          <w:rFonts w:ascii="Times New Roman" w:hAnsi="Times New Roman" w:cs="Times New Roman" w:eastAsia="Times New Roman"/>
          <w:color w:val="000000"/>
          <w:sz w:val="22"/>
        </w:rPr>
        <w:t xml:space="preserve">Antoniadis, A., Gaucher, S., Goude, Y., 2024. Hierarchical transfer learning with applications to electricity load forecasting. International Journal of Forecasting 40, 641–660.</w:t>
      </w:r>
      <w:r>
        <w:rPr>
          <w:rFonts w:ascii="Times New Roman" w:hAnsi="Times New Roman" w:cs="Times New Roman" w:eastAsia="Times New Roman"/>
          <w:color w:val="000000"/>
          <w:sz w:val="22"/>
        </w:rPr>
        <w:t xml:space="preserve"> </w:t>
      </w:r>
      <w:hyperlink r:id="rId102">
        <w:r>
          <w:rPr>
            <w:rStyle w:val="Hyperlink"/>
          </w:rPr>
          <w:t xml:space="preserve">https://doi.org/10.1016/j.ijforecast.2023.04.006</w:t>
        </w:r>
      </w:hyperlink>
    </w:p>
    <w:bookmarkEnd w:id="103"/>
    <w:bookmarkStart w:id="104" w:name="ref-areces2025online"/>
    <w:p>
      <w:pPr>
        <w:pStyle w:val="Bibliography"/>
        <w:spacing w:line="276" w:lineRule="auto" w:after="80"/>
        <w:jc w:val="left"/>
      </w:pPr>
      <w:r>
        <w:rPr>
          <w:rFonts w:ascii="Times New Roman" w:hAnsi="Times New Roman" w:cs="Times New Roman" w:eastAsia="Times New Roman"/>
          <w:color w:val="000000"/>
          <w:sz w:val="22"/>
        </w:rPr>
        <w:t xml:space="preserve">Areces, F., Mohri, C., Hashimoto, T., Duchi, J., 2025. Online conformal prediction via online optimization, in: Proceedings of the 42nd International Conference on Machine Learning, PMLR. pp. 1604–1649.</w:t>
      </w:r>
    </w:p>
    <w:bookmarkEnd w:id="104"/>
    <w:bookmarkStart w:id="106" w:name="ref-barber2023conformal"/>
    <w:p>
      <w:pPr>
        <w:pStyle w:val="Bibliography"/>
        <w:spacing w:line="276" w:lineRule="auto" w:after="80"/>
        <w:jc w:val="left"/>
      </w:pPr>
      <w:r>
        <w:rPr>
          <w:rFonts w:ascii="Times New Roman" w:hAnsi="Times New Roman" w:cs="Times New Roman" w:eastAsia="Times New Roman"/>
          <w:color w:val="000000"/>
          <w:sz w:val="22"/>
        </w:rPr>
        <w:t xml:space="preserve">Barber, R.F., Candès, E.J., Ramdas, A., Tibshirani, R.J., 2023. Conformal prediction beyond exchangeability. The Annals of Statistics 51, 816–845.</w:t>
      </w:r>
      <w:r>
        <w:rPr>
          <w:rFonts w:ascii="Times New Roman" w:hAnsi="Times New Roman" w:cs="Times New Roman" w:eastAsia="Times New Roman"/>
          <w:color w:val="000000"/>
          <w:sz w:val="22"/>
        </w:rPr>
        <w:t xml:space="preserve"> </w:t>
      </w:r>
      <w:hyperlink r:id="rId105">
        <w:r>
          <w:rPr>
            <w:rStyle w:val="Hyperlink"/>
          </w:rPr>
          <w:t xml:space="preserve">https://doi.org/10.1214/23-AOS2276</w:t>
        </w:r>
      </w:hyperlink>
    </w:p>
    <w:bookmarkEnd w:id="106"/>
    <w:bookmarkStart w:id="108" w:name="ref-bergmeir2012use"/>
    <w:p>
      <w:pPr>
        <w:pStyle w:val="Bibliography"/>
        <w:spacing w:line="276" w:lineRule="auto" w:after="80"/>
        <w:jc w:val="left"/>
      </w:pPr>
      <w:r>
        <w:rPr>
          <w:rFonts w:ascii="Times New Roman" w:hAnsi="Times New Roman" w:cs="Times New Roman" w:eastAsia="Times New Roman"/>
          <w:color w:val="000000"/>
          <w:sz w:val="22"/>
        </w:rPr>
        <w:t xml:space="preserve">Bergmeir, C., Benítez, J.M., 2012. On the use of cross-validation for time series predictor evaluation. Information Sciences.</w:t>
      </w:r>
      <w:r>
        <w:rPr>
          <w:rFonts w:ascii="Times New Roman" w:hAnsi="Times New Roman" w:cs="Times New Roman" w:eastAsia="Times New Roman"/>
          <w:color w:val="000000"/>
          <w:sz w:val="22"/>
        </w:rPr>
        <w:t xml:space="preserve"> </w:t>
      </w:r>
      <w:hyperlink r:id="rId107">
        <w:r>
          <w:rPr>
            <w:rStyle w:val="Hyperlink"/>
          </w:rPr>
          <w:t xml:space="preserve">https://doi.org/10.1016/j.ins.2011.12.028</w:t>
        </w:r>
      </w:hyperlink>
    </w:p>
    <w:bookmarkEnd w:id="108"/>
    <w:bookmarkStart w:id="110" w:name="ref-bergmeir2018note"/>
    <w:p>
      <w:pPr>
        <w:pStyle w:val="Bibliography"/>
        <w:spacing w:line="276" w:lineRule="auto" w:after="80"/>
        <w:jc w:val="left"/>
      </w:pPr>
      <w:r>
        <w:rPr>
          <w:rFonts w:ascii="Times New Roman" w:hAnsi="Times New Roman" w:cs="Times New Roman" w:eastAsia="Times New Roman"/>
          <w:color w:val="000000"/>
          <w:sz w:val="22"/>
        </w:rPr>
        <w:t xml:space="preserve">Bergmeir, C., Hyndman, R.J., Koo, B., 2018. A note on the validity of cross-validation for evaluating autoregressive time series prediction. Computational Statistics &amp; Data Analysis 120, 70–83.</w:t>
      </w:r>
      <w:r>
        <w:rPr>
          <w:rFonts w:ascii="Times New Roman" w:hAnsi="Times New Roman" w:cs="Times New Roman" w:eastAsia="Times New Roman"/>
          <w:color w:val="000000"/>
          <w:sz w:val="22"/>
        </w:rPr>
        <w:t xml:space="preserve"> </w:t>
      </w:r>
      <w:hyperlink r:id="rId109">
        <w:r>
          <w:rPr>
            <w:rStyle w:val="Hyperlink"/>
          </w:rPr>
          <w:t xml:space="preserve">https://doi.org/10.1016/j.csda.2017.11.003</w:t>
        </w:r>
      </w:hyperlink>
    </w:p>
    <w:bookmarkEnd w:id="110"/>
    <w:bookmarkStart w:id="111" w:name="ref-bhatnagar2023improved"/>
    <w:p>
      <w:pPr>
        <w:pStyle w:val="Bibliography"/>
        <w:spacing w:line="276" w:lineRule="auto" w:after="80"/>
        <w:jc w:val="left"/>
      </w:pPr>
      <w:r>
        <w:rPr>
          <w:rFonts w:ascii="Times New Roman" w:hAnsi="Times New Roman" w:cs="Times New Roman" w:eastAsia="Times New Roman"/>
          <w:color w:val="000000"/>
          <w:sz w:val="22"/>
        </w:rPr>
        <w:t xml:space="preserve">Bhatnagar, A., Wang, H., Xiong, C., Bai, Y., 2023. Improved online conformal prediction via strongly adaptive online learning, in: Proceedings of the 40th International Conference on Machine Learning, PMLR. pp. 2337–2363.</w:t>
      </w:r>
    </w:p>
    <w:bookmarkEnd w:id="111"/>
    <w:bookmarkStart w:id="112" w:name="ref-pudl2026"/>
    <w:p>
      <w:pPr>
        <w:pStyle w:val="Bibliography"/>
        <w:spacing w:line="276" w:lineRule="auto" w:after="80"/>
        <w:jc w:val="left"/>
      </w:pPr>
      <w:r>
        <w:rPr>
          <w:rFonts w:ascii="Times New Roman" w:hAnsi="Times New Roman" w:cs="Times New Roman" w:eastAsia="Times New Roman"/>
          <w:color w:val="000000"/>
          <w:sz w:val="22"/>
        </w:rPr>
        <w:t xml:space="preserve">Catalyst Cooperative, 2026a.</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PUDL</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data release (EIA-930 tables).</w:t>
      </w:r>
    </w:p>
    <w:bookmarkEnd w:id="112"/>
    <w:bookmarkStart w:id="114" w:name="ref-pudl_eia930_2026"/>
    <w:p>
      <w:pPr>
        <w:pStyle w:val="Bibliography"/>
        <w:spacing w:line="276" w:lineRule="auto" w:after="80"/>
        <w:jc w:val="left"/>
      </w:pPr>
      <w:r>
        <w:rPr>
          <w:rFonts w:ascii="Times New Roman" w:hAnsi="Times New Roman" w:cs="Times New Roman" w:eastAsia="Times New Roman"/>
          <w:color w:val="000000"/>
          <w:sz w:val="22"/>
        </w:rPr>
        <w:t xml:space="preserve">Catalyst Cooperative, 2026b.</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PUDL</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data release v2026.10.0:</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EIA</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form 930 hourly and daily balancing authority operations report (archived source data).</w:t>
      </w:r>
      <w:r>
        <w:rPr>
          <w:rFonts w:ascii="Times New Roman" w:hAnsi="Times New Roman" w:cs="Times New Roman" w:eastAsia="Times New Roman"/>
          <w:color w:val="000000"/>
          <w:sz w:val="22"/>
        </w:rPr>
        <w:t xml:space="preserve"> </w:t>
      </w:r>
      <w:hyperlink r:id="rId113">
        <w:r>
          <w:rPr>
            <w:rStyle w:val="Hyperlink"/>
          </w:rPr>
          <w:t xml:space="preserve">https://doi.org/10.5281/zenodo.22525116</w:t>
        </w:r>
      </w:hyperlink>
    </w:p>
    <w:bookmarkEnd w:id="114"/>
    <w:bookmarkStart w:id="115" w:name="ref-das2024decoder"/>
    <w:p>
      <w:pPr>
        <w:pStyle w:val="Bibliography"/>
        <w:spacing w:line="276" w:lineRule="auto" w:after="80"/>
        <w:jc w:val="left"/>
      </w:pPr>
      <w:r>
        <w:rPr>
          <w:rFonts w:ascii="Times New Roman" w:hAnsi="Times New Roman" w:cs="Times New Roman" w:eastAsia="Times New Roman"/>
          <w:color w:val="000000"/>
          <w:sz w:val="22"/>
        </w:rPr>
        <w:t xml:space="preserve">Das, A., Kong, W., Sen, R., Zhou, Y., 2024. A decoder-only foundation model for time-series forecasting, in: Proceedings of the 41st International Conference on Machine Learning, PMLR. pp. 10148–10167.</w:t>
      </w:r>
    </w:p>
    <w:bookmarkEnd w:id="115"/>
    <w:bookmarkStart w:id="116" w:name="ref-diebold1995comparing"/>
    <w:p>
      <w:pPr>
        <w:pStyle w:val="Bibliography"/>
        <w:spacing w:line="276" w:lineRule="auto" w:after="80"/>
        <w:jc w:val="left"/>
      </w:pPr>
      <w:r>
        <w:rPr>
          <w:rFonts w:ascii="Times New Roman" w:hAnsi="Times New Roman" w:cs="Times New Roman" w:eastAsia="Times New Roman"/>
          <w:color w:val="000000"/>
          <w:sz w:val="22"/>
        </w:rPr>
        <w:t xml:space="preserve">Diebold, F.X., Mariano, R.S., 1995. Comparing predictive accuracy. Journal of Business &amp; Economic Statistics 13, 253–263.</w:t>
      </w:r>
    </w:p>
    <w:bookmarkEnd w:id="116"/>
    <w:bookmarkStart w:id="117" w:name="ref-emami2023buildingsbench"/>
    <w:p>
      <w:pPr>
        <w:pStyle w:val="Bibliography"/>
        <w:spacing w:line="276" w:lineRule="auto" w:after="80"/>
        <w:jc w:val="left"/>
      </w:pPr>
      <w:r>
        <w:rPr>
          <w:rFonts w:ascii="Times New Roman" w:hAnsi="Times New Roman" w:cs="Times New Roman" w:eastAsia="Times New Roman"/>
          <w:color w:val="000000"/>
          <w:sz w:val="22"/>
        </w:rPr>
        <w:t xml:space="preserve">Emami, P., Sahu, A., Graf, P., 2023.</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BuildingsBench</w:t>
      </w:r>
      <w:r>
        <w:rPr>
          <w:rFonts w:ascii="Times New Roman" w:hAnsi="Times New Roman" w:cs="Times New Roman" w:eastAsia="Times New Roman"/>
          <w:color w:val="000000"/>
          <w:sz w:val="22"/>
        </w:rPr>
        <w:t xml:space="preserve">: A large-scale dataset of 900</w:t>
      </w:r>
      <w:r>
        <w:rPr>
          <w:rFonts w:ascii="Times New Roman" w:hAnsi="Times New Roman" w:cs="Times New Roman" w:eastAsia="Times New Roman"/>
          <w:color w:val="000000"/>
          <w:sz w:val="22"/>
        </w:rPr>
        <w:t xml:space="preserve">K</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buildings and benchmark for short-term load forecasting, in: Advances in Neural Information Processing Systems 36 (Datasets and Benchmarks Track).</w:t>
      </w:r>
    </w:p>
    <w:bookmarkEnd w:id="117"/>
    <w:bookmarkStart w:id="119" w:name="ref-farrokhabadi2022dayahead"/>
    <w:p>
      <w:pPr>
        <w:pStyle w:val="Bibliography"/>
        <w:spacing w:line="276" w:lineRule="auto" w:after="80"/>
        <w:jc w:val="left"/>
      </w:pPr>
      <w:r>
        <w:rPr>
          <w:rFonts w:ascii="Times New Roman" w:hAnsi="Times New Roman" w:cs="Times New Roman" w:eastAsia="Times New Roman"/>
          <w:color w:val="000000"/>
          <w:sz w:val="22"/>
        </w:rPr>
        <w:t xml:space="preserve">Farrokhabadi, M., Browell, J., Wang, Y., Makonin, S., Su, W., Zareipour, H., 2022. Day-ahead electricity demand forecasting competition: Post-</w:t>
      </w:r>
      <w:r>
        <w:rPr>
          <w:rFonts w:ascii="Times New Roman" w:hAnsi="Times New Roman" w:cs="Times New Roman" w:eastAsia="Times New Roman"/>
          <w:color w:val="000000"/>
          <w:sz w:val="22"/>
        </w:rPr>
        <w:t xml:space="preserve">COVID</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paradigm. IEEE Open Access Journal of Power and Energy 9, 185–191.</w:t>
      </w:r>
      <w:r>
        <w:rPr>
          <w:rFonts w:ascii="Times New Roman" w:hAnsi="Times New Roman" w:cs="Times New Roman" w:eastAsia="Times New Roman"/>
          <w:color w:val="000000"/>
          <w:sz w:val="22"/>
        </w:rPr>
        <w:t xml:space="preserve"> </w:t>
      </w:r>
      <w:hyperlink r:id="rId118">
        <w:r>
          <w:rPr>
            <w:rStyle w:val="Hyperlink"/>
          </w:rPr>
          <w:t xml:space="preserve">https://doi.org/10.1109/OAJPE.2022.3161101</w:t>
        </w:r>
      </w:hyperlink>
    </w:p>
    <w:bookmarkEnd w:id="119"/>
    <w:bookmarkStart w:id="121" w:name="ref-garza2023timegpt"/>
    <w:p>
      <w:pPr>
        <w:pStyle w:val="Bibliography"/>
        <w:spacing w:line="276" w:lineRule="auto" w:after="80"/>
        <w:jc w:val="left"/>
      </w:pPr>
      <w:r>
        <w:rPr>
          <w:rFonts w:ascii="Times New Roman" w:hAnsi="Times New Roman" w:cs="Times New Roman" w:eastAsia="Times New Roman"/>
          <w:color w:val="000000"/>
          <w:sz w:val="22"/>
        </w:rPr>
        <w:t xml:space="preserve">Garza, A., Mergenthaler-Canseco, M., 2023.</w:t>
      </w:r>
      <w:r>
        <w:rPr>
          <w:rFonts w:ascii="Times New Roman" w:hAnsi="Times New Roman" w:cs="Times New Roman" w:eastAsia="Times New Roman"/>
          <w:color w:val="000000"/>
          <w:sz w:val="22"/>
        </w:rPr>
        <w:t xml:space="preserve"> </w:t>
      </w:r>
      <w:hyperlink r:id="rId120">
        <w:r>
          <w:rPr>
            <w:rStyle w:val="Hyperlink"/>
          </w:rPr>
          <w:t xml:space="preserve">TimeGPT-1</w:t>
        </w:r>
      </w:hyperlink>
      <w:r>
        <w:rPr>
          <w:rFonts w:ascii="Times New Roman" w:hAnsi="Times New Roman" w:cs="Times New Roman" w:eastAsia="Times New Roman"/>
          <w:color w:val="000000"/>
          <w:sz w:val="22"/>
        </w:rPr>
        <w:t xml:space="preserve">.</w:t>
      </w:r>
    </w:p>
    <w:bookmarkEnd w:id="121"/>
    <w:bookmarkStart w:id="122" w:name="ref-gibbs2021adaptive"/>
    <w:p>
      <w:pPr>
        <w:pStyle w:val="Bibliography"/>
        <w:spacing w:line="276" w:lineRule="auto" w:after="80"/>
        <w:jc w:val="left"/>
      </w:pPr>
      <w:r>
        <w:rPr>
          <w:rFonts w:ascii="Times New Roman" w:hAnsi="Times New Roman" w:cs="Times New Roman" w:eastAsia="Times New Roman"/>
          <w:color w:val="000000"/>
          <w:sz w:val="22"/>
        </w:rPr>
        <w:t xml:space="preserve">Gibbs, I., Candès, E.J., 2021. Adaptive conformal inference under distribution shift, in: Advances in Neural Information Processing Systems 34.</w:t>
      </w:r>
    </w:p>
    <w:bookmarkEnd w:id="122"/>
    <w:bookmarkStart w:id="124" w:name="ref-gneiting2007probabilistic"/>
    <w:p>
      <w:pPr>
        <w:pStyle w:val="Bibliography"/>
        <w:spacing w:line="276" w:lineRule="auto" w:after="80"/>
        <w:jc w:val="left"/>
      </w:pPr>
      <w:r>
        <w:rPr>
          <w:rFonts w:ascii="Times New Roman" w:hAnsi="Times New Roman" w:cs="Times New Roman" w:eastAsia="Times New Roman"/>
          <w:color w:val="000000"/>
          <w:sz w:val="22"/>
        </w:rPr>
        <w:t xml:space="preserve">Gneiting, T., Balabdaoui, F., Raftery, A.E., 2007. Probabilistic forecasts, calibration and sharpness. Journal of the Royal Statistical Society: Series B (Statistical Methodology) 69, 243–268.</w:t>
      </w:r>
      <w:r>
        <w:rPr>
          <w:rFonts w:ascii="Times New Roman" w:hAnsi="Times New Roman" w:cs="Times New Roman" w:eastAsia="Times New Roman"/>
          <w:color w:val="000000"/>
          <w:sz w:val="22"/>
        </w:rPr>
        <w:t xml:space="preserve"> </w:t>
      </w:r>
      <w:hyperlink r:id="rId123">
        <w:r>
          <w:rPr>
            <w:rStyle w:val="Hyperlink"/>
          </w:rPr>
          <w:t xml:space="preserve">https://doi.org/10.1111/j.1467-9868.2007.00587.x</w:t>
        </w:r>
      </w:hyperlink>
    </w:p>
    <w:bookmarkEnd w:id="124"/>
    <w:bookmarkStart w:id="126" w:name="ref-gneiting2007strictly"/>
    <w:p>
      <w:pPr>
        <w:pStyle w:val="Bibliography"/>
        <w:spacing w:line="276" w:lineRule="auto" w:after="80"/>
        <w:jc w:val="left"/>
      </w:pPr>
      <w:r>
        <w:rPr>
          <w:rFonts w:ascii="Times New Roman" w:hAnsi="Times New Roman" w:cs="Times New Roman" w:eastAsia="Times New Roman"/>
          <w:color w:val="000000"/>
          <w:sz w:val="22"/>
        </w:rPr>
        <w:t xml:space="preserve">Gneiting, T., Raftery, A.E., 2007. Strictly proper scoring rules, prediction, and estimation. Journal of the American Statistical Association 102, 359–378.</w:t>
      </w:r>
      <w:r>
        <w:rPr>
          <w:rFonts w:ascii="Times New Roman" w:hAnsi="Times New Roman" w:cs="Times New Roman" w:eastAsia="Times New Roman"/>
          <w:color w:val="000000"/>
          <w:sz w:val="22"/>
        </w:rPr>
        <w:t xml:space="preserve"> </w:t>
      </w:r>
      <w:hyperlink r:id="rId125">
        <w:r>
          <w:rPr>
            <w:rStyle w:val="Hyperlink"/>
          </w:rPr>
          <w:t xml:space="preserve">https://doi.org/10.1198/016214506000001437</w:t>
        </w:r>
      </w:hyperlink>
    </w:p>
    <w:bookmarkEnd w:id="126"/>
    <w:bookmarkStart w:id="128" w:name="ref-hewamalage2023forecast"/>
    <w:p>
      <w:pPr>
        <w:pStyle w:val="Bibliography"/>
        <w:spacing w:line="276" w:lineRule="auto" w:after="80"/>
        <w:jc w:val="left"/>
      </w:pPr>
      <w:r>
        <w:rPr>
          <w:rFonts w:ascii="Times New Roman" w:hAnsi="Times New Roman" w:cs="Times New Roman" w:eastAsia="Times New Roman"/>
          <w:color w:val="000000"/>
          <w:sz w:val="22"/>
        </w:rPr>
        <w:t xml:space="preserve">Hewamalage, H., Ackermann, K., Bergmeir, C., 2023. Forecast evaluation for data scientists: Common pitfalls and best practices. Data Mining and Knowledge Discovery 37, 788–832.</w:t>
      </w:r>
      <w:r>
        <w:rPr>
          <w:rFonts w:ascii="Times New Roman" w:hAnsi="Times New Roman" w:cs="Times New Roman" w:eastAsia="Times New Roman"/>
          <w:color w:val="000000"/>
          <w:sz w:val="22"/>
        </w:rPr>
        <w:t xml:space="preserve"> </w:t>
      </w:r>
      <w:hyperlink r:id="rId127">
        <w:r>
          <w:rPr>
            <w:rStyle w:val="Hyperlink"/>
          </w:rPr>
          <w:t xml:space="preserve">https://doi.org/10.1007/s10618-022-00894-5</w:t>
        </w:r>
      </w:hyperlink>
    </w:p>
    <w:bookmarkEnd w:id="128"/>
    <w:bookmarkStart w:id="129" w:name="ref-hewamalage2022global"/>
    <w:p>
      <w:pPr>
        <w:pStyle w:val="Bibliography"/>
        <w:spacing w:line="276" w:lineRule="auto" w:after="80"/>
        <w:jc w:val="left"/>
      </w:pPr>
      <w:r>
        <w:rPr>
          <w:rFonts w:ascii="Times New Roman" w:hAnsi="Times New Roman" w:cs="Times New Roman" w:eastAsia="Times New Roman"/>
          <w:color w:val="000000"/>
          <w:sz w:val="22"/>
        </w:rPr>
        <w:t xml:space="preserve">Hewamalage, H., Bergmeir, C., Bandara, K., 2022. Global models for time series forecasting: A simulation study. Pattern Recognition 124, 108441.</w:t>
      </w:r>
    </w:p>
    <w:bookmarkEnd w:id="129"/>
    <w:bookmarkStart w:id="131" w:name="ref-hirth2018entsoe"/>
    <w:p>
      <w:pPr>
        <w:pStyle w:val="Bibliography"/>
        <w:spacing w:line="276" w:lineRule="auto" w:after="80"/>
        <w:jc w:val="left"/>
      </w:pPr>
      <w:r>
        <w:rPr>
          <w:rFonts w:ascii="Times New Roman" w:hAnsi="Times New Roman" w:cs="Times New Roman" w:eastAsia="Times New Roman"/>
          <w:color w:val="000000"/>
          <w:sz w:val="22"/>
        </w:rPr>
        <w:t xml:space="preserve">Hirth, L., Mühlenpfordt, J., Bulkeley, M., 2018. The</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ENTSO-E</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transparency platform – a review of europe’s most ambitious electricity data platform. Applied Energy 225, 1054–1067.</w:t>
      </w:r>
      <w:r>
        <w:rPr>
          <w:rFonts w:ascii="Times New Roman" w:hAnsi="Times New Roman" w:cs="Times New Roman" w:eastAsia="Times New Roman"/>
          <w:color w:val="000000"/>
          <w:sz w:val="22"/>
        </w:rPr>
        <w:t xml:space="preserve"> </w:t>
      </w:r>
      <w:hyperlink r:id="rId130">
        <w:r>
          <w:rPr>
            <w:rStyle w:val="Hyperlink"/>
          </w:rPr>
          <w:t xml:space="preserve">https://doi.org/10.1016/j.apenergy.2018.04.048</w:t>
        </w:r>
      </w:hyperlink>
    </w:p>
    <w:bookmarkEnd w:id="131"/>
    <w:bookmarkStart w:id="133" w:name="ref-hong2026benchmarking"/>
    <w:p>
      <w:pPr>
        <w:pStyle w:val="Bibliography"/>
        <w:spacing w:line="276" w:lineRule="auto" w:after="80"/>
        <w:jc w:val="left"/>
      </w:pPr>
      <w:r>
        <w:rPr>
          <w:rFonts w:ascii="Times New Roman" w:hAnsi="Times New Roman" w:cs="Times New Roman" w:eastAsia="Times New Roman"/>
          <w:color w:val="000000"/>
          <w:sz w:val="22"/>
        </w:rPr>
        <w:t xml:space="preserve">Hong, S., Lee, J., Shi, Y., 2026.</w:t>
      </w:r>
      <w:r>
        <w:rPr>
          <w:rFonts w:ascii="Times New Roman" w:hAnsi="Times New Roman" w:cs="Times New Roman" w:eastAsia="Times New Roman"/>
          <w:color w:val="000000"/>
          <w:sz w:val="22"/>
        </w:rPr>
        <w:t xml:space="preserve"> </w:t>
      </w:r>
      <w:hyperlink r:id="rId132">
        <w:r>
          <w:rPr>
            <w:rStyle w:val="Hyperlink"/>
          </w:rPr>
          <w:t xml:space="preserve">Benchmarking state space models, transformers, and recurrent networks for</w:t>
        </w:r>
        <w:r>
          <w:rPr>
            <w:rStyle w:val="Hyperlink"/>
          </w:rPr>
          <w:t xml:space="preserve"> </w:t>
        </w:r>
        <w:r>
          <w:rPr>
            <w:rStyle w:val="Hyperlink"/>
          </w:rPr>
          <w:t xml:space="preserve">US</w:t>
        </w:r>
        <w:r>
          <w:rPr>
            <w:rStyle w:val="Hyperlink"/>
          </w:rPr>
          <w:t xml:space="preserve"> </w:t>
        </w:r>
        <w:r>
          <w:rPr>
            <w:rStyle w:val="Hyperlink"/>
          </w:rPr>
          <w:t xml:space="preserve">grid forecasting</w:t>
        </w:r>
      </w:hyperlink>
      <w:r>
        <w:rPr>
          <w:rFonts w:ascii="Times New Roman" w:hAnsi="Times New Roman" w:cs="Times New Roman" w:eastAsia="Times New Roman"/>
          <w:color w:val="000000"/>
          <w:sz w:val="22"/>
        </w:rPr>
        <w:t xml:space="preserve">.</w:t>
      </w:r>
    </w:p>
    <w:bookmarkEnd w:id="133"/>
    <w:bookmarkStart w:id="135" w:name="ref-hong2016probabilistic"/>
    <w:p>
      <w:pPr>
        <w:pStyle w:val="Bibliography"/>
        <w:spacing w:line="276" w:lineRule="auto" w:after="80"/>
        <w:jc w:val="left"/>
      </w:pPr>
      <w:r>
        <w:rPr>
          <w:rFonts w:ascii="Times New Roman" w:hAnsi="Times New Roman" w:cs="Times New Roman" w:eastAsia="Times New Roman"/>
          <w:color w:val="000000"/>
          <w:sz w:val="22"/>
        </w:rPr>
        <w:t xml:space="preserve">Hong, T., Fan, S., 2016. Probabilistic electric load forecasting: A tutorial review. International Journal of Forecasting 32, 914–938.</w:t>
      </w:r>
      <w:r>
        <w:rPr>
          <w:rFonts w:ascii="Times New Roman" w:hAnsi="Times New Roman" w:cs="Times New Roman" w:eastAsia="Times New Roman"/>
          <w:color w:val="000000"/>
          <w:sz w:val="22"/>
        </w:rPr>
        <w:t xml:space="preserve"> </w:t>
      </w:r>
      <w:hyperlink r:id="rId134">
        <w:r>
          <w:rPr>
            <w:rStyle w:val="Hyperlink"/>
          </w:rPr>
          <w:t xml:space="preserve">https://doi.org/10.1016/j.ijforecast.2015.11.011</w:t>
        </w:r>
      </w:hyperlink>
    </w:p>
    <w:bookmarkEnd w:id="135"/>
    <w:bookmarkStart w:id="137" w:name="ref-hong2014gefcom2012"/>
    <w:p>
      <w:pPr>
        <w:pStyle w:val="Bibliography"/>
        <w:spacing w:line="276" w:lineRule="auto" w:after="80"/>
        <w:jc w:val="left"/>
      </w:pPr>
      <w:r>
        <w:rPr>
          <w:rFonts w:ascii="Times New Roman" w:hAnsi="Times New Roman" w:cs="Times New Roman" w:eastAsia="Times New Roman"/>
          <w:color w:val="000000"/>
          <w:sz w:val="22"/>
        </w:rPr>
        <w:t xml:space="preserve">Hong, T., Pinson, P., Fan, S., 2014. Global energy forecasting competition 2012. International Journal of Forecasting 30, 357–363.</w:t>
      </w:r>
      <w:r>
        <w:rPr>
          <w:rFonts w:ascii="Times New Roman" w:hAnsi="Times New Roman" w:cs="Times New Roman" w:eastAsia="Times New Roman"/>
          <w:color w:val="000000"/>
          <w:sz w:val="22"/>
        </w:rPr>
        <w:t xml:space="preserve"> </w:t>
      </w:r>
      <w:hyperlink r:id="rId136">
        <w:r>
          <w:rPr>
            <w:rStyle w:val="Hyperlink"/>
          </w:rPr>
          <w:t xml:space="preserve">https://doi.org/10.1016/j.ijforecast.2013.07.001</w:t>
        </w:r>
      </w:hyperlink>
    </w:p>
    <w:bookmarkEnd w:id="137"/>
    <w:bookmarkStart w:id="138" w:name="ref-hong2016gefcom2014"/>
    <w:p>
      <w:pPr>
        <w:pStyle w:val="Bibliography"/>
        <w:spacing w:line="276" w:lineRule="auto" w:after="80"/>
        <w:jc w:val="left"/>
      </w:pPr>
      <w:r>
        <w:rPr>
          <w:rFonts w:ascii="Times New Roman" w:hAnsi="Times New Roman" w:cs="Times New Roman" w:eastAsia="Times New Roman"/>
          <w:color w:val="000000"/>
          <w:sz w:val="22"/>
        </w:rPr>
        <w:t xml:space="preserve">Hong, T., Pinson, P., Fan, S., Zareipour, H., Troccoli, A., Hyndman, R.J., 2016. Probabilistic energy forecasting: Global energy forecasting competition 2014 and beyond. International Journal of Forecasting 32, 896–913.</w:t>
      </w:r>
    </w:p>
    <w:bookmarkEnd w:id="138"/>
    <w:bookmarkStart w:id="140" w:name="ref-hong2020energy"/>
    <w:p>
      <w:pPr>
        <w:pStyle w:val="Bibliography"/>
        <w:spacing w:line="276" w:lineRule="auto" w:after="80"/>
        <w:jc w:val="left"/>
      </w:pPr>
      <w:r>
        <w:rPr>
          <w:rFonts w:ascii="Times New Roman" w:hAnsi="Times New Roman" w:cs="Times New Roman" w:eastAsia="Times New Roman"/>
          <w:color w:val="000000"/>
          <w:sz w:val="22"/>
        </w:rPr>
        <w:t xml:space="preserve">Hong, T., Pinson, P., Wang, Y., Weron, R., Yang, D., Zareipour, H., 2020. Energy forecasting: A review and outlook. IEEE Open Access Journal of Power and Energy 7, 376–388.</w:t>
      </w:r>
      <w:r>
        <w:rPr>
          <w:rFonts w:ascii="Times New Roman" w:hAnsi="Times New Roman" w:cs="Times New Roman" w:eastAsia="Times New Roman"/>
          <w:color w:val="000000"/>
          <w:sz w:val="22"/>
        </w:rPr>
        <w:t xml:space="preserve"> </w:t>
      </w:r>
      <w:hyperlink r:id="rId139">
        <w:r>
          <w:rPr>
            <w:rStyle w:val="Hyperlink"/>
          </w:rPr>
          <w:t xml:space="preserve">https://doi.org/10.1109/OAJPE.2020.3029979</w:t>
        </w:r>
      </w:hyperlink>
    </w:p>
    <w:bookmarkEnd w:id="140"/>
    <w:bookmarkStart w:id="142" w:name="ref-hong2019gefcom2017"/>
    <w:p>
      <w:pPr>
        <w:pStyle w:val="Bibliography"/>
        <w:spacing w:line="276" w:lineRule="auto" w:after="80"/>
        <w:jc w:val="left"/>
      </w:pPr>
      <w:r>
        <w:rPr>
          <w:rFonts w:ascii="Times New Roman" w:hAnsi="Times New Roman" w:cs="Times New Roman" w:eastAsia="Times New Roman"/>
          <w:color w:val="000000"/>
          <w:sz w:val="22"/>
        </w:rPr>
        <w:t xml:space="preserve">Hong, T., Xie, J., Black, J., 2019. Global energy forecasting competition 2017: Hierarchical probabilistic load forecasting. International Journal of Forecasting 35, 1389–1399.</w:t>
      </w:r>
      <w:r>
        <w:rPr>
          <w:rFonts w:ascii="Times New Roman" w:hAnsi="Times New Roman" w:cs="Times New Roman" w:eastAsia="Times New Roman"/>
          <w:color w:val="000000"/>
          <w:sz w:val="22"/>
        </w:rPr>
        <w:t xml:space="preserve"> </w:t>
      </w:r>
      <w:hyperlink r:id="rId141">
        <w:r>
          <w:rPr>
            <w:rStyle w:val="Hyperlink"/>
          </w:rPr>
          <w:t xml:space="preserve">https://doi.org/10.1016/j.ijforecast.2019.02.006</w:t>
        </w:r>
      </w:hyperlink>
    </w:p>
    <w:bookmarkEnd w:id="142"/>
    <w:bookmarkStart w:id="144" w:name="ref-hyndman2006another"/>
    <w:p>
      <w:pPr>
        <w:pStyle w:val="Bibliography"/>
        <w:spacing w:line="276" w:lineRule="auto" w:after="80"/>
        <w:jc w:val="left"/>
      </w:pPr>
      <w:r>
        <w:rPr>
          <w:rFonts w:ascii="Times New Roman" w:hAnsi="Times New Roman" w:cs="Times New Roman" w:eastAsia="Times New Roman"/>
          <w:color w:val="000000"/>
          <w:sz w:val="22"/>
        </w:rPr>
        <w:t xml:space="preserve">Hyndman, R.J., Koehler, A.B., 2006. Another look at measures of forecast accuracy. International Journal of Forecasting 22, 679–688.</w:t>
      </w:r>
      <w:r>
        <w:rPr>
          <w:rFonts w:ascii="Times New Roman" w:hAnsi="Times New Roman" w:cs="Times New Roman" w:eastAsia="Times New Roman"/>
          <w:color w:val="000000"/>
          <w:sz w:val="22"/>
        </w:rPr>
        <w:t xml:space="preserve"> </w:t>
      </w:r>
      <w:hyperlink r:id="rId143">
        <w:r>
          <w:rPr>
            <w:rStyle w:val="Hyperlink"/>
          </w:rPr>
          <w:t xml:space="preserve">https://doi.org/10.1016/j.ijforecast.2006.03.001</w:t>
        </w:r>
      </w:hyperlink>
    </w:p>
    <w:bookmarkEnd w:id="144"/>
    <w:bookmarkStart w:id="145" w:name="ref-ke2017lightgbm"/>
    <w:p>
      <w:pPr>
        <w:pStyle w:val="Bibliography"/>
        <w:spacing w:line="276" w:lineRule="auto" w:after="80"/>
        <w:jc w:val="left"/>
      </w:pPr>
      <w:r>
        <w:rPr>
          <w:rFonts w:ascii="Times New Roman" w:hAnsi="Times New Roman" w:cs="Times New Roman" w:eastAsia="Times New Roman"/>
          <w:color w:val="000000"/>
          <w:sz w:val="22"/>
        </w:rPr>
        <w:t xml:space="preserve">Ke, G., Meng, Q., Finley, T., Wang, T., Chen, W., Ma, W., Ye, Q., Liu, T.-Y., 2017.</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LightGBM</w:t>
      </w:r>
      <w:r>
        <w:rPr>
          <w:rFonts w:ascii="Times New Roman" w:hAnsi="Times New Roman" w:cs="Times New Roman" w:eastAsia="Times New Roman"/>
          <w:color w:val="000000"/>
          <w:sz w:val="22"/>
        </w:rPr>
        <w:t xml:space="preserve">: A highly efficient gradient boosting decision tree, in: Advances in Neural Information Processing Systems 30.</w:t>
      </w:r>
    </w:p>
    <w:bookmarkEnd w:id="145"/>
    <w:bookmarkStart w:id="147" w:name="ref-koenker1978regression"/>
    <w:p>
      <w:pPr>
        <w:pStyle w:val="Bibliography"/>
        <w:spacing w:line="276" w:lineRule="auto" w:after="80"/>
        <w:jc w:val="left"/>
      </w:pPr>
      <w:r>
        <w:rPr>
          <w:rFonts w:ascii="Times New Roman" w:hAnsi="Times New Roman" w:cs="Times New Roman" w:eastAsia="Times New Roman"/>
          <w:color w:val="000000"/>
          <w:sz w:val="22"/>
        </w:rPr>
        <w:t xml:space="preserve">Koenker, R., Bassett, G., Jr., 1978. Regression quantiles. Econometrica 46, 33–50.</w:t>
      </w:r>
      <w:r>
        <w:rPr>
          <w:rFonts w:ascii="Times New Roman" w:hAnsi="Times New Roman" w:cs="Times New Roman" w:eastAsia="Times New Roman"/>
          <w:color w:val="000000"/>
          <w:sz w:val="22"/>
        </w:rPr>
        <w:t xml:space="preserve"> </w:t>
      </w:r>
      <w:hyperlink r:id="rId146">
        <w:r>
          <w:rPr>
            <w:rStyle w:val="Hyperlink"/>
          </w:rPr>
          <w:t xml:space="preserve">https://doi.org/10.2307/1913643</w:t>
        </w:r>
      </w:hyperlink>
    </w:p>
    <w:bookmarkEnd w:id="147"/>
    <w:bookmarkStart w:id="149" w:name="ref-kunsch1989jackknife"/>
    <w:p>
      <w:pPr>
        <w:pStyle w:val="Bibliography"/>
        <w:spacing w:line="276" w:lineRule="auto" w:after="80"/>
        <w:jc w:val="left"/>
      </w:pPr>
      <w:r>
        <w:rPr>
          <w:rFonts w:ascii="Times New Roman" w:hAnsi="Times New Roman" w:cs="Times New Roman" w:eastAsia="Times New Roman"/>
          <w:color w:val="000000"/>
          <w:sz w:val="22"/>
        </w:rPr>
        <w:t xml:space="preserve">Künsch, H.R., 1989. The jackknife and the bootstrap for general stationary observations. The Annals of Statistics 17, 1217–1241.</w:t>
      </w:r>
      <w:r>
        <w:rPr>
          <w:rFonts w:ascii="Times New Roman" w:hAnsi="Times New Roman" w:cs="Times New Roman" w:eastAsia="Times New Roman"/>
          <w:color w:val="000000"/>
          <w:sz w:val="22"/>
        </w:rPr>
        <w:t xml:space="preserve"> </w:t>
      </w:r>
      <w:hyperlink r:id="rId148">
        <w:r>
          <w:rPr>
            <w:rStyle w:val="Hyperlink"/>
          </w:rPr>
          <w:t xml:space="preserve">https://doi.org/10.1214/aos/1176347265</w:t>
        </w:r>
      </w:hyperlink>
    </w:p>
    <w:bookmarkEnd w:id="149"/>
    <w:bookmarkStart w:id="151" w:name="ref-lago2021forecasting"/>
    <w:p>
      <w:pPr>
        <w:pStyle w:val="Bibliography"/>
        <w:spacing w:line="276" w:lineRule="auto" w:after="80"/>
        <w:jc w:val="left"/>
      </w:pPr>
      <w:r>
        <w:rPr>
          <w:rFonts w:ascii="Times New Roman" w:hAnsi="Times New Roman" w:cs="Times New Roman" w:eastAsia="Times New Roman"/>
          <w:color w:val="000000"/>
          <w:sz w:val="22"/>
        </w:rPr>
        <w:t xml:space="preserve">Lago, J., Marcjasz, G., De Schutter, B., Weron, R., 2021. Forecasting day-ahead electricity prices: A review of state-of-the-art algorithms, best practices and an open-access benchmark. Applied Energy 293, 116983.</w:t>
      </w:r>
      <w:r>
        <w:rPr>
          <w:rFonts w:ascii="Times New Roman" w:hAnsi="Times New Roman" w:cs="Times New Roman" w:eastAsia="Times New Roman"/>
          <w:color w:val="000000"/>
          <w:sz w:val="22"/>
        </w:rPr>
        <w:t xml:space="preserve"> </w:t>
      </w:r>
      <w:hyperlink r:id="rId150">
        <w:r>
          <w:rPr>
            <w:rStyle w:val="Hyperlink"/>
          </w:rPr>
          <w:t xml:space="preserve">https://doi.org/10.1016/j.apenergy.2021.116983</w:t>
        </w:r>
      </w:hyperlink>
    </w:p>
    <w:bookmarkEnd w:id="151"/>
    <w:bookmarkStart w:id="153" w:name="ref-lei2018distribution"/>
    <w:p>
      <w:pPr>
        <w:pStyle w:val="Bibliography"/>
        <w:spacing w:line="276" w:lineRule="auto" w:after="80"/>
        <w:jc w:val="left"/>
      </w:pPr>
      <w:r>
        <w:rPr>
          <w:rFonts w:ascii="Times New Roman" w:hAnsi="Times New Roman" w:cs="Times New Roman" w:eastAsia="Times New Roman"/>
          <w:color w:val="000000"/>
          <w:sz w:val="22"/>
        </w:rPr>
        <w:t xml:space="preserve">Lei, J., G’Sell, M., Rinaldo, A., Tibshirani, R.J., Wasserman, L., 2018. Distribution-free predictive inference for regression. Journal of the American Statistical Association 113, 1094–1111.</w:t>
      </w:r>
      <w:r>
        <w:rPr>
          <w:rFonts w:ascii="Times New Roman" w:hAnsi="Times New Roman" w:cs="Times New Roman" w:eastAsia="Times New Roman"/>
          <w:color w:val="000000"/>
          <w:sz w:val="22"/>
        </w:rPr>
        <w:t xml:space="preserve"> </w:t>
      </w:r>
      <w:hyperlink r:id="rId152">
        <w:r>
          <w:rPr>
            <w:rStyle w:val="Hyperlink"/>
          </w:rPr>
          <w:t xml:space="preserve">https://doi.org/10.1080/01621459.2017.1307116</w:t>
        </w:r>
      </w:hyperlink>
    </w:p>
    <w:bookmarkEnd w:id="153"/>
    <w:bookmarkStart w:id="155" w:name="ref-ling2025comparative"/>
    <w:p>
      <w:pPr>
        <w:pStyle w:val="Bibliography"/>
        <w:spacing w:line="276" w:lineRule="auto" w:after="80"/>
        <w:jc w:val="left"/>
      </w:pPr>
      <w:r>
        <w:rPr>
          <w:rFonts w:ascii="Times New Roman" w:hAnsi="Times New Roman" w:cs="Times New Roman" w:eastAsia="Times New Roman"/>
          <w:color w:val="000000"/>
          <w:sz w:val="22"/>
        </w:rPr>
        <w:t xml:space="preserve">Ling, J., Wu, W.B., 2025.</w:t>
      </w:r>
      <w:r>
        <w:rPr>
          <w:rFonts w:ascii="Times New Roman" w:hAnsi="Times New Roman" w:cs="Times New Roman" w:eastAsia="Times New Roman"/>
          <w:color w:val="000000"/>
          <w:sz w:val="22"/>
        </w:rPr>
        <w:t xml:space="preserve"> </w:t>
      </w:r>
      <w:hyperlink r:id="rId154">
        <w:r>
          <w:rPr>
            <w:rStyle w:val="Hyperlink"/>
          </w:rPr>
          <w:t xml:space="preserve">Comparative analysis of global and local probabilistic time series forecasting for contiguous spatial demand regions</w:t>
        </w:r>
      </w:hyperlink>
      <w:r>
        <w:rPr>
          <w:rFonts w:ascii="Times New Roman" w:hAnsi="Times New Roman" w:cs="Times New Roman" w:eastAsia="Times New Roman"/>
          <w:color w:val="000000"/>
          <w:sz w:val="22"/>
        </w:rPr>
        <w:t xml:space="preserve">.</w:t>
      </w:r>
    </w:p>
    <w:bookmarkEnd w:id="155"/>
    <w:bookmarkStart w:id="157" w:name="ref-makridakis2022m5"/>
    <w:p>
      <w:pPr>
        <w:pStyle w:val="Bibliography"/>
        <w:spacing w:line="276" w:lineRule="auto" w:after="80"/>
        <w:jc w:val="left"/>
      </w:pPr>
      <w:r>
        <w:rPr>
          <w:rFonts w:ascii="Times New Roman" w:hAnsi="Times New Roman" w:cs="Times New Roman" w:eastAsia="Times New Roman"/>
          <w:color w:val="000000"/>
          <w:sz w:val="22"/>
        </w:rPr>
        <w:t xml:space="preserve">Makridakis, S., Spiliotis, E., Assimakopoulos, V., 2022.</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M5</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accuracy competition: Results, findings, and conclusions. International Journal of Forecasting 38, 1346–1364.</w:t>
      </w:r>
      <w:r>
        <w:rPr>
          <w:rFonts w:ascii="Times New Roman" w:hAnsi="Times New Roman" w:cs="Times New Roman" w:eastAsia="Times New Roman"/>
          <w:color w:val="000000"/>
          <w:sz w:val="22"/>
        </w:rPr>
        <w:t xml:space="preserve"> </w:t>
      </w:r>
      <w:hyperlink r:id="rId156">
        <w:r>
          <w:rPr>
            <w:rStyle w:val="Hyperlink"/>
          </w:rPr>
          <w:t xml:space="preserve">https://doi.org/10.1016/j.ijforecast.2021.11.013</w:t>
        </w:r>
      </w:hyperlink>
    </w:p>
    <w:bookmarkEnd w:id="157"/>
    <w:bookmarkStart w:id="159" w:name="ref-matulin2023cqr"/>
    <w:p>
      <w:pPr>
        <w:pStyle w:val="Bibliography"/>
        <w:spacing w:line="276" w:lineRule="auto" w:after="80"/>
        <w:jc w:val="left"/>
      </w:pPr>
      <w:r>
        <w:rPr>
          <w:rFonts w:ascii="Times New Roman" w:hAnsi="Times New Roman" w:cs="Times New Roman" w:eastAsia="Times New Roman"/>
          <w:color w:val="000000"/>
          <w:sz w:val="22"/>
        </w:rPr>
        <w:t xml:space="preserve">Matulin, L., Capuder, T., Plavšić, T., 2023.</w:t>
      </w:r>
      <w:r>
        <w:rPr>
          <w:rFonts w:ascii="Times New Roman" w:hAnsi="Times New Roman" w:cs="Times New Roman" w:eastAsia="Times New Roman"/>
          <w:color w:val="000000"/>
          <w:sz w:val="22"/>
        </w:rPr>
        <w:t xml:space="preserve"> </w:t>
      </w:r>
      <w:hyperlink r:id="rId158">
        <w:r>
          <w:rPr>
            <w:rStyle w:val="Hyperlink"/>
          </w:rPr>
          <w:t xml:space="preserve">Short-term probabilistic load forecasting based on conformalized quantile regression</w:t>
        </w:r>
      </w:hyperlink>
      <w:r>
        <w:rPr>
          <w:rFonts w:ascii="Times New Roman" w:hAnsi="Times New Roman" w:cs="Times New Roman" w:eastAsia="Times New Roman"/>
          <w:color w:val="000000"/>
          <w:sz w:val="22"/>
        </w:rPr>
        <w:t xml:space="preserve">, in: Energy Proceedings.</w:t>
      </w:r>
    </w:p>
    <w:bookmarkEnd w:id="159"/>
    <w:bookmarkStart w:id="161" w:name="ref-meyer2025benchmarking"/>
    <w:p>
      <w:pPr>
        <w:pStyle w:val="Bibliography"/>
        <w:spacing w:line="276" w:lineRule="auto" w:after="80"/>
        <w:jc w:val="left"/>
      </w:pPr>
      <w:r>
        <w:rPr>
          <w:rFonts w:ascii="Times New Roman" w:hAnsi="Times New Roman" w:cs="Times New Roman" w:eastAsia="Times New Roman"/>
          <w:color w:val="000000"/>
          <w:sz w:val="22"/>
        </w:rPr>
        <w:t xml:space="preserve">Meyer, M., Zapata Gonzalez, D., Kaltenpoth, S., Müller, O., 2025. Benchmarking time series foundation models for short-term household electricity load forecasting. IEEE Access 13, 218141–218153.</w:t>
      </w:r>
      <w:r>
        <w:rPr>
          <w:rFonts w:ascii="Times New Roman" w:hAnsi="Times New Roman" w:cs="Times New Roman" w:eastAsia="Times New Roman"/>
          <w:color w:val="000000"/>
          <w:sz w:val="22"/>
        </w:rPr>
        <w:t xml:space="preserve"> </w:t>
      </w:r>
      <w:hyperlink r:id="rId160">
        <w:r>
          <w:rPr>
            <w:rStyle w:val="Hyperlink"/>
          </w:rPr>
          <w:t xml:space="preserve">https://doi.org/10.1109/ACCESS.2025.3648056</w:t>
        </w:r>
      </w:hyperlink>
    </w:p>
    <w:bookmarkEnd w:id="161"/>
    <w:bookmarkStart w:id="163" w:name="ref-montero2021principles"/>
    <w:p>
      <w:pPr>
        <w:pStyle w:val="Bibliography"/>
        <w:spacing w:line="276" w:lineRule="auto" w:after="80"/>
        <w:jc w:val="left"/>
      </w:pPr>
      <w:r>
        <w:rPr>
          <w:rFonts w:ascii="Times New Roman" w:hAnsi="Times New Roman" w:cs="Times New Roman" w:eastAsia="Times New Roman"/>
          <w:color w:val="000000"/>
          <w:sz w:val="22"/>
        </w:rPr>
        <w:t xml:space="preserve">Montero-Manso, P., Hyndman, R.J., 2021. Principles and algorithms for forecasting groups of time series: Locality and globality. International Journal of Forecasting 37, 1632–1653.</w:t>
      </w:r>
      <w:r>
        <w:rPr>
          <w:rFonts w:ascii="Times New Roman" w:hAnsi="Times New Roman" w:cs="Times New Roman" w:eastAsia="Times New Roman"/>
          <w:color w:val="000000"/>
          <w:sz w:val="22"/>
        </w:rPr>
        <w:t xml:space="preserve"> </w:t>
      </w:r>
      <w:hyperlink r:id="rId162">
        <w:r>
          <w:rPr>
            <w:rStyle w:val="Hyperlink"/>
          </w:rPr>
          <w:t xml:space="preserve">https://doi.org/10.1016/j.ijforecast.2021.03.004</w:t>
        </w:r>
      </w:hyperlink>
    </w:p>
    <w:bookmarkEnd w:id="163"/>
    <w:bookmarkStart w:id="165" w:name="ref-obst2021adaptive"/>
    <w:p>
      <w:pPr>
        <w:pStyle w:val="Bibliography"/>
        <w:spacing w:line="276" w:lineRule="auto" w:after="80"/>
        <w:jc w:val="left"/>
      </w:pPr>
      <w:r>
        <w:rPr>
          <w:rFonts w:ascii="Times New Roman" w:hAnsi="Times New Roman" w:cs="Times New Roman" w:eastAsia="Times New Roman"/>
          <w:color w:val="000000"/>
          <w:sz w:val="22"/>
        </w:rPr>
        <w:t xml:space="preserve">Obst, D., Vilmarest, J. de, Goude, Y., 2021.</w:t>
      </w:r>
      <w:r>
        <w:rPr>
          <w:rFonts w:ascii="Times New Roman" w:hAnsi="Times New Roman" w:cs="Times New Roman" w:eastAsia="Times New Roman"/>
          <w:color w:val="000000"/>
          <w:sz w:val="22"/>
        </w:rPr>
        <w:t xml:space="preserve"> </w:t>
      </w:r>
      <w:hyperlink r:id="rId164">
        <w:r>
          <w:rPr>
            <w:rStyle w:val="Hyperlink"/>
          </w:rPr>
          <w:t xml:space="preserve">Adaptive methods for short-term electricity load forecasting during</w:t>
        </w:r>
        <w:r>
          <w:rPr>
            <w:rStyle w:val="Hyperlink"/>
          </w:rPr>
          <w:t xml:space="preserve"> </w:t>
        </w:r>
        <w:r>
          <w:rPr>
            <w:rStyle w:val="Hyperlink"/>
          </w:rPr>
          <w:t xml:space="preserve">COVID-19</w:t>
        </w:r>
        <w:r>
          <w:rPr>
            <w:rStyle w:val="Hyperlink"/>
          </w:rPr>
          <w:t xml:space="preserve"> </w:t>
        </w:r>
        <w:r>
          <w:rPr>
            <w:rStyle w:val="Hyperlink"/>
          </w:rPr>
          <w:t xml:space="preserve">lockdown in</w:t>
        </w:r>
        <w:r>
          <w:rPr>
            <w:rStyle w:val="Hyperlink"/>
          </w:rPr>
          <w:t xml:space="preserve"> </w:t>
        </w:r>
        <w:r>
          <w:rPr>
            <w:rStyle w:val="Hyperlink"/>
          </w:rPr>
          <w:t xml:space="preserve">France</w:t>
        </w:r>
      </w:hyperlink>
      <w:r>
        <w:rPr>
          <w:rFonts w:ascii="Times New Roman" w:hAnsi="Times New Roman" w:cs="Times New Roman" w:eastAsia="Times New Roman"/>
          <w:color w:val="000000"/>
          <w:sz w:val="22"/>
        </w:rPr>
        <w:t xml:space="preserve">.</w:t>
      </w:r>
    </w:p>
    <w:bookmarkEnd w:id="165"/>
    <w:bookmarkStart w:id="167" w:name="ref-oreshkin2020nbeats"/>
    <w:p>
      <w:pPr>
        <w:pStyle w:val="Bibliography"/>
        <w:spacing w:line="276" w:lineRule="auto" w:after="80"/>
        <w:jc w:val="left"/>
      </w:pPr>
      <w:r>
        <w:rPr>
          <w:rFonts w:ascii="Times New Roman" w:hAnsi="Times New Roman" w:cs="Times New Roman" w:eastAsia="Times New Roman"/>
          <w:color w:val="000000"/>
          <w:sz w:val="22"/>
        </w:rPr>
        <w:t xml:space="preserve">Oreshkin, B.N., Carpov, D., Chapados, N., Bengio, Y., 2020.</w:t>
      </w:r>
      <w:r>
        <w:rPr>
          <w:rFonts w:ascii="Times New Roman" w:hAnsi="Times New Roman" w:cs="Times New Roman" w:eastAsia="Times New Roman"/>
          <w:color w:val="000000"/>
          <w:sz w:val="22"/>
        </w:rPr>
        <w:t xml:space="preserve"> </w:t>
      </w:r>
      <w:hyperlink r:id="rId166">
        <w:r>
          <w:rPr>
            <w:rStyle w:val="Hyperlink"/>
          </w:rPr>
          <w:t xml:space="preserve">N-BEATS</w:t>
        </w:r>
        <w:r>
          <w:rPr>
            <w:rStyle w:val="Hyperlink"/>
          </w:rPr>
          <w:t xml:space="preserve">: Neural basis expansion analysis for interpretable time series forecasting</w:t>
        </w:r>
      </w:hyperlink>
      <w:r>
        <w:rPr>
          <w:rFonts w:ascii="Times New Roman" w:hAnsi="Times New Roman" w:cs="Times New Roman" w:eastAsia="Times New Roman"/>
          <w:color w:val="000000"/>
          <w:sz w:val="22"/>
        </w:rPr>
        <w:t xml:space="preserve">, in: International Conference on Learning Representations (ICLR).</w:t>
      </w:r>
    </w:p>
    <w:bookmarkEnd w:id="167"/>
    <w:bookmarkStart w:id="169" w:name="ref-politis1994stationary"/>
    <w:p>
      <w:pPr>
        <w:pStyle w:val="Bibliography"/>
        <w:spacing w:line="276" w:lineRule="auto" w:after="80"/>
        <w:jc w:val="left"/>
      </w:pPr>
      <w:r>
        <w:rPr>
          <w:rFonts w:ascii="Times New Roman" w:hAnsi="Times New Roman" w:cs="Times New Roman" w:eastAsia="Times New Roman"/>
          <w:color w:val="000000"/>
          <w:sz w:val="22"/>
        </w:rPr>
        <w:t xml:space="preserve">Politis, D.N., Romano, J.P., 1994. The stationary bootstrap. Journal of the American Statistical Association 89, 1303–1313.</w:t>
      </w:r>
      <w:r>
        <w:rPr>
          <w:rFonts w:ascii="Times New Roman" w:hAnsi="Times New Roman" w:cs="Times New Roman" w:eastAsia="Times New Roman"/>
          <w:color w:val="000000"/>
          <w:sz w:val="22"/>
        </w:rPr>
        <w:t xml:space="preserve"> </w:t>
      </w:r>
      <w:hyperlink r:id="rId168">
        <w:r>
          <w:rPr>
            <w:rStyle w:val="Hyperlink"/>
          </w:rPr>
          <w:t xml:space="preserve">https://doi.org/10.1080/01621459.1994.10476870</w:t>
        </w:r>
      </w:hyperlink>
    </w:p>
    <w:bookmarkEnd w:id="169"/>
    <w:bookmarkStart w:id="171" w:name="ref-rasul2023lagllama"/>
    <w:p>
      <w:pPr>
        <w:pStyle w:val="Bibliography"/>
        <w:spacing w:line="276" w:lineRule="auto" w:after="80"/>
        <w:jc w:val="left"/>
      </w:pPr>
      <w:r>
        <w:rPr>
          <w:rFonts w:ascii="Times New Roman" w:hAnsi="Times New Roman" w:cs="Times New Roman" w:eastAsia="Times New Roman"/>
          <w:color w:val="000000"/>
          <w:sz w:val="22"/>
        </w:rPr>
        <w:t xml:space="preserve">Rasul, K., Ashok, A., Williams, A.R., others, 2023.</w:t>
      </w:r>
      <w:r>
        <w:rPr>
          <w:rFonts w:ascii="Times New Roman" w:hAnsi="Times New Roman" w:cs="Times New Roman" w:eastAsia="Times New Roman"/>
          <w:color w:val="000000"/>
          <w:sz w:val="22"/>
        </w:rPr>
        <w:t xml:space="preserve"> </w:t>
      </w:r>
      <w:hyperlink r:id="rId170">
        <w:r>
          <w:rPr>
            <w:rStyle w:val="Hyperlink"/>
          </w:rPr>
          <w:t xml:space="preserve">Lag-llama: Towards foundation models for probabilistic time series forecasting</w:t>
        </w:r>
      </w:hyperlink>
      <w:r>
        <w:rPr>
          <w:rFonts w:ascii="Times New Roman" w:hAnsi="Times New Roman" w:cs="Times New Roman" w:eastAsia="Times New Roman"/>
          <w:color w:val="000000"/>
          <w:sz w:val="22"/>
        </w:rPr>
        <w:t xml:space="preserve">.</w:t>
      </w:r>
    </w:p>
    <w:bookmarkEnd w:id="171"/>
    <w:bookmarkStart w:id="172" w:name="ref-ribeiro2018transfer"/>
    <w:p>
      <w:pPr>
        <w:pStyle w:val="Bibliography"/>
        <w:spacing w:line="276" w:lineRule="auto" w:after="80"/>
        <w:jc w:val="left"/>
      </w:pPr>
      <w:r>
        <w:rPr>
          <w:rFonts w:ascii="Times New Roman" w:hAnsi="Times New Roman" w:cs="Times New Roman" w:eastAsia="Times New Roman"/>
          <w:color w:val="000000"/>
          <w:sz w:val="22"/>
        </w:rPr>
        <w:t xml:space="preserve">Ribeiro, M., Grolinger, K., ElYamany, H.F., Higashino, W.A., Capretz, M.A.M., 2018. Transfer learning with seasonal and trend adjustment for cross-building energy forecasting. Energy and Buildings 165, 352–363.</w:t>
      </w:r>
    </w:p>
    <w:bookmarkEnd w:id="172"/>
    <w:bookmarkStart w:id="174" w:name="ref-roberts2017cross"/>
    <w:p>
      <w:pPr>
        <w:pStyle w:val="Bibliography"/>
        <w:spacing w:line="276" w:lineRule="auto" w:after="80"/>
        <w:jc w:val="left"/>
      </w:pPr>
      <w:r>
        <w:rPr>
          <w:rFonts w:ascii="Times New Roman" w:hAnsi="Times New Roman" w:cs="Times New Roman" w:eastAsia="Times New Roman"/>
          <w:color w:val="000000"/>
          <w:sz w:val="22"/>
        </w:rPr>
        <w:t xml:space="preserve">Roberts, D.R., others, 2017. Cross-validation strategies for data with temporal, spatial, hierarchical, or phylogenetic structure. Ecography 40, 913–929.</w:t>
      </w:r>
      <w:r>
        <w:rPr>
          <w:rFonts w:ascii="Times New Roman" w:hAnsi="Times New Roman" w:cs="Times New Roman" w:eastAsia="Times New Roman"/>
          <w:color w:val="000000"/>
          <w:sz w:val="22"/>
        </w:rPr>
        <w:t xml:space="preserve"> </w:t>
      </w:r>
      <w:hyperlink r:id="rId173">
        <w:r>
          <w:rPr>
            <w:rStyle w:val="Hyperlink"/>
          </w:rPr>
          <w:t xml:space="preserve">https://doi.org/10.1111/ecog.02881</w:t>
        </w:r>
      </w:hyperlink>
    </w:p>
    <w:bookmarkEnd w:id="174"/>
    <w:bookmarkStart w:id="175" w:name="ref-romano2019conformalized"/>
    <w:p>
      <w:pPr>
        <w:pStyle w:val="Bibliography"/>
        <w:spacing w:line="276" w:lineRule="auto" w:after="80"/>
        <w:jc w:val="left"/>
      </w:pPr>
      <w:r>
        <w:rPr>
          <w:rFonts w:ascii="Times New Roman" w:hAnsi="Times New Roman" w:cs="Times New Roman" w:eastAsia="Times New Roman"/>
          <w:color w:val="000000"/>
          <w:sz w:val="22"/>
        </w:rPr>
        <w:t xml:space="preserve">Romano, Y., Patterson, E., Candès, E.J., 2019. Conformalized quantile regression, in: Advances in Neural Information Processing Systems 32. pp. 3543–3553.</w:t>
      </w:r>
    </w:p>
    <w:bookmarkEnd w:id="175"/>
    <w:bookmarkStart w:id="177" w:name="ref-ruggles2020developing"/>
    <w:p>
      <w:pPr>
        <w:pStyle w:val="Bibliography"/>
        <w:spacing w:line="276" w:lineRule="auto" w:after="80"/>
        <w:jc w:val="left"/>
      </w:pPr>
      <w:r>
        <w:rPr>
          <w:rFonts w:ascii="Times New Roman" w:hAnsi="Times New Roman" w:cs="Times New Roman" w:eastAsia="Times New Roman"/>
          <w:color w:val="000000"/>
          <w:sz w:val="22"/>
        </w:rPr>
        <w:t xml:space="preserve">Ruggles, T.H., Farnham, D.J., Tong, D., Caldeira, K., 2020. Developing reliable hourly electricity demand data through screening and imputation. Scientific Data.</w:t>
      </w:r>
      <w:r>
        <w:rPr>
          <w:rFonts w:ascii="Times New Roman" w:hAnsi="Times New Roman" w:cs="Times New Roman" w:eastAsia="Times New Roman"/>
          <w:color w:val="000000"/>
          <w:sz w:val="22"/>
        </w:rPr>
        <w:t xml:space="preserve"> </w:t>
      </w:r>
      <w:hyperlink r:id="rId176">
        <w:r>
          <w:rPr>
            <w:rStyle w:val="Hyperlink"/>
          </w:rPr>
          <w:t xml:space="preserve">https://doi.org/10.1038/s41597-020-0483-x</w:t>
        </w:r>
      </w:hyperlink>
    </w:p>
    <w:bookmarkEnd w:id="177"/>
    <w:bookmarkStart w:id="179" w:name="ref-salinas2020deepar"/>
    <w:p>
      <w:pPr>
        <w:pStyle w:val="Bibliography"/>
        <w:spacing w:line="276" w:lineRule="auto" w:after="80"/>
        <w:jc w:val="left"/>
      </w:pPr>
      <w:r>
        <w:rPr>
          <w:rFonts w:ascii="Times New Roman" w:hAnsi="Times New Roman" w:cs="Times New Roman" w:eastAsia="Times New Roman"/>
          <w:color w:val="000000"/>
          <w:sz w:val="22"/>
        </w:rPr>
        <w:t xml:space="preserve">Salinas, D., Flunkert, V., Gasthaus, J., Januschowski, T., 2020.</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DeepAR</w:t>
      </w:r>
      <w:r>
        <w:rPr>
          <w:rFonts w:ascii="Times New Roman" w:hAnsi="Times New Roman" w:cs="Times New Roman" w:eastAsia="Times New Roman"/>
          <w:color w:val="000000"/>
          <w:sz w:val="22"/>
        </w:rPr>
        <w:t xml:space="preserve">: Probabilistic forecasting with autoregressive recurrent networks. International Journal of Forecasting 36, 1181–1191.</w:t>
      </w:r>
      <w:r>
        <w:rPr>
          <w:rFonts w:ascii="Times New Roman" w:hAnsi="Times New Roman" w:cs="Times New Roman" w:eastAsia="Times New Roman"/>
          <w:color w:val="000000"/>
          <w:sz w:val="22"/>
        </w:rPr>
        <w:t xml:space="preserve"> </w:t>
      </w:r>
      <w:hyperlink r:id="rId178">
        <w:r>
          <w:rPr>
            <w:rStyle w:val="Hyperlink"/>
          </w:rPr>
          <w:t xml:space="preserve">https://doi.org/10.1016/j.ijforecast.2019.07.001</w:t>
        </w:r>
      </w:hyperlink>
    </w:p>
    <w:bookmarkEnd w:id="179"/>
    <w:bookmarkStart w:id="181" w:name="ref-simeone2026tsfm"/>
    <w:p>
      <w:pPr>
        <w:pStyle w:val="Bibliography"/>
        <w:spacing w:line="276" w:lineRule="auto" w:after="80"/>
        <w:jc w:val="left"/>
      </w:pPr>
      <w:r>
        <w:rPr>
          <w:rFonts w:ascii="Times New Roman" w:hAnsi="Times New Roman" w:cs="Times New Roman" w:eastAsia="Times New Roman"/>
          <w:color w:val="000000"/>
          <w:sz w:val="22"/>
        </w:rPr>
        <w:t xml:space="preserve">Simeone, L., 2026.</w:t>
      </w:r>
      <w:r>
        <w:rPr>
          <w:rFonts w:ascii="Times New Roman" w:hAnsi="Times New Roman" w:cs="Times New Roman" w:eastAsia="Times New Roman"/>
          <w:color w:val="000000"/>
          <w:sz w:val="22"/>
        </w:rPr>
        <w:t xml:space="preserve"> </w:t>
      </w:r>
      <w:hyperlink r:id="rId180">
        <w:r>
          <w:rPr>
            <w:rStyle w:val="Hyperlink"/>
          </w:rPr>
          <w:t xml:space="preserve">Time series foundation models for energy load forecasting on consumer hardware: A multi-dimensional zero-shot benchmark</w:t>
        </w:r>
      </w:hyperlink>
      <w:r>
        <w:rPr>
          <w:rFonts w:ascii="Times New Roman" w:hAnsi="Times New Roman" w:cs="Times New Roman" w:eastAsia="Times New Roman"/>
          <w:color w:val="000000"/>
          <w:sz w:val="22"/>
        </w:rPr>
        <w:t xml:space="preserve">.</w:t>
      </w:r>
    </w:p>
    <w:bookmarkEnd w:id="181"/>
    <w:bookmarkStart w:id="183" w:name="ref-stratigakos2024resilient"/>
    <w:p>
      <w:pPr>
        <w:pStyle w:val="Bibliography"/>
        <w:spacing w:line="276" w:lineRule="auto" w:after="80"/>
        <w:jc w:val="left"/>
      </w:pPr>
      <w:r>
        <w:rPr>
          <w:rFonts w:ascii="Times New Roman" w:hAnsi="Times New Roman" w:cs="Times New Roman" w:eastAsia="Times New Roman"/>
          <w:color w:val="000000"/>
          <w:sz w:val="22"/>
        </w:rPr>
        <w:t xml:space="preserve">Stratigakos, A., Andrianesis, P., Michiorri, A., Kariniotakis, G., 2024. Towards resilient energy forecasting: A robust optimization approach. IEEE Transactions on Smart Grid 15, 874–885.</w:t>
      </w:r>
      <w:r>
        <w:rPr>
          <w:rFonts w:ascii="Times New Roman" w:hAnsi="Times New Roman" w:cs="Times New Roman" w:eastAsia="Times New Roman"/>
          <w:color w:val="000000"/>
          <w:sz w:val="22"/>
        </w:rPr>
        <w:t xml:space="preserve"> </w:t>
      </w:r>
      <w:hyperlink r:id="rId182">
        <w:r>
          <w:rPr>
            <w:rStyle w:val="Hyperlink"/>
          </w:rPr>
          <w:t xml:space="preserve">https://doi.org/10.1109/TSG.2023.3272379</w:t>
        </w:r>
      </w:hyperlink>
    </w:p>
    <w:bookmarkEnd w:id="183"/>
    <w:bookmarkStart w:id="184" w:name="ref-tashman2000out"/>
    <w:p>
      <w:pPr>
        <w:pStyle w:val="Bibliography"/>
        <w:spacing w:line="276" w:lineRule="auto" w:after="80"/>
        <w:jc w:val="left"/>
      </w:pPr>
      <w:r>
        <w:rPr>
          <w:rFonts w:ascii="Times New Roman" w:hAnsi="Times New Roman" w:cs="Times New Roman" w:eastAsia="Times New Roman"/>
          <w:color w:val="000000"/>
          <w:sz w:val="22"/>
        </w:rPr>
        <w:t xml:space="preserve">Tashman, L.J., 2000. Out-of-sample tests of forecasting accuracy: An analysis and review. International Journal of Forecasting 16, 437–450.</w:t>
      </w:r>
    </w:p>
    <w:bookmarkEnd w:id="184"/>
    <w:bookmarkStart w:id="185" w:name="ref-tibshirani2019conformal"/>
    <w:p>
      <w:pPr>
        <w:pStyle w:val="Bibliography"/>
        <w:spacing w:line="276" w:lineRule="auto" w:after="80"/>
        <w:jc w:val="left"/>
      </w:pPr>
      <w:r>
        <w:rPr>
          <w:rFonts w:ascii="Times New Roman" w:hAnsi="Times New Roman" w:cs="Times New Roman" w:eastAsia="Times New Roman"/>
          <w:color w:val="000000"/>
          <w:sz w:val="22"/>
        </w:rPr>
        <w:t xml:space="preserve">Tibshirani, R.J., Barber, R.F., Candès, E.J., Ramdas, A., 2019. Conformal prediction under covariate shift, in: Advances in Neural Information Processing Systems 32. pp. 2530–2540.</w:t>
      </w:r>
    </w:p>
    <w:bookmarkEnd w:id="185"/>
    <w:bookmarkStart w:id="187" w:name="ref-tsoumplekas2025fewshot"/>
    <w:p>
      <w:pPr>
        <w:pStyle w:val="Bibliography"/>
        <w:spacing w:line="276" w:lineRule="auto" w:after="80"/>
        <w:jc w:val="left"/>
      </w:pPr>
      <w:r>
        <w:rPr>
          <w:rFonts w:ascii="Times New Roman" w:hAnsi="Times New Roman" w:cs="Times New Roman" w:eastAsia="Times New Roman"/>
          <w:color w:val="000000"/>
          <w:sz w:val="22"/>
        </w:rPr>
        <w:t xml:space="preserve">Tsoumplekas, G., Athanasiadis, C.L., Doukas, D.I., Chrysopoulos, A., Mitkas, P.A., 2025. Few-shot load forecasting under data scarcity in smart grids: A meta-learning approach. Energies 18, 742.</w:t>
      </w:r>
      <w:r>
        <w:rPr>
          <w:rFonts w:ascii="Times New Roman" w:hAnsi="Times New Roman" w:cs="Times New Roman" w:eastAsia="Times New Roman"/>
          <w:color w:val="000000"/>
          <w:sz w:val="22"/>
        </w:rPr>
        <w:t xml:space="preserve"> </w:t>
      </w:r>
      <w:hyperlink r:id="rId186">
        <w:r>
          <w:rPr>
            <w:rStyle w:val="Hyperlink"/>
          </w:rPr>
          <w:t xml:space="preserve">https://doi.org/10.3390/en18030742</w:t>
        </w:r>
      </w:hyperlink>
    </w:p>
    <w:bookmarkEnd w:id="187"/>
    <w:bookmarkStart w:id="189" w:name="ref-tzortzis2024transfer"/>
    <w:p>
      <w:pPr>
        <w:pStyle w:val="Bibliography"/>
        <w:spacing w:line="276" w:lineRule="auto" w:after="80"/>
        <w:jc w:val="left"/>
      </w:pPr>
      <w:r>
        <w:rPr>
          <w:rFonts w:ascii="Times New Roman" w:hAnsi="Times New Roman" w:cs="Times New Roman" w:eastAsia="Times New Roman"/>
          <w:color w:val="000000"/>
          <w:sz w:val="22"/>
        </w:rPr>
        <w:t xml:space="preserve">Tzortzis, A.M., Pelekis, S., Spiliotis, E., Karakolis, E., Mouzakitis, S., Psarras, J., Askounis, D., 2024.</w:t>
      </w:r>
      <w:r>
        <w:rPr>
          <w:rFonts w:ascii="Times New Roman" w:hAnsi="Times New Roman" w:cs="Times New Roman" w:eastAsia="Times New Roman"/>
          <w:color w:val="000000"/>
          <w:sz w:val="22"/>
        </w:rPr>
        <w:t xml:space="preserve"> </w:t>
      </w:r>
      <w:hyperlink r:id="rId188">
        <w:r>
          <w:rPr>
            <w:rStyle w:val="Hyperlink"/>
          </w:rPr>
          <w:t xml:space="preserve">Transfer learning for day-ahead load forecasting: A case study on</w:t>
        </w:r>
        <w:r>
          <w:rPr>
            <w:rStyle w:val="Hyperlink"/>
          </w:rPr>
          <w:t xml:space="preserve"> </w:t>
        </w:r>
        <w:r>
          <w:rPr>
            <w:rStyle w:val="Hyperlink"/>
          </w:rPr>
          <w:t xml:space="preserve">European</w:t>
        </w:r>
        <w:r>
          <w:rPr>
            <w:rStyle w:val="Hyperlink"/>
          </w:rPr>
          <w:t xml:space="preserve"> </w:t>
        </w:r>
        <w:r>
          <w:rPr>
            <w:rStyle w:val="Hyperlink"/>
          </w:rPr>
          <w:t xml:space="preserve">national electricity demand time series</w:t>
        </w:r>
      </w:hyperlink>
      <w:r>
        <w:rPr>
          <w:rFonts w:ascii="Times New Roman" w:hAnsi="Times New Roman" w:cs="Times New Roman" w:eastAsia="Times New Roman"/>
          <w:color w:val="000000"/>
          <w:sz w:val="22"/>
        </w:rPr>
        <w:t xml:space="preserve">. Mathematics 12, 19.</w:t>
      </w:r>
    </w:p>
    <w:bookmarkEnd w:id="189"/>
    <w:bookmarkStart w:id="190" w:name="ref-eia930about"/>
    <w:p>
      <w:pPr>
        <w:pStyle w:val="Bibliography"/>
        <w:spacing w:line="276" w:lineRule="auto" w:after="80"/>
        <w:jc w:val="left"/>
      </w:pPr>
      <w:r>
        <w:rPr>
          <w:rFonts w:ascii="Times New Roman" w:hAnsi="Times New Roman" w:cs="Times New Roman" w:eastAsia="Times New Roman"/>
          <w:color w:val="000000"/>
          <w:sz w:val="22"/>
        </w:rPr>
        <w:t xml:space="preserve">U.S. Energy Information Administration, 2026. About the</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EIA-930</w:t>
      </w:r>
      <w:r>
        <w:rPr>
          <w:rFonts w:ascii="Times New Roman" w:hAnsi="Times New Roman" w:cs="Times New Roman" w:eastAsia="Times New Roman"/>
          <w:color w:val="000000"/>
          <w:sz w:val="22"/>
        </w:rPr>
        <w:t xml:space="preserve"> </w:t>
      </w:r>
      <w:r>
        <w:rPr>
          <w:rFonts w:ascii="Times New Roman" w:hAnsi="Times New Roman" w:cs="Times New Roman" w:eastAsia="Times New Roman"/>
          <w:color w:val="000000"/>
          <w:sz w:val="22"/>
        </w:rPr>
        <w:t xml:space="preserve">data.</w:t>
      </w:r>
    </w:p>
    <w:bookmarkEnd w:id="190"/>
    <w:bookmarkStart w:id="192" w:name="ref-devilmarest2024adaptive"/>
    <w:p>
      <w:pPr>
        <w:pStyle w:val="Bibliography"/>
        <w:spacing w:line="276" w:lineRule="auto" w:after="80"/>
        <w:jc w:val="left"/>
      </w:pPr>
      <w:r>
        <w:rPr>
          <w:rFonts w:ascii="Times New Roman" w:hAnsi="Times New Roman" w:cs="Times New Roman" w:eastAsia="Times New Roman"/>
          <w:color w:val="000000"/>
          <w:sz w:val="22"/>
        </w:rPr>
        <w:t xml:space="preserve">Vilmarest, J. de, Browell, J., Fasiolo, M., Goude, Y., Wintenberger, O., 2024. Adaptive probabilistic forecasting of electricity (net-)load. IEEE Transactions on Power Systems 39, 4154–4163.</w:t>
      </w:r>
      <w:r>
        <w:rPr>
          <w:rFonts w:ascii="Times New Roman" w:hAnsi="Times New Roman" w:cs="Times New Roman" w:eastAsia="Times New Roman"/>
          <w:color w:val="000000"/>
          <w:sz w:val="22"/>
        </w:rPr>
        <w:t xml:space="preserve"> </w:t>
      </w:r>
      <w:hyperlink r:id="rId191">
        <w:r>
          <w:rPr>
            <w:rStyle w:val="Hyperlink"/>
          </w:rPr>
          <w:t xml:space="preserve">https://doi.org/10.1109/TPWRS.2023.3310280</w:t>
        </w:r>
      </w:hyperlink>
    </w:p>
    <w:bookmarkEnd w:id="192"/>
    <w:bookmarkStart w:id="194" w:name="ref-vovk2005algorithmic"/>
    <w:p>
      <w:pPr>
        <w:pStyle w:val="Bibliography"/>
        <w:spacing w:line="276" w:lineRule="auto" w:after="80"/>
        <w:jc w:val="left"/>
      </w:pPr>
      <w:r>
        <w:rPr>
          <w:rFonts w:ascii="Times New Roman" w:hAnsi="Times New Roman" w:cs="Times New Roman" w:eastAsia="Times New Roman"/>
          <w:color w:val="000000"/>
          <w:sz w:val="22"/>
        </w:rPr>
        <w:t xml:space="preserve">Vovk, V., Gammerman, A., Shafer, G., 2005. Algorithmic learning in a random world. Springer, New York.</w:t>
      </w:r>
      <w:r>
        <w:rPr>
          <w:rFonts w:ascii="Times New Roman" w:hAnsi="Times New Roman" w:cs="Times New Roman" w:eastAsia="Times New Roman"/>
          <w:color w:val="000000"/>
          <w:sz w:val="22"/>
        </w:rPr>
        <w:t xml:space="preserve"> </w:t>
      </w:r>
      <w:hyperlink r:id="rId193">
        <w:r>
          <w:rPr>
            <w:rStyle w:val="Hyperlink"/>
          </w:rPr>
          <w:t xml:space="preserve">https://doi.org/10.1007/b106715</w:t>
        </w:r>
      </w:hyperlink>
    </w:p>
    <w:bookmarkEnd w:id="194"/>
    <w:bookmarkStart w:id="196" w:name="ref-wiese2019opsd"/>
    <w:p>
      <w:pPr>
        <w:pStyle w:val="Bibliography"/>
        <w:spacing w:line="276" w:lineRule="auto" w:after="80"/>
        <w:jc w:val="left"/>
      </w:pPr>
      <w:r>
        <w:rPr>
          <w:rFonts w:ascii="Times New Roman" w:hAnsi="Times New Roman" w:cs="Times New Roman" w:eastAsia="Times New Roman"/>
          <w:color w:val="000000"/>
          <w:sz w:val="22"/>
        </w:rPr>
        <w:t xml:space="preserve">Wiese, F., Schlecht, I., Bunke, W.-D., Gerbaulet, C., Hirth, L., Jahn, M., Kunz, F., Lorenz, C., Mühlenpfordt, J., Reimann, J., Schill, W.-P., 2019. Open power system data – frictionless data for electricity system modelling. Applied Energy 236, 401–409.</w:t>
      </w:r>
      <w:r>
        <w:rPr>
          <w:rFonts w:ascii="Times New Roman" w:hAnsi="Times New Roman" w:cs="Times New Roman" w:eastAsia="Times New Roman"/>
          <w:color w:val="000000"/>
          <w:sz w:val="22"/>
        </w:rPr>
        <w:t xml:space="preserve"> </w:t>
      </w:r>
      <w:hyperlink r:id="rId195">
        <w:r>
          <w:rPr>
            <w:rStyle w:val="Hyperlink"/>
          </w:rPr>
          <w:t xml:space="preserve">https://doi.org/10.1016/j.apenergy.2018.11.097</w:t>
        </w:r>
      </w:hyperlink>
    </w:p>
    <w:bookmarkEnd w:id="196"/>
    <w:bookmarkStart w:id="197" w:name="ref-woo2024unified"/>
    <w:p>
      <w:pPr>
        <w:pStyle w:val="Bibliography"/>
        <w:spacing w:line="276" w:lineRule="auto" w:after="80"/>
        <w:jc w:val="left"/>
      </w:pPr>
      <w:r>
        <w:rPr>
          <w:rFonts w:ascii="Times New Roman" w:hAnsi="Times New Roman" w:cs="Times New Roman" w:eastAsia="Times New Roman"/>
          <w:color w:val="000000"/>
          <w:sz w:val="22"/>
        </w:rPr>
        <w:t xml:space="preserve">Woo, G., Liu, C., Kumar, A., Xiong, C., Savarese, S., Sahoo, D., 2024. Unified training of universal time series forecasting transformers, in: Proceedings of the 41st International Conference on Machine Learning, PMLR. pp. 53140–53164.</w:t>
      </w:r>
    </w:p>
    <w:bookmarkEnd w:id="197"/>
    <w:bookmarkStart w:id="198" w:name="ref-xu2023sequential"/>
    <w:p>
      <w:pPr>
        <w:pStyle w:val="Bibliography"/>
        <w:spacing w:line="276" w:lineRule="auto" w:after="80"/>
        <w:jc w:val="left"/>
      </w:pPr>
      <w:r>
        <w:rPr>
          <w:rFonts w:ascii="Times New Roman" w:hAnsi="Times New Roman" w:cs="Times New Roman" w:eastAsia="Times New Roman"/>
          <w:color w:val="000000"/>
          <w:sz w:val="22"/>
        </w:rPr>
        <w:t xml:space="preserve">Xu, C., Xie, Y., 2023. Sequential predictive conformal inference for time series, in: Proceedings of the 40th International Conference on Machine Learning, PMLR. pp. 38707–38727.</w:t>
      </w:r>
    </w:p>
    <w:bookmarkEnd w:id="198"/>
    <w:bookmarkStart w:id="199" w:name="ref-xu2021conformal"/>
    <w:p>
      <w:pPr>
        <w:pStyle w:val="Bibliography"/>
        <w:spacing w:line="276" w:lineRule="auto" w:after="80"/>
        <w:jc w:val="left"/>
      </w:pPr>
      <w:r>
        <w:rPr>
          <w:rFonts w:ascii="Times New Roman" w:hAnsi="Times New Roman" w:cs="Times New Roman" w:eastAsia="Times New Roman"/>
          <w:color w:val="000000"/>
          <w:sz w:val="22"/>
        </w:rPr>
        <w:t xml:space="preserve">Xu, C., Xie, Y., 2021. Conformal prediction interval for dynamic time-series, in: Proceedings of the 38th International Conference on Machine Learning, PMLR. pp. 11559–11569.</w:t>
      </w:r>
    </w:p>
    <w:bookmarkEnd w:id="199"/>
    <w:bookmarkStart w:id="201" w:name="ref-yuan2026adaptive"/>
    <w:p>
      <w:pPr>
        <w:pStyle w:val="Bibliography"/>
        <w:spacing w:line="276" w:lineRule="auto" w:after="80"/>
        <w:jc w:val="left"/>
      </w:pPr>
      <w:r>
        <w:rPr>
          <w:rFonts w:ascii="Times New Roman" w:hAnsi="Times New Roman" w:cs="Times New Roman" w:eastAsia="Times New Roman"/>
          <w:color w:val="000000"/>
          <w:sz w:val="22"/>
        </w:rPr>
        <w:t xml:space="preserve">Yuan, F., Zhou, H., Tang, L., Chen, F., Chen, G.-Y., Gan, M., 2026. Adaptive load forecasting under regional distribution shifts: A meta-learning framework. Engineering Applications of Artificial Intelligence 164, 113104.</w:t>
      </w:r>
      <w:r>
        <w:rPr>
          <w:rFonts w:ascii="Times New Roman" w:hAnsi="Times New Roman" w:cs="Times New Roman" w:eastAsia="Times New Roman"/>
          <w:color w:val="000000"/>
          <w:sz w:val="22"/>
        </w:rPr>
        <w:t xml:space="preserve"> </w:t>
      </w:r>
      <w:hyperlink r:id="rId200">
        <w:r>
          <w:rPr>
            <w:rStyle w:val="Hyperlink"/>
          </w:rPr>
          <w:t xml:space="preserve">https://doi.org/10.1016/j.engappai.2025.113104</w:t>
        </w:r>
      </w:hyperlink>
    </w:p>
    <w:bookmarkEnd w:id="201"/>
    <w:bookmarkStart w:id="202" w:name="ref-zaffran2022adaptive"/>
    <w:p>
      <w:pPr>
        <w:pStyle w:val="Bibliography"/>
        <w:spacing w:line="276" w:lineRule="auto" w:after="80"/>
        <w:jc w:val="left"/>
      </w:pPr>
      <w:r>
        <w:rPr>
          <w:rFonts w:ascii="Times New Roman" w:hAnsi="Times New Roman" w:cs="Times New Roman" w:eastAsia="Times New Roman"/>
          <w:color w:val="000000"/>
          <w:sz w:val="22"/>
        </w:rPr>
        <w:t xml:space="preserve">Zaffran, M., Féron, O., Goude, Y., Josse, J., Dieuleveut, A., 2022. Adaptive conformal predictions for time series, in: Proceedings of the 39th International Conference on Machine Learning, PMLR. pp. 25834–25866.</w:t>
      </w:r>
    </w:p>
    <w:bookmarkEnd w:id="202"/>
    <w:bookmarkEnd w:id="203"/>
    <w:bookmarkEnd w:id="204"/>
    <w:bookmarkStart w:id="205" w:name="appendix-a.-balancing-authorities"/>
    <w:p>
      <w:pPr>
        <w:pStyle w:val="Heading1"/>
        <w:keepNext/>
        <w:spacing w:before="240" w:after="120"/>
      </w:pPr>
      <w:r>
        <w:rPr>
          <w:rFonts w:ascii="Times New Roman" w:hAnsi="Times New Roman" w:cs="Times New Roman" w:eastAsia="Times New Roman"/>
          <w:b/>
          <w:color w:val="000000"/>
          <w:sz w:val="28"/>
        </w:rPr>
        <w:t xml:space="preserve">Appendix A. Balancing authorities</w:t>
      </w:r>
    </w:p>
    <w:p>
      <w:pPr>
        <w:pStyle w:val="TableCaption"/>
        <w:keepNext/>
        <w:spacing w:line="240" w:lineRule="auto" w:after="80"/>
        <w:jc w:val="both"/>
      </w:pPr>
      <w:r>
        <w:rPr>
          <w:bCs/>
          <w:rFonts w:ascii="Times New Roman" w:hAnsi="Times New Roman" w:cs="Times New Roman" w:eastAsia="Times New Roman"/>
          <w:b/>
          <w:color w:val="000000"/>
          <w:sz w:val="20"/>
        </w:rPr>
        <w:t xml:space="preserve">Table A1.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Balancing authorities included in the study (2019–2025).</w:t>
      </w:r>
    </w:p>
    <w:tbl>
      <w:tblPr>
        <w:tblStyle w:val="Table"/>
        <w:tblW w:type="pct" w:w="5000"/>
        <w:jc w:val="center"/>
        <w:tblBorders>
          <w:top w:val="single" w:sz="4" w:color="000000"/>
          <w:bottom w:val="single" w:sz="4" w:color="000000"/>
          <w:insideH w:val="single" w:sz="4" w:color="000000"/>
        </w:tblBorders>
        <w:tblLayout w:type="autofit"/>
        <w:tblLook w:firstRow="1" w:lastRow="0" w:firstColumn="0" w:lastColumn="0" w:noHBand="0" w:noVBand="0" w:val="0020"/>
      </w:tblPr>
      <w:tblGrid>
        <w:gridCol w:w="337"/>
        <w:gridCol w:w="2359"/>
        <w:gridCol w:w="898"/>
        <w:gridCol w:w="1123"/>
        <w:gridCol w:w="1404"/>
        <w:gridCol w:w="1123"/>
        <w:gridCol w:w="674"/>
      </w:tblGrid>
      <w:tr>
        <w:trPr>
          <w:tblHeader w:val="true"/>
        </w:trPr>
        <w:tc>
          <w:tcPr/>
          <w:p>
            <w:pPr>
              <w:pStyle w:val="Compact"/>
              <w:spacing w:line="240" w:lineRule="auto" w:before="20" w:after="20"/>
              <w:jc w:val="left"/>
            </w:pPr>
            <w:r>
              <w:rPr>
                <w:rFonts w:ascii="Times New Roman" w:hAnsi="Times New Roman" w:cs="Times New Roman" w:eastAsia="Times New Roman"/>
                <w:b/>
                <w:color w:val="000000"/>
                <w:sz w:val="16"/>
              </w:rPr>
              <w:t xml:space="preserve">BA</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Name</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Interconnect</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Mean demand (MW)</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Reported coverage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PUDL-flagged (%)</w:t>
            </w:r>
          </w:p>
        </w:tc>
        <w:tc>
          <w:tcPr/>
          <w:p>
            <w:pPr>
              <w:pStyle w:val="Compact"/>
              <w:spacing w:line="240" w:lineRule="auto" w:before="20" w:after="20"/>
              <w:jc w:val="left"/>
            </w:pPr>
            <w:r>
              <w:rPr>
                <w:rFonts w:ascii="Times New Roman" w:hAnsi="Times New Roman" w:cs="Times New Roman" w:eastAsia="Times New Roman"/>
                <w:b/>
                <w:color w:val="000000"/>
                <w:sz w:val="16"/>
              </w:rPr>
              <w:t xml:space="preserve">LRO fold</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PJM</w:t>
            </w:r>
          </w:p>
        </w:tc>
        <w:tc>
          <w:tcPr/>
          <w:p>
            <w:pPr>
              <w:pStyle w:val="Compact"/>
              <w:spacing w:line="240" w:lineRule="auto" w:before="20" w:after="20"/>
              <w:jc w:val="left"/>
            </w:pPr>
            <w:r>
              <w:rPr>
                <w:rFonts w:ascii="Times New Roman" w:hAnsi="Times New Roman" w:cs="Times New Roman" w:eastAsia="Times New Roman"/>
                <w:color w:val="000000"/>
                <w:sz w:val="16"/>
              </w:rPr>
              <w:t xml:space="preserve">Pjm Interconnection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91577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0.3</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MISO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Midcontinent 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73658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99.91</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ERCO</w:t>
            </w:r>
          </w:p>
        </w:tc>
        <w:tc>
          <w:tcPr/>
          <w:p>
            <w:pPr>
              <w:pStyle w:val="Compact"/>
              <w:spacing w:line="240" w:lineRule="auto" w:before="20" w:after="20"/>
              <w:jc w:val="left"/>
            </w:pPr>
            <w:r>
              <w:rPr>
                <w:rFonts w:ascii="Times New Roman" w:hAnsi="Times New Roman" w:cs="Times New Roman" w:eastAsia="Times New Roman"/>
                <w:color w:val="000000"/>
                <w:sz w:val="16"/>
              </w:rPr>
              <w:t xml:space="preserve">Electric Reliability Council of Texas</w:t>
            </w:r>
          </w:p>
        </w:tc>
        <w:tc>
          <w:tcPr/>
          <w:p>
            <w:pPr>
              <w:pStyle w:val="Compact"/>
              <w:spacing w:line="240" w:lineRule="auto" w:before="20" w:after="20"/>
              <w:jc w:val="left"/>
            </w:pPr>
            <w:r>
              <w:rPr>
                <w:rFonts w:ascii="Times New Roman" w:hAnsi="Times New Roman" w:cs="Times New Roman" w:eastAsia="Times New Roman"/>
                <w:color w:val="000000"/>
                <w:sz w:val="16"/>
              </w:rPr>
              <w:t xml:space="preserve">ercot</w:t>
            </w:r>
          </w:p>
        </w:tc>
        <w:tc>
          <w:tcPr/>
          <w:p>
            <w:pPr>
              <w:pStyle w:val="Compact"/>
              <w:spacing w:line="240" w:lineRule="auto" w:before="20" w:after="20"/>
              <w:jc w:val="left"/>
            </w:pPr>
            <w:r>
              <w:rPr>
                <w:rFonts w:ascii="Times New Roman" w:hAnsi="Times New Roman" w:cs="Times New Roman" w:eastAsia="Times New Roman"/>
                <w:color w:val="000000"/>
                <w:sz w:val="16"/>
              </w:rPr>
              <w:t xml:space="preserve">48661</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SWPP</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Southwest Power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31811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3.7</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SOCO</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Southern Company Services</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26887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0.06</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California 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25117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99.81</w:t>
            </w:r>
          </w:p>
        </w:tc>
        <w:tc>
          <w:tcPr/>
          <w:p>
            <w:pPr>
              <w:pStyle w:val="Compact"/>
              <w:spacing w:line="240" w:lineRule="auto" w:before="20" w:after="20"/>
              <w:jc w:val="left"/>
            </w:pPr>
            <w:r>
              <w:rPr>
                <w:rFonts w:ascii="Times New Roman" w:hAnsi="Times New Roman" w:cs="Times New Roman" w:eastAsia="Times New Roman"/>
                <w:color w:val="000000"/>
                <w:sz w:val="16"/>
              </w:rPr>
              <w:t xml:space="preserve">0.33</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TVA</w:t>
            </w:r>
          </w:p>
        </w:tc>
        <w:tc>
          <w:tcPr/>
          <w:p>
            <w:pPr>
              <w:pStyle w:val="Compact"/>
              <w:spacing w:line="240" w:lineRule="auto" w:before="20" w:after="20"/>
              <w:jc w:val="left"/>
            </w:pPr>
            <w:r>
              <w:rPr>
                <w:rFonts w:ascii="Times New Roman" w:hAnsi="Times New Roman" w:cs="Times New Roman" w:eastAsia="Times New Roman"/>
                <w:color w:val="000000"/>
                <w:sz w:val="16"/>
              </w:rPr>
              <w:t xml:space="preserve">Tennessee Valley Authority</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18446</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0.03</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NYIS</w:t>
            </w:r>
          </w:p>
        </w:tc>
        <w:tc>
          <w:tcPr/>
          <w:p>
            <w:pPr>
              <w:pStyle w:val="Compact"/>
              <w:spacing w:line="240" w:lineRule="auto" w:before="20" w:after="20"/>
              <w:jc w:val="left"/>
            </w:pPr>
            <w:r>
              <w:rPr>
                <w:rFonts w:ascii="Times New Roman" w:hAnsi="Times New Roman" w:cs="Times New Roman" w:eastAsia="Times New Roman"/>
                <w:color w:val="000000"/>
                <w:sz w:val="16"/>
              </w:rPr>
              <w:t xml:space="preserve">New York ISO</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17277</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FPL</w:t>
            </w:r>
          </w:p>
        </w:tc>
        <w:tc>
          <w:tcPr/>
          <w:p>
            <w:pPr>
              <w:pStyle w:val="Compact"/>
              <w:spacing w:line="240" w:lineRule="auto" w:before="20" w:after="20"/>
              <w:jc w:val="left"/>
            </w:pPr>
            <w:r>
              <w:rPr>
                <w:rFonts w:ascii="Times New Roman" w:hAnsi="Times New Roman" w:cs="Times New Roman" w:eastAsia="Times New Roman"/>
                <w:color w:val="000000"/>
                <w:sz w:val="16"/>
              </w:rPr>
              <w:t xml:space="preserve">Florida Power and Light</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15664</w:t>
            </w:r>
          </w:p>
        </w:tc>
        <w:tc>
          <w:tcPr/>
          <w:p>
            <w:pPr>
              <w:pStyle w:val="Compact"/>
              <w:spacing w:line="240" w:lineRule="auto" w:before="20" w:after="20"/>
              <w:jc w:val="left"/>
            </w:pPr>
            <w:r>
              <w:rPr>
                <w:rFonts w:ascii="Times New Roman" w:hAnsi="Times New Roman" w:cs="Times New Roman" w:eastAsia="Times New Roman"/>
                <w:color w:val="000000"/>
                <w:sz w:val="16"/>
              </w:rPr>
              <w:t xml:space="preserve">98.77</w:t>
            </w:r>
          </w:p>
        </w:tc>
        <w:tc>
          <w:tcPr/>
          <w:p>
            <w:pPr>
              <w:pStyle w:val="Compact"/>
              <w:spacing w:line="240" w:lineRule="auto" w:before="20" w:after="20"/>
              <w:jc w:val="left"/>
            </w:pPr>
            <w:r>
              <w:rPr>
                <w:rFonts w:ascii="Times New Roman" w:hAnsi="Times New Roman" w:cs="Times New Roman" w:eastAsia="Times New Roman"/>
                <w:color w:val="000000"/>
                <w:sz w:val="16"/>
              </w:rPr>
              <w:t xml:space="preserve">1.36</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ISNE</w:t>
            </w:r>
          </w:p>
        </w:tc>
        <w:tc>
          <w:tcPr/>
          <w:p>
            <w:pPr>
              <w:pStyle w:val="Compact"/>
              <w:spacing w:line="240" w:lineRule="auto" w:before="20" w:after="20"/>
              <w:jc w:val="left"/>
            </w:pPr>
            <w:r>
              <w:rPr>
                <w:rFonts w:ascii="Times New Roman" w:hAnsi="Times New Roman" w:cs="Times New Roman" w:eastAsia="Times New Roman"/>
                <w:color w:val="000000"/>
                <w:sz w:val="16"/>
              </w:rPr>
              <w:t xml:space="preserve">Iso New England</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13193</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DUK</w:t>
            </w:r>
          </w:p>
        </w:tc>
        <w:tc>
          <w:tcPr/>
          <w:p>
            <w:pPr>
              <w:pStyle w:val="Compact"/>
              <w:spacing w:line="240" w:lineRule="auto" w:before="20" w:after="20"/>
              <w:jc w:val="left"/>
            </w:pPr>
            <w:r>
              <w:rPr>
                <w:rFonts w:ascii="Times New Roman" w:hAnsi="Times New Roman" w:cs="Times New Roman" w:eastAsia="Times New Roman"/>
                <w:color w:val="000000"/>
                <w:sz w:val="16"/>
              </w:rPr>
              <w:t xml:space="preserve">Duke Energy Carolinas</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12102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0.08</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CPLE</w:t>
            </w:r>
          </w:p>
        </w:tc>
        <w:tc>
          <w:tcPr/>
          <w:p>
            <w:pPr>
              <w:pStyle w:val="Compact"/>
              <w:spacing w:line="240" w:lineRule="auto" w:before="20" w:after="20"/>
              <w:jc w:val="left"/>
            </w:pPr>
            <w:r>
              <w:rPr>
                <w:rFonts w:ascii="Times New Roman" w:hAnsi="Times New Roman" w:cs="Times New Roman" w:eastAsia="Times New Roman"/>
                <w:color w:val="000000"/>
                <w:sz w:val="16"/>
              </w:rPr>
              <w:t xml:space="preserve">Duke Energy Progress East</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6982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99.85</w:t>
            </w:r>
          </w:p>
        </w:tc>
        <w:tc>
          <w:tcPr/>
          <w:p>
            <w:pPr>
              <w:pStyle w:val="Compact"/>
              <w:spacing w:line="240" w:lineRule="auto" w:before="20" w:after="20"/>
              <w:jc w:val="left"/>
            </w:pPr>
            <w:r>
              <w:rPr>
                <w:rFonts w:ascii="Times New Roman" w:hAnsi="Times New Roman" w:cs="Times New Roman" w:eastAsia="Times New Roman"/>
                <w:color w:val="000000"/>
                <w:sz w:val="16"/>
              </w:rPr>
              <w:t xml:space="preserve">0.16</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BPAT</w:t>
            </w:r>
          </w:p>
        </w:tc>
        <w:tc>
          <w:tcPr/>
          <w:p>
            <w:pPr>
              <w:pStyle w:val="Compact"/>
              <w:spacing w:line="240" w:lineRule="auto" w:before="20" w:after="20"/>
              <w:jc w:val="left"/>
            </w:pPr>
            <w:r>
              <w:rPr>
                <w:rFonts w:ascii="Times New Roman" w:hAnsi="Times New Roman" w:cs="Times New Roman" w:eastAsia="Times New Roman"/>
                <w:color w:val="000000"/>
                <w:sz w:val="16"/>
              </w:rPr>
              <w:t xml:space="preserve">Bonneville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6563</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0.03</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FPC</w:t>
            </w:r>
          </w:p>
        </w:tc>
        <w:tc>
          <w:tcPr/>
          <w:p>
            <w:pPr>
              <w:pStyle w:val="Compact"/>
              <w:spacing w:line="240" w:lineRule="auto" w:before="20" w:after="20"/>
              <w:jc w:val="left"/>
            </w:pPr>
            <w:r>
              <w:rPr>
                <w:rFonts w:ascii="Times New Roman" w:hAnsi="Times New Roman" w:cs="Times New Roman" w:eastAsia="Times New Roman"/>
                <w:color w:val="000000"/>
                <w:sz w:val="16"/>
              </w:rPr>
              <w:t xml:space="preserve">Progress Energy Florida</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6418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PACE</w:t>
            </w:r>
          </w:p>
        </w:tc>
        <w:tc>
          <w:tcPr/>
          <w:p>
            <w:pPr>
              <w:pStyle w:val="Compact"/>
              <w:spacing w:line="240" w:lineRule="auto" w:before="20" w:after="20"/>
              <w:jc w:val="left"/>
            </w:pPr>
            <w:r>
              <w:rPr>
                <w:rFonts w:ascii="Times New Roman" w:hAnsi="Times New Roman" w:cs="Times New Roman" w:eastAsia="Times New Roman"/>
                <w:color w:val="000000"/>
                <w:sz w:val="16"/>
              </w:rPr>
              <w:t xml:space="preserve">Pacificorp East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5754</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0.19</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PSCO</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Service Company of Colorado</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5283</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0.13</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NEVP</w:t>
            </w:r>
          </w:p>
        </w:tc>
        <w:tc>
          <w:tcPr/>
          <w:p>
            <w:pPr>
              <w:pStyle w:val="Compact"/>
              <w:spacing w:line="240" w:lineRule="auto" w:before="20" w:after="20"/>
              <w:jc w:val="left"/>
            </w:pPr>
            <w:r>
              <w:rPr>
                <w:rFonts w:ascii="Times New Roman" w:hAnsi="Times New Roman" w:cs="Times New Roman" w:eastAsia="Times New Roman"/>
                <w:color w:val="000000"/>
                <w:sz w:val="16"/>
              </w:rPr>
              <w:t xml:space="preserve">Nevada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4452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99.97</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LGEE</w:t>
            </w:r>
          </w:p>
        </w:tc>
        <w:tc>
          <w:tcPr/>
          <w:p>
            <w:pPr>
              <w:pStyle w:val="Compact"/>
              <w:spacing w:line="240" w:lineRule="auto" w:before="20" w:after="20"/>
              <w:jc w:val="left"/>
            </w:pPr>
            <w:r>
              <w:rPr>
                <w:rFonts w:ascii="Times New Roman" w:hAnsi="Times New Roman" w:cs="Times New Roman" w:eastAsia="Times New Roman"/>
                <w:color w:val="000000"/>
                <w:sz w:val="16"/>
              </w:rPr>
              <w:t xml:space="preserve">Louisville Gas and Electric and Kentucky</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4124</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99.72</w:t>
            </w:r>
          </w:p>
        </w:tc>
        <w:tc>
          <w:tcPr/>
          <w:p>
            <w:pPr>
              <w:pStyle w:val="Compact"/>
              <w:spacing w:line="240" w:lineRule="auto" w:before="20" w:after="20"/>
              <w:jc w:val="left"/>
            </w:pPr>
            <w:r>
              <w:rPr>
                <w:rFonts w:ascii="Times New Roman" w:hAnsi="Times New Roman" w:cs="Times New Roman" w:eastAsia="Times New Roman"/>
                <w:color w:val="000000"/>
                <w:sz w:val="16"/>
              </w:rPr>
              <w:t xml:space="preserve">0.42</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SRP</w:t>
            </w:r>
          </w:p>
        </w:tc>
        <w:tc>
          <w:tcPr/>
          <w:p>
            <w:pPr>
              <w:pStyle w:val="Compact"/>
              <w:spacing w:line="240" w:lineRule="auto" w:before="20" w:after="20"/>
              <w:jc w:val="left"/>
            </w:pPr>
            <w:r>
              <w:rPr>
                <w:rFonts w:ascii="Times New Roman" w:hAnsi="Times New Roman" w:cs="Times New Roman" w:eastAsia="Times New Roman"/>
                <w:color w:val="000000"/>
                <w:sz w:val="16"/>
              </w:rPr>
              <w:t xml:space="preserve">Salt River Project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3792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0.51</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AZPS</w:t>
            </w:r>
          </w:p>
        </w:tc>
        <w:tc>
          <w:tcPr/>
          <w:p>
            <w:pPr>
              <w:pStyle w:val="Compact"/>
              <w:spacing w:line="240" w:lineRule="auto" w:before="20" w:after="20"/>
              <w:jc w:val="left"/>
            </w:pPr>
            <w:r>
              <w:rPr>
                <w:rFonts w:ascii="Times New Roman" w:hAnsi="Times New Roman" w:cs="Times New Roman" w:eastAsia="Times New Roman"/>
                <w:color w:val="000000"/>
                <w:sz w:val="16"/>
              </w:rPr>
              <w:t xml:space="preserve">Arizona Public Service</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3775</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0.14</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WACM</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 Area Power Mountain</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3104</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0.87</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LDWP</w:t>
            </w:r>
          </w:p>
        </w:tc>
        <w:tc>
          <w:tcPr/>
          <w:p>
            <w:pPr>
              <w:pStyle w:val="Compact"/>
              <w:spacing w:line="240" w:lineRule="auto" w:before="20" w:after="20"/>
              <w:jc w:val="left"/>
            </w:pPr>
            <w:r>
              <w:rPr>
                <w:rFonts w:ascii="Times New Roman" w:hAnsi="Times New Roman" w:cs="Times New Roman" w:eastAsia="Times New Roman"/>
                <w:color w:val="000000"/>
                <w:sz w:val="16"/>
              </w:rPr>
              <w:t xml:space="preserve">Los Angeles Dept of Water and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2867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0.48</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SC</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 Carolina Public Service</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2849</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99.78</w:t>
            </w:r>
          </w:p>
        </w:tc>
        <w:tc>
          <w:tcPr/>
          <w:p>
            <w:pPr>
              <w:pStyle w:val="Compact"/>
              <w:spacing w:line="240" w:lineRule="auto" w:before="20" w:after="20"/>
              <w:jc w:val="left"/>
            </w:pPr>
            <w:r>
              <w:rPr>
                <w:rFonts w:ascii="Times New Roman" w:hAnsi="Times New Roman" w:cs="Times New Roman" w:eastAsia="Times New Roman"/>
                <w:color w:val="000000"/>
                <w:sz w:val="16"/>
              </w:rPr>
              <w:t xml:space="preserve">0.32</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SCEG</w:t>
            </w:r>
          </w:p>
        </w:tc>
        <w:tc>
          <w:tcPr/>
          <w:p>
            <w:pPr>
              <w:pStyle w:val="Compact"/>
              <w:spacing w:line="240" w:lineRule="auto" w:before="20" w:after="20"/>
              <w:jc w:val="left"/>
            </w:pPr>
            <w:r>
              <w:rPr>
                <w:rFonts w:ascii="Times New Roman" w:hAnsi="Times New Roman" w:cs="Times New Roman" w:eastAsia="Times New Roman"/>
                <w:color w:val="000000"/>
                <w:sz w:val="16"/>
              </w:rPr>
              <w:t xml:space="preserve">South Carolina Electric and Gas</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2789</w:t>
            </w:r>
          </w:p>
        </w:tc>
        <w:tc>
          <w:tcPr/>
          <w:p>
            <w:pPr>
              <w:pStyle w:val="Compact"/>
              <w:spacing w:line="240" w:lineRule="auto" w:before="20" w:after="20"/>
              <w:jc w:val="left"/>
            </w:pPr>
            <w:r>
              <w:rPr>
                <w:rFonts w:ascii="Times New Roman" w:hAnsi="Times New Roman" w:cs="Times New Roman" w:eastAsia="Times New Roman"/>
                <w:color w:val="000000"/>
                <w:sz w:val="16"/>
              </w:rPr>
              <w:t xml:space="preserve">99.69</w:t>
            </w:r>
          </w:p>
        </w:tc>
        <w:tc>
          <w:tcPr/>
          <w:p>
            <w:pPr>
              <w:pStyle w:val="Compact"/>
              <w:spacing w:line="240" w:lineRule="auto" w:before="20" w:after="20"/>
              <w:jc w:val="left"/>
            </w:pPr>
            <w:r>
              <w:rPr>
                <w:rFonts w:ascii="Times New Roman" w:hAnsi="Times New Roman" w:cs="Times New Roman" w:eastAsia="Times New Roman"/>
                <w:color w:val="000000"/>
                <w:sz w:val="16"/>
              </w:rPr>
              <w:t xml:space="preserve">0.39</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AECI</w:t>
            </w:r>
          </w:p>
        </w:tc>
        <w:tc>
          <w:tcPr/>
          <w:p>
            <w:pPr>
              <w:pStyle w:val="Compact"/>
              <w:spacing w:line="240" w:lineRule="auto" w:before="20" w:after="20"/>
              <w:jc w:val="left"/>
            </w:pPr>
            <w:r>
              <w:rPr>
                <w:rFonts w:ascii="Times New Roman" w:hAnsi="Times New Roman" w:cs="Times New Roman" w:eastAsia="Times New Roman"/>
                <w:color w:val="000000"/>
                <w:sz w:val="16"/>
              </w:rPr>
              <w:t xml:space="preserve">Associated Electric Coop</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2663</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99.98</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TEC</w:t>
            </w:r>
          </w:p>
        </w:tc>
        <w:tc>
          <w:tcPr/>
          <w:p>
            <w:pPr>
              <w:pStyle w:val="Compact"/>
              <w:spacing w:line="240" w:lineRule="auto" w:before="20" w:after="20"/>
              <w:jc w:val="left"/>
            </w:pPr>
            <w:r>
              <w:rPr>
                <w:rFonts w:ascii="Times New Roman" w:hAnsi="Times New Roman" w:cs="Times New Roman" w:eastAsia="Times New Roman"/>
                <w:color w:val="000000"/>
                <w:sz w:val="16"/>
              </w:rPr>
              <w:t xml:space="preserve">Tampa Electric</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2513</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99.87</w:t>
            </w:r>
          </w:p>
        </w:tc>
        <w:tc>
          <w:tcPr/>
          <w:p>
            <w:pPr>
              <w:pStyle w:val="Compact"/>
              <w:spacing w:line="240" w:lineRule="auto" w:before="20" w:after="20"/>
              <w:jc w:val="left"/>
            </w:pPr>
            <w:r>
              <w:rPr>
                <w:rFonts w:ascii="Times New Roman" w:hAnsi="Times New Roman" w:cs="Times New Roman" w:eastAsia="Times New Roman"/>
                <w:color w:val="000000"/>
                <w:sz w:val="16"/>
              </w:rPr>
              <w:t xml:space="preserve">0.14</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PGE</w:t>
            </w:r>
          </w:p>
        </w:tc>
        <w:tc>
          <w:tcPr/>
          <w:p>
            <w:pPr>
              <w:pStyle w:val="Compact"/>
              <w:spacing w:line="240" w:lineRule="auto" w:before="20" w:after="20"/>
              <w:jc w:val="left"/>
            </w:pPr>
            <w:r>
              <w:rPr>
                <w:rFonts w:ascii="Times New Roman" w:hAnsi="Times New Roman" w:cs="Times New Roman" w:eastAsia="Times New Roman"/>
                <w:color w:val="000000"/>
                <w:sz w:val="16"/>
              </w:rPr>
              <w:t xml:space="preserve">Portland General Electric</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2506</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0.07</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PACW</w:t>
            </w:r>
          </w:p>
        </w:tc>
        <w:tc>
          <w:tcPr/>
          <w:p>
            <w:pPr>
              <w:pStyle w:val="Compact"/>
              <w:spacing w:line="240" w:lineRule="auto" w:before="20" w:after="20"/>
              <w:jc w:val="left"/>
            </w:pPr>
            <w:r>
              <w:rPr>
                <w:rFonts w:ascii="Times New Roman" w:hAnsi="Times New Roman" w:cs="Times New Roman" w:eastAsia="Times New Roman"/>
                <w:color w:val="000000"/>
                <w:sz w:val="16"/>
              </w:rPr>
              <w:t xml:space="preserve">Pacificorp West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2390</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0.04</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FMPP</w:t>
            </w:r>
          </w:p>
        </w:tc>
        <w:tc>
          <w:tcPr/>
          <w:p>
            <w:pPr>
              <w:pStyle w:val="Compact"/>
              <w:spacing w:line="240" w:lineRule="auto" w:before="20" w:after="20"/>
              <w:jc w:val="left"/>
            </w:pPr>
            <w:r>
              <w:rPr>
                <w:rFonts w:ascii="Times New Roman" w:hAnsi="Times New Roman" w:cs="Times New Roman" w:eastAsia="Times New Roman"/>
                <w:color w:val="000000"/>
                <w:sz w:val="16"/>
              </w:rPr>
              <w:t xml:space="preserve">Florida Municipal Power Pool</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2117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99.76</w:t>
            </w:r>
          </w:p>
        </w:tc>
        <w:tc>
          <w:tcPr/>
          <w:p>
            <w:pPr>
              <w:pStyle w:val="Compact"/>
              <w:spacing w:line="240" w:lineRule="auto" w:before="20" w:after="20"/>
              <w:jc w:val="left"/>
            </w:pPr>
            <w:r>
              <w:rPr>
                <w:rFonts w:ascii="Times New Roman" w:hAnsi="Times New Roman" w:cs="Times New Roman" w:eastAsia="Times New Roman"/>
                <w:color w:val="000000"/>
                <w:sz w:val="16"/>
              </w:rPr>
              <w:t xml:space="preserve">0.5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IPCO</w:t>
            </w:r>
          </w:p>
        </w:tc>
        <w:tc>
          <w:tcPr/>
          <w:p>
            <w:pPr>
              <w:pStyle w:val="Compact"/>
              <w:spacing w:line="240" w:lineRule="auto" w:before="20" w:after="20"/>
              <w:jc w:val="left"/>
            </w:pPr>
            <w:r>
              <w:rPr>
                <w:rFonts w:ascii="Times New Roman" w:hAnsi="Times New Roman" w:cs="Times New Roman" w:eastAsia="Times New Roman"/>
                <w:color w:val="000000"/>
                <w:sz w:val="16"/>
              </w:rPr>
              <w:t xml:space="preserve">Idaho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2075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BANC</w:t>
            </w:r>
          </w:p>
        </w:tc>
        <w:tc>
          <w:tcPr/>
          <w:p>
            <w:pPr>
              <w:pStyle w:val="Compact"/>
              <w:spacing w:line="240" w:lineRule="auto" w:before="20" w:after="20"/>
              <w:jc w:val="left"/>
            </w:pPr>
            <w:r>
              <w:rPr>
                <w:rFonts w:ascii="Times New Roman" w:hAnsi="Times New Roman" w:cs="Times New Roman" w:eastAsia="Times New Roman"/>
                <w:color w:val="000000"/>
                <w:sz w:val="16"/>
              </w:rPr>
              <w:t xml:space="preserve">Northern California</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1985</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99.99</w:t>
            </w:r>
          </w:p>
        </w:tc>
        <w:tc>
          <w:tcPr/>
          <w:p>
            <w:pPr>
              <w:pStyle w:val="Compact"/>
              <w:spacing w:line="240" w:lineRule="auto" w:before="20" w:after="20"/>
              <w:jc w:val="left"/>
            </w:pPr>
            <w:r>
              <w:rPr>
                <w:rFonts w:ascii="Times New Roman" w:hAnsi="Times New Roman" w:cs="Times New Roman" w:eastAsia="Times New Roman"/>
                <w:color w:val="000000"/>
                <w:sz w:val="16"/>
              </w:rPr>
              <w:t xml:space="preserve">2.22</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PNM</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Service Company of New Mexico</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1631</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0.11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TEPC</w:t>
            </w:r>
          </w:p>
        </w:tc>
        <w:tc>
          <w:tcPr/>
          <w:p>
            <w:pPr>
              <w:pStyle w:val="Compact"/>
              <w:spacing w:line="240" w:lineRule="auto" w:before="20" w:after="20"/>
              <w:jc w:val="left"/>
            </w:pPr>
            <w:r>
              <w:rPr>
                <w:rFonts w:ascii="Times New Roman" w:hAnsi="Times New Roman" w:cs="Times New Roman" w:eastAsia="Times New Roman"/>
                <w:color w:val="000000"/>
                <w:sz w:val="16"/>
              </w:rPr>
              <w:t xml:space="preserve">Tucson Electric Power</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1564</w:t>
            </w:r>
          </w:p>
        </w:tc>
        <w:tc>
          <w:tcPr/>
          <w:p>
            <w:pPr>
              <w:pStyle w:val="Compact"/>
              <w:spacing w:line="240" w:lineRule="auto" w:before="20" w:after="20"/>
              <w:jc w:val="left"/>
            </w:pPr>
            <w:r>
              <w:rPr>
                <w:rFonts w:ascii="Times New Roman" w:hAnsi="Times New Roman" w:cs="Times New Roman" w:eastAsia="Times New Roman"/>
                <w:color w:val="000000"/>
                <w:sz w:val="16"/>
              </w:rPr>
              <w:t xml:space="preserve">98.43</w:t>
            </w:r>
          </w:p>
        </w:tc>
        <w:tc>
          <w:tcPr/>
          <w:p>
            <w:pPr>
              <w:pStyle w:val="Compact"/>
              <w:spacing w:line="240" w:lineRule="auto" w:before="20" w:after="20"/>
              <w:jc w:val="left"/>
            </w:pPr>
            <w:r>
              <w:rPr>
                <w:rFonts w:ascii="Times New Roman" w:hAnsi="Times New Roman" w:cs="Times New Roman" w:eastAsia="Times New Roman"/>
                <w:color w:val="000000"/>
                <w:sz w:val="16"/>
              </w:rPr>
              <w:t xml:space="preserve">1.61</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JEA</w:t>
            </w:r>
          </w:p>
        </w:tc>
        <w:tc>
          <w:tcPr/>
          <w:p>
            <w:pPr>
              <w:pStyle w:val="Compact"/>
              <w:spacing w:line="240" w:lineRule="auto" w:before="20" w:after="20"/>
              <w:jc w:val="left"/>
            </w:pPr>
            <w:r>
              <w:rPr>
                <w:rFonts w:ascii="Times New Roman" w:hAnsi="Times New Roman" w:cs="Times New Roman" w:eastAsia="Times New Roman"/>
                <w:color w:val="000000"/>
                <w:sz w:val="16"/>
              </w:rPr>
              <w:t xml:space="preserve">Jacksonville Energy</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1518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99.56</w:t>
            </w:r>
          </w:p>
        </w:tc>
        <w:tc>
          <w:tcPr/>
          <w:p>
            <w:pPr>
              <w:pStyle w:val="Compact"/>
              <w:spacing w:line="240" w:lineRule="auto" w:before="20" w:after="20"/>
              <w:jc w:val="left"/>
            </w:pPr>
            <w:r>
              <w:rPr>
                <w:rFonts w:ascii="Times New Roman" w:hAnsi="Times New Roman" w:cs="Times New Roman" w:eastAsia="Times New Roman"/>
                <w:color w:val="000000"/>
                <w:sz w:val="16"/>
              </w:rPr>
              <w:t xml:space="preserve">0.5</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AVA</w:t>
            </w:r>
          </w:p>
        </w:tc>
        <w:tc>
          <w:tcPr/>
          <w:p>
            <w:pPr>
              <w:pStyle w:val="Compact"/>
              <w:spacing w:line="240" w:lineRule="auto" w:before="20" w:after="20"/>
              <w:jc w:val="left"/>
            </w:pPr>
            <w:r>
              <w:rPr>
                <w:rFonts w:ascii="Times New Roman" w:hAnsi="Times New Roman" w:cs="Times New Roman" w:eastAsia="Times New Roman"/>
                <w:color w:val="000000"/>
                <w:sz w:val="16"/>
              </w:rPr>
              <w:t xml:space="preserve">Avista</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1462</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0.09</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NWMT</w:t>
            </w:r>
          </w:p>
        </w:tc>
        <w:tc>
          <w:tcPr/>
          <w:p>
            <w:pPr>
              <w:pStyle w:val="Compact"/>
              <w:spacing w:line="240" w:lineRule="auto" w:before="20" w:after="20"/>
              <w:jc w:val="left"/>
            </w:pPr>
            <w:r>
              <w:rPr>
                <w:rFonts w:ascii="Times New Roman" w:hAnsi="Times New Roman" w:cs="Times New Roman" w:eastAsia="Times New Roman"/>
                <w:color w:val="000000"/>
                <w:sz w:val="16"/>
              </w:rPr>
              <w:t xml:space="preserve">Northwestern Energy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1362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99.96</w:t>
            </w:r>
          </w:p>
        </w:tc>
        <w:tc>
          <w:tcPr/>
          <w:p>
            <w:pPr>
              <w:pStyle w:val="Compact"/>
              <w:spacing w:line="240" w:lineRule="auto" w:before="20" w:after="20"/>
              <w:jc w:val="left"/>
            </w:pPr>
            <w:r>
              <w:rPr>
                <w:rFonts w:ascii="Times New Roman" w:hAnsi="Times New Roman" w:cs="Times New Roman" w:eastAsia="Times New Roman"/>
                <w:color w:val="000000"/>
                <w:sz w:val="16"/>
              </w:rPr>
              <w:t xml:space="preserve">0.39</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SCL</w:t>
            </w:r>
          </w:p>
        </w:tc>
        <w:tc>
          <w:tcPr/>
          <w:p>
            <w:pPr>
              <w:pStyle w:val="Compact"/>
              <w:spacing w:line="240" w:lineRule="auto" w:before="20" w:after="20"/>
              <w:jc w:val="left"/>
            </w:pPr>
            <w:r>
              <w:rPr>
                <w:rFonts w:ascii="Times New Roman" w:hAnsi="Times New Roman" w:cs="Times New Roman" w:eastAsia="Times New Roman"/>
                <w:color w:val="000000"/>
                <w:sz w:val="16"/>
              </w:rPr>
              <w:t xml:space="preserve">Seattle City Light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1078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99.99</w:t>
            </w:r>
          </w:p>
        </w:tc>
        <w:tc>
          <w:tcPr/>
          <w:p>
            <w:pPr>
              <w:pStyle w:val="Compact"/>
              <w:spacing w:line="240" w:lineRule="auto" w:before="20" w:after="20"/>
              <w:jc w:val="left"/>
            </w:pPr>
            <w:r>
              <w:rPr>
                <w:rFonts w:ascii="Times New Roman" w:hAnsi="Times New Roman" w:cs="Times New Roman" w:eastAsia="Times New Roman"/>
                <w:color w:val="000000"/>
                <w:sz w:val="16"/>
              </w:rPr>
              <w:t xml:space="preserve">0.08</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WALC</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 Area Power Southwest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1052</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99.92</w:t>
            </w:r>
          </w:p>
        </w:tc>
        <w:tc>
          <w:tcPr/>
          <w:p>
            <w:pPr>
              <w:pStyle w:val="Compact"/>
              <w:spacing w:line="240" w:lineRule="auto" w:before="20" w:after="20"/>
              <w:jc w:val="left"/>
            </w:pPr>
            <w:r>
              <w:rPr>
                <w:rFonts w:ascii="Times New Roman" w:hAnsi="Times New Roman" w:cs="Times New Roman" w:eastAsia="Times New Roman"/>
                <w:color w:val="000000"/>
                <w:sz w:val="16"/>
              </w:rPr>
              <w:t xml:space="preserve">0.71</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EPE</w:t>
            </w:r>
          </w:p>
        </w:tc>
        <w:tc>
          <w:tcPr/>
          <w:p>
            <w:pPr>
              <w:pStyle w:val="Compact"/>
              <w:spacing w:line="240" w:lineRule="auto" w:before="20" w:after="20"/>
              <w:jc w:val="left"/>
            </w:pPr>
            <w:r>
              <w:rPr>
                <w:rFonts w:ascii="Times New Roman" w:hAnsi="Times New Roman" w:cs="Times New Roman" w:eastAsia="Times New Roman"/>
                <w:color w:val="000000"/>
                <w:sz w:val="16"/>
              </w:rPr>
              <w:t xml:space="preserve">El Paso Electric</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1015</w:t>
            </w:r>
          </w:p>
        </w:tc>
        <w:tc>
          <w:tcPr/>
          <w:p>
            <w:pPr>
              <w:pStyle w:val="Compact"/>
              <w:spacing w:line="240" w:lineRule="auto" w:before="20" w:after="20"/>
              <w:jc w:val="left"/>
            </w:pPr>
            <w:r>
              <w:rPr>
                <w:rFonts w:ascii="Times New Roman" w:hAnsi="Times New Roman" w:cs="Times New Roman" w:eastAsia="Times New Roman"/>
                <w:color w:val="000000"/>
                <w:sz w:val="16"/>
              </w:rPr>
              <w:t xml:space="preserve">99.99</w:t>
            </w:r>
          </w:p>
        </w:tc>
        <w:tc>
          <w:tcPr/>
          <w:p>
            <w:pPr>
              <w:pStyle w:val="Compact"/>
              <w:spacing w:line="240" w:lineRule="auto" w:before="20" w:after="20"/>
              <w:jc w:val="left"/>
            </w:pPr>
            <w:r>
              <w:rPr>
                <w:rFonts w:ascii="Times New Roman" w:hAnsi="Times New Roman" w:cs="Times New Roman" w:eastAsia="Times New Roman"/>
                <w:color w:val="000000"/>
                <w:sz w:val="16"/>
              </w:rPr>
              <w:t xml:space="preserve">0.1</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GCPD</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Utility Grant County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689</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0.37</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CPLW</w:t>
            </w:r>
          </w:p>
        </w:tc>
        <w:tc>
          <w:tcPr/>
          <w:p>
            <w:pPr>
              <w:pStyle w:val="Compact"/>
              <w:spacing w:line="240" w:lineRule="auto" w:before="20" w:after="20"/>
              <w:jc w:val="left"/>
            </w:pPr>
            <w:r>
              <w:rPr>
                <w:rFonts w:ascii="Times New Roman" w:hAnsi="Times New Roman" w:cs="Times New Roman" w:eastAsia="Times New Roman"/>
                <w:color w:val="000000"/>
                <w:sz w:val="16"/>
              </w:rPr>
              <w:t xml:space="preserve">Duke Energy Progress West</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564</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99.88</w:t>
            </w:r>
          </w:p>
        </w:tc>
        <w:tc>
          <w:tcPr/>
          <w:p>
            <w:pPr>
              <w:pStyle w:val="Compact"/>
              <w:spacing w:line="240" w:lineRule="auto" w:before="20" w:after="20"/>
              <w:jc w:val="left"/>
            </w:pPr>
            <w:r>
              <w:rPr>
                <w:rFonts w:ascii="Times New Roman" w:hAnsi="Times New Roman" w:cs="Times New Roman" w:eastAsia="Times New Roman"/>
                <w:color w:val="000000"/>
                <w:sz w:val="16"/>
              </w:rPr>
              <w:t xml:space="preserve">0.21</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TPWR</w:t>
            </w:r>
          </w:p>
        </w:tc>
        <w:tc>
          <w:tcPr/>
          <w:p>
            <w:pPr>
              <w:pStyle w:val="Compact"/>
              <w:spacing w:line="240" w:lineRule="auto" w:before="20" w:after="20"/>
              <w:jc w:val="left"/>
            </w:pPr>
            <w:r>
              <w:rPr>
                <w:rFonts w:ascii="Times New Roman" w:hAnsi="Times New Roman" w:cs="Times New Roman" w:eastAsia="Times New Roman"/>
                <w:color w:val="000000"/>
                <w:sz w:val="16"/>
              </w:rPr>
              <w:t xml:space="preserve">City of Tacoma</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545</w:t>
            </w:r>
          </w:p>
        </w:tc>
        <w:tc>
          <w:tcPr/>
          <w:p>
            <w:pPr>
              <w:pStyle w:val="Compact"/>
              <w:spacing w:line="240" w:lineRule="auto" w:before="20" w:after="20"/>
              <w:jc w:val="left"/>
            </w:pPr>
            <w:r>
              <w:rPr>
                <w:rFonts w:ascii="Times New Roman" w:hAnsi="Times New Roman" w:cs="Times New Roman" w:eastAsia="Times New Roman"/>
                <w:color w:val="000000"/>
                <w:sz w:val="16"/>
              </w:rPr>
              <w:t xml:space="preserve">100</w:t>
            </w:r>
          </w:p>
        </w:tc>
        <w:tc>
          <w:tcPr/>
          <w:p>
            <w:pPr>
              <w:pStyle w:val="Compact"/>
              <w:spacing w:line="240" w:lineRule="auto" w:before="20" w:after="20"/>
              <w:jc w:val="left"/>
            </w:pPr>
            <w:r>
              <w:rPr>
                <w:rFonts w:ascii="Times New Roman" w:hAnsi="Times New Roman" w:cs="Times New Roman" w:eastAsia="Times New Roman"/>
                <w:color w:val="000000"/>
                <w:sz w:val="16"/>
              </w:rPr>
              <w:t xml:space="preserve">0.15</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IID</w:t>
            </w:r>
          </w:p>
        </w:tc>
        <w:tc>
          <w:tcPr/>
          <w:p>
            <w:pPr>
              <w:pStyle w:val="Compact"/>
              <w:spacing w:line="240" w:lineRule="auto" w:before="20" w:after="20"/>
              <w:jc w:val="left"/>
            </w:pPr>
            <w:r>
              <w:rPr>
                <w:rFonts w:ascii="Times New Roman" w:hAnsi="Times New Roman" w:cs="Times New Roman" w:eastAsia="Times New Roman"/>
                <w:color w:val="000000"/>
                <w:sz w:val="16"/>
              </w:rPr>
              <w:t xml:space="preserve">Imperial Irrigation</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436</w:t>
            </w:r>
          </w:p>
        </w:tc>
        <w:tc>
          <w:tcPr/>
          <w:p>
            <w:pPr>
              <w:pStyle w:val="Compact"/>
              <w:spacing w:line="240" w:lineRule="auto" w:before="20" w:after="20"/>
              <w:jc w:val="left"/>
            </w:pPr>
            <w:r>
              <w:rPr>
                <w:rFonts w:ascii="Times New Roman" w:hAnsi="Times New Roman" w:cs="Times New Roman" w:eastAsia="Times New Roman"/>
                <w:color w:val="000000"/>
                <w:sz w:val="16"/>
              </w:rPr>
              <w:t xml:space="preserve">99.73</w:t>
            </w:r>
          </w:p>
        </w:tc>
        <w:tc>
          <w:tcPr/>
          <w:p>
            <w:pPr>
              <w:pStyle w:val="Compact"/>
              <w:spacing w:line="240" w:lineRule="auto" w:before="20" w:after="20"/>
              <w:jc w:val="left"/>
            </w:pPr>
            <w:r>
              <w:rPr>
                <w:rFonts w:ascii="Times New Roman" w:hAnsi="Times New Roman" w:cs="Times New Roman" w:eastAsia="Times New Roman"/>
                <w:color w:val="000000"/>
                <w:sz w:val="16"/>
              </w:rPr>
              <w:t xml:space="preserve">1.08</w:t>
            </w:r>
          </w:p>
        </w:tc>
        <w:tc>
          <w:tcPr/>
          <w:p>
            <w:pPr>
              <w:pStyle w:val="Compact"/>
              <w:spacing w:line="240" w:lineRule="auto" w:before="20" w:after="20"/>
              <w:jc w:val="left"/>
            </w:pPr>
            <w:r>
              <w:rPr>
                <w:rFonts w:ascii="Times New Roman" w:hAnsi="Times New Roman" w:cs="Times New Roman" w:eastAsia="Times New Roman"/>
                <w:color w:val="000000"/>
                <w:sz w:val="16"/>
              </w:rPr>
              <w:t xml:space="preserve">3</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TIDC</w:t>
            </w:r>
          </w:p>
        </w:tc>
        <w:tc>
          <w:tcPr/>
          <w:p>
            <w:pPr>
              <w:pStyle w:val="Compact"/>
              <w:spacing w:line="240" w:lineRule="auto" w:before="20" w:after="20"/>
              <w:jc w:val="left"/>
            </w:pPr>
            <w:r>
              <w:rPr>
                <w:rFonts w:ascii="Times New Roman" w:hAnsi="Times New Roman" w:cs="Times New Roman" w:eastAsia="Times New Roman"/>
                <w:color w:val="000000"/>
                <w:sz w:val="16"/>
              </w:rPr>
              <w:t xml:space="preserve">Turlock Irrigation District</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327</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w:t>
            </w:r>
          </w:p>
        </w:tc>
        <w:tc>
          <w:tcPr/>
          <w:p>
            <w:pPr>
              <w:pStyle w:val="Compact"/>
              <w:spacing w:line="240" w:lineRule="auto" w:before="20" w:after="20"/>
              <w:jc w:val="left"/>
            </w:pPr>
            <w:r>
              <w:rPr>
                <w:rFonts w:ascii="Times New Roman" w:hAnsi="Times New Roman" w:cs="Times New Roman" w:eastAsia="Times New Roman"/>
                <w:color w:val="000000"/>
                <w:sz w:val="16"/>
              </w:rPr>
              <w:t xml:space="preserve">0.72</w:t>
            </w:r>
          </w:p>
        </w:tc>
        <w:tc>
          <w:tcPr/>
          <w:p>
            <w:pPr>
              <w:pStyle w:val="Compact"/>
              <w:spacing w:line="240" w:lineRule="auto" w:before="20" w:after="20"/>
              <w:jc w:val="left"/>
            </w:pPr>
            <w:r>
              <w:rPr>
                <w:rFonts w:ascii="Times New Roman" w:hAnsi="Times New Roman" w:cs="Times New Roman" w:eastAsia="Times New Roman"/>
                <w:color w:val="000000"/>
                <w:sz w:val="16"/>
              </w:rPr>
              <w:t xml:space="preserve">4</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TAL</w:t>
            </w:r>
          </w:p>
        </w:tc>
        <w:tc>
          <w:tcPr/>
          <w:p>
            <w:pPr>
              <w:pStyle w:val="Compact"/>
              <w:spacing w:line="240" w:lineRule="auto" w:before="20" w:after="20"/>
              <w:jc w:val="left"/>
            </w:pPr>
            <w:r>
              <w:rPr>
                <w:rFonts w:ascii="Times New Roman" w:hAnsi="Times New Roman" w:cs="Times New Roman" w:eastAsia="Times New Roman"/>
                <w:color w:val="000000"/>
                <w:sz w:val="16"/>
              </w:rPr>
              <w:t xml:space="preserve">City of Tallahassee</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320</w:t>
            </w:r>
          </w:p>
        </w:tc>
        <w:tc>
          <w:tcPr/>
          <w:p>
            <w:pPr>
              <w:pStyle w:val="Compact"/>
              <w:spacing w:line="240" w:lineRule="auto" w:before="20" w:after="20"/>
              <w:jc w:val="left"/>
            </w:pPr>
            <w:r>
              <w:rPr>
                <w:rFonts w:ascii="Times New Roman" w:hAnsi="Times New Roman" w:cs="Times New Roman" w:eastAsia="Times New Roman"/>
                <w:color w:val="000000"/>
                <w:sz w:val="16"/>
              </w:rPr>
              <w:t xml:space="preserve">98.83</w:t>
            </w:r>
          </w:p>
        </w:tc>
        <w:tc>
          <w:tcPr/>
          <w:p>
            <w:pPr>
              <w:pStyle w:val="Compact"/>
              <w:spacing w:line="240" w:lineRule="auto" w:before="20" w:after="20"/>
              <w:jc w:val="left"/>
            </w:pPr>
            <w:r>
              <w:rPr>
                <w:rFonts w:ascii="Times New Roman" w:hAnsi="Times New Roman" w:cs="Times New Roman" w:eastAsia="Times New Roman"/>
                <w:color w:val="000000"/>
                <w:sz w:val="16"/>
              </w:rPr>
              <w:t xml:space="preserve">1.29</w:t>
            </w:r>
          </w:p>
        </w:tc>
        <w:tc>
          <w:tcPr/>
          <w:p>
            <w:pPr>
              <w:pStyle w:val="Compact"/>
              <w:spacing w:line="240" w:lineRule="auto" w:before="20" w:after="20"/>
              <w:jc w:val="left"/>
            </w:pPr>
            <w:r>
              <w:rPr>
                <w:rFonts w:ascii="Times New Roman" w:hAnsi="Times New Roman" w:cs="Times New Roman" w:eastAsia="Times New Roman"/>
                <w:color w:val="000000"/>
                <w:sz w:val="16"/>
              </w:rPr>
              <w:t xml:space="preserve">2</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DOPD</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Utility of Douglas County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240</w:t>
            </w:r>
          </w:p>
        </w:tc>
        <w:tc>
          <w:tcPr/>
          <w:p>
            <w:pPr>
              <w:pStyle w:val="Compact"/>
              <w:spacing w:line="240" w:lineRule="auto" w:before="20" w:after="20"/>
              <w:jc w:val="left"/>
            </w:pPr>
            <w:r>
              <w:rPr>
                <w:rFonts w:ascii="Times New Roman" w:hAnsi="Times New Roman" w:cs="Times New Roman" w:eastAsia="Times New Roman"/>
                <w:color w:val="000000"/>
                <w:sz w:val="16"/>
              </w:rPr>
              <w:t xml:space="preserve">97.69</w:t>
            </w:r>
          </w:p>
        </w:tc>
        <w:tc>
          <w:tcPr/>
          <w:p>
            <w:pPr>
              <w:pStyle w:val="Compact"/>
              <w:spacing w:line="240" w:lineRule="auto" w:before="20" w:after="20"/>
              <w:jc w:val="left"/>
            </w:pPr>
            <w:r>
              <w:rPr>
                <w:rFonts w:ascii="Times New Roman" w:hAnsi="Times New Roman" w:cs="Times New Roman" w:eastAsia="Times New Roman"/>
                <w:color w:val="000000"/>
                <w:sz w:val="16"/>
              </w:rPr>
              <w:t xml:space="preserve">3.07</w:t>
            </w:r>
          </w:p>
        </w:tc>
        <w:tc>
          <w:tcPr/>
          <w:p>
            <w:pPr>
              <w:pStyle w:val="Compact"/>
              <w:spacing w:line="240" w:lineRule="auto" w:before="20" w:after="20"/>
              <w:jc w:val="left"/>
            </w:pPr>
            <w:r>
              <w:rPr>
                <w:rFonts w:ascii="Times New Roman" w:hAnsi="Times New Roman" w:cs="Times New Roman" w:eastAsia="Times New Roman"/>
                <w:color w:val="000000"/>
                <w:sz w:val="16"/>
              </w:rPr>
              <w:t xml:space="preserve">1</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GVL</w:t>
            </w:r>
          </w:p>
        </w:tc>
        <w:tc>
          <w:tcPr/>
          <w:p>
            <w:pPr>
              <w:pStyle w:val="Compact"/>
              <w:spacing w:line="240" w:lineRule="auto" w:before="20" w:after="20"/>
              <w:jc w:val="left"/>
            </w:pPr>
            <w:r>
              <w:rPr>
                <w:rFonts w:ascii="Times New Roman" w:hAnsi="Times New Roman" w:cs="Times New Roman" w:eastAsia="Times New Roman"/>
                <w:color w:val="000000"/>
                <w:sz w:val="16"/>
              </w:rPr>
              <w:t xml:space="preserve">Gainesville Regional</w:t>
            </w:r>
          </w:p>
        </w:tc>
        <w:tc>
          <w:tcPr/>
          <w:p>
            <w:pPr>
              <w:pStyle w:val="Compact"/>
              <w:spacing w:line="240" w:lineRule="auto" w:before="20" w:after="20"/>
              <w:jc w:val="left"/>
            </w:pPr>
            <w:r>
              <w:rPr>
                <w:rFonts w:ascii="Times New Roman" w:hAnsi="Times New Roman" w:cs="Times New Roman" w:eastAsia="Times New Roman"/>
                <w:color w:val="000000"/>
                <w:sz w:val="16"/>
              </w:rPr>
              <w:t xml:space="preserve">eastern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237</w:t>
            </w:r>
          </w:p>
        </w:tc>
        <w:tc>
          <w:tcPr/>
          <w:p>
            <w:pPr>
              <w:pStyle w:val="Compact"/>
              <w:spacing w:line="240" w:lineRule="auto" w:before="20" w:after="20"/>
              <w:jc w:val="left"/>
            </w:pPr>
            <w:r>
              <w:rPr>
                <w:rFonts w:ascii="Times New Roman" w:hAnsi="Times New Roman" w:cs="Times New Roman" w:eastAsia="Times New Roman"/>
                <w:color w:val="000000"/>
                <w:sz w:val="16"/>
              </w:rPr>
              <w:t xml:space="preserve">97.89</w:t>
            </w:r>
          </w:p>
        </w:tc>
        <w:tc>
          <w:tcPr/>
          <w:p>
            <w:pPr>
              <w:pStyle w:val="Compact"/>
              <w:spacing w:line="240" w:lineRule="auto" w:before="20" w:after="20"/>
              <w:jc w:val="left"/>
            </w:pPr>
            <w:r>
              <w:rPr>
                <w:rFonts w:ascii="Times New Roman" w:hAnsi="Times New Roman" w:cs="Times New Roman" w:eastAsia="Times New Roman"/>
                <w:color w:val="000000"/>
                <w:sz w:val="16"/>
              </w:rPr>
              <w:t xml:space="preserve">2.66</w:t>
            </w:r>
          </w:p>
        </w:tc>
        <w:tc>
          <w:tcPr/>
          <w:p>
            <w:pPr>
              <w:pStyle w:val="Compact"/>
              <w:spacing w:line="240" w:lineRule="auto" w:before="20" w:after="20"/>
              <w:jc w:val="left"/>
            </w:pPr>
            <w:r>
              <w:rPr>
                <w:rFonts w:ascii="Times New Roman" w:hAnsi="Times New Roman" w:cs="Times New Roman" w:eastAsia="Times New Roman"/>
                <w:color w:val="000000"/>
                <w:sz w:val="16"/>
              </w:rPr>
              <w:t xml:space="preserve">5</w:t>
            </w:r>
          </w:p>
        </w:tc>
      </w:tr>
      <w:tr>
        <w:tc>
          <w:tcPr/>
          <w:p>
            <w:pPr>
              <w:pStyle w:val="Compact"/>
              <w:spacing w:line="240" w:lineRule="auto" w:before="20" w:after="20"/>
              <w:jc w:val="left"/>
            </w:pPr>
            <w:r>
              <w:rPr>
                <w:rFonts w:ascii="Times New Roman" w:hAnsi="Times New Roman" w:cs="Times New Roman" w:eastAsia="Times New Roman"/>
                <w:color w:val="000000"/>
                <w:sz w:val="16"/>
              </w:rPr>
              <w:t xml:space="preserve">CHPD</w:t>
            </w:r>
          </w:p>
        </w:tc>
        <w:tc>
          <w:tcPr/>
          <w:p>
            <w:pPr>
              <w:pStyle w:val="Compact"/>
              <w:spacing w:line="240" w:lineRule="auto" w:before="20" w:after="20"/>
              <w:jc w:val="left"/>
            </w:pPr>
            <w:r>
              <w:rPr>
                <w:rFonts w:ascii="Times New Roman" w:hAnsi="Times New Roman" w:cs="Times New Roman" w:eastAsia="Times New Roman"/>
                <w:color w:val="000000"/>
                <w:sz w:val="16"/>
              </w:rPr>
              <w:t xml:space="preserve">Public Utility District of Chelan County</w:t>
            </w:r>
          </w:p>
        </w:tc>
        <w:tc>
          <w:tcPr/>
          <w:p>
            <w:pPr>
              <w:pStyle w:val="Compact"/>
              <w:spacing w:line="240" w:lineRule="auto" w:before="20" w:after="20"/>
              <w:jc w:val="left"/>
            </w:pPr>
            <w:r>
              <w:rPr>
                <w:rFonts w:ascii="Times New Roman" w:hAnsi="Times New Roman" w:cs="Times New Roman" w:eastAsia="Times New Roman"/>
                <w:color w:val="000000"/>
                <w:sz w:val="16"/>
              </w:rPr>
              <w:t xml:space="preserve">western</w:t>
            </w:r>
          </w:p>
        </w:tc>
        <w:tc>
          <w:tcPr/>
          <w:p>
            <w:pPr>
              <w:pStyle w:val="Compact"/>
              <w:spacing w:line="240" w:lineRule="auto" w:before="20" w:after="20"/>
              <w:jc w:val="left"/>
            </w:pPr>
            <w:r>
              <w:rPr>
                <w:rFonts w:ascii="Times New Roman" w:hAnsi="Times New Roman" w:cs="Times New Roman" w:eastAsia="Times New Roman"/>
                <w:color w:val="000000"/>
                <w:sz w:val="16"/>
              </w:rPr>
              <w:t xml:space="preserve">218</w:t>
            </w:r>
          </w:p>
        </w:tc>
        <w:tc>
          <w:tcPr/>
          <w:p>
            <w:pPr>
              <w:pStyle w:val="Compact"/>
              <w:spacing w:line="240" w:lineRule="auto" w:before="20" w:after="20"/>
              <w:jc w:val="left"/>
            </w:pPr>
            <w:r>
              <w:rPr>
                <w:rFonts w:ascii="Times New Roman" w:hAnsi="Times New Roman" w:cs="Times New Roman" w:eastAsia="Times New Roman"/>
                <w:color w:val="000000"/>
                <w:sz w:val="16"/>
              </w:rPr>
              <w:t xml:space="preserve">99.89</w:t>
            </w:r>
          </w:p>
        </w:tc>
        <w:tc>
          <w:tcPr/>
          <w:p>
            <w:pPr>
              <w:pStyle w:val="Compact"/>
              <w:spacing w:line="240" w:lineRule="auto" w:before="20" w:after="20"/>
              <w:jc w:val="left"/>
            </w:pPr>
            <w:r>
              <w:rPr>
                <w:rFonts w:ascii="Times New Roman" w:hAnsi="Times New Roman" w:cs="Times New Roman" w:eastAsia="Times New Roman"/>
                <w:color w:val="000000"/>
                <w:sz w:val="16"/>
              </w:rPr>
              <w:t xml:space="preserve">0.44</w:t>
            </w:r>
          </w:p>
        </w:tc>
        <w:tc>
          <w:tcPr/>
          <w:p>
            <w:pPr>
              <w:pStyle w:val="Compact"/>
              <w:spacing w:line="240" w:lineRule="auto" w:before="20" w:after="20"/>
              <w:jc w:val="left"/>
            </w:pPr>
            <w:r>
              <w:rPr>
                <w:rFonts w:ascii="Times New Roman" w:hAnsi="Times New Roman" w:cs="Times New Roman" w:eastAsia="Times New Roman"/>
                <w:color w:val="000000"/>
                <w:sz w:val="16"/>
              </w:rPr>
              <w:t xml:space="preserve">0</w:t>
            </w:r>
          </w:p>
        </w:tc>
      </w:tr>
    </w:tbl>
    <w:bookmarkEnd w:id="205"/>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4"/>
    </w:rPr>
  </w:style>
  <w:style w:styleId="BodyText" w:type="paragraph">
    <w:name w:val="Body Text"/>
    <w:basedOn w:val="Normal"/>
    <w:link w:val="BodyTextChar"/>
    <w:pPr>
      <w:spacing w:after="180" w:before="18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rPr>
      <w:rFonts w:ascii="Times New Roman" w:cs="Times New Roman" w:eastAsia="Times New Roman" w:hAnsi="Times New Roman"/>
      <w:color w:val="000000"/>
      <w:sz w:val="24"/>
    </w:rPr>
  </w:style>
  <w:style w:customStyle="1" w:styleId="Compact" w:type="paragraph">
    <w:name w:val="Compact"/>
    <w:basedOn w:val="BodyText"/>
    <w:qFormat/>
    <w:pPr>
      <w:spacing w:after="36" w:before="36"/>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rPr>
      <w:rFonts w:ascii="Times New Roman" w:cs="Times New Roman" w:eastAsia="Times New Roman" w:hAnsi="Times New Roman"/>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color w:val="000000"/>
    </w:rPr>
  </w:style>
  <w:style w:customStyle="1" w:styleId="ImageCaption" w:type="paragraph">
    <w:name w:val="Image Caption"/>
    <w:basedOn w:val="Caption"/>
    <w:rPr>
      <w:rFonts w:ascii="Times New Roman" w:cs="Times New Roman" w:eastAsia="Times New Roman" w:hAnsi="Times New Roman"/>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FigureCaption">
    <w:name w:val="Figure Cap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47" Type="http://schemas.openxmlformats.org/officeDocument/2006/relationships/image" Target="media/rId47.png"/><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71" Type="http://schemas.openxmlformats.org/officeDocument/2006/relationships/image" Target="media/rId71.png"/><Relationship Id="rId75" Type="http://schemas.openxmlformats.org/officeDocument/2006/relationships/image" Target="media/rId75.png"/><Relationship Id="rId82" Type="http://schemas.openxmlformats.org/officeDocument/2006/relationships/image" Target="media/rId82.png"/><Relationship Id="rId166" Type="http://schemas.openxmlformats.org/officeDocument/2006/relationships/hyperlink" Target="https://arxiv.org/abs/1905.10437" TargetMode="External"/><Relationship Id="rId164" Type="http://schemas.openxmlformats.org/officeDocument/2006/relationships/hyperlink" Target="https://arxiv.org/abs/2009.06527" TargetMode="External"/><Relationship Id="rId120" Type="http://schemas.openxmlformats.org/officeDocument/2006/relationships/hyperlink" Target="https://arxiv.org/abs/2310.03589" TargetMode="External"/><Relationship Id="rId170" Type="http://schemas.openxmlformats.org/officeDocument/2006/relationships/hyperlink" Target="https://arxiv.org/abs/2310.08278" TargetMode="External"/><Relationship Id="rId100" Type="http://schemas.openxmlformats.org/officeDocument/2006/relationships/hyperlink" Target="https://arxiv.org/abs/2403.07815" TargetMode="External"/><Relationship Id="rId97" Type="http://schemas.openxmlformats.org/officeDocument/2006/relationships/hyperlink" Target="https://arxiv.org/abs/2507.11729" TargetMode="External"/><Relationship Id="rId154" Type="http://schemas.openxmlformats.org/officeDocument/2006/relationships/hyperlink" Target="https://arxiv.org/abs/2509.08214" TargetMode="External"/><Relationship Id="rId180" Type="http://schemas.openxmlformats.org/officeDocument/2006/relationships/hyperlink" Target="https://arxiv.org/abs/2602.10848" TargetMode="External"/><Relationship Id="rId132" Type="http://schemas.openxmlformats.org/officeDocument/2006/relationships/hyperlink" Target="https://arxiv.org/abs/2602.21415" TargetMode="External"/><Relationship Id="rId193" Type="http://schemas.openxmlformats.org/officeDocument/2006/relationships/hyperlink" Target="https://doi.org/10.1007/b106715" TargetMode="External"/><Relationship Id="rId127" Type="http://schemas.openxmlformats.org/officeDocument/2006/relationships/hyperlink" Target="https://doi.org/10.1007/s10618-022-00894-5" TargetMode="External"/><Relationship Id="rId130" Type="http://schemas.openxmlformats.org/officeDocument/2006/relationships/hyperlink" Target="https://doi.org/10.1016/j.apenergy.2018.04.048" TargetMode="External"/><Relationship Id="rId195" Type="http://schemas.openxmlformats.org/officeDocument/2006/relationships/hyperlink" Target="https://doi.org/10.1016/j.apenergy.2018.11.097" TargetMode="External"/><Relationship Id="rId150" Type="http://schemas.openxmlformats.org/officeDocument/2006/relationships/hyperlink" Target="https://doi.org/10.1016/j.apenergy.2021.116983" TargetMode="External"/><Relationship Id="rId109" Type="http://schemas.openxmlformats.org/officeDocument/2006/relationships/hyperlink" Target="https://doi.org/10.1016/j.csda.2017.11.003" TargetMode="External"/><Relationship Id="rId200" Type="http://schemas.openxmlformats.org/officeDocument/2006/relationships/hyperlink" Target="https://doi.org/10.1016/j.engappai.2025.113104" TargetMode="External"/><Relationship Id="rId143" Type="http://schemas.openxmlformats.org/officeDocument/2006/relationships/hyperlink" Target="https://doi.org/10.1016/j.ijforecast.2006.03.001" TargetMode="External"/><Relationship Id="rId136" Type="http://schemas.openxmlformats.org/officeDocument/2006/relationships/hyperlink" Target="https://doi.org/10.1016/j.ijforecast.2013.07.001" TargetMode="External"/><Relationship Id="rId134" Type="http://schemas.openxmlformats.org/officeDocument/2006/relationships/hyperlink" Target="https://doi.org/10.1016/j.ijforecast.2015.11.011" TargetMode="External"/><Relationship Id="rId141" Type="http://schemas.openxmlformats.org/officeDocument/2006/relationships/hyperlink" Target="https://doi.org/10.1016/j.ijforecast.2019.02.006" TargetMode="External"/><Relationship Id="rId178" Type="http://schemas.openxmlformats.org/officeDocument/2006/relationships/hyperlink" Target="https://doi.org/10.1016/j.ijforecast.2019.07.001" TargetMode="External"/><Relationship Id="rId162" Type="http://schemas.openxmlformats.org/officeDocument/2006/relationships/hyperlink" Target="https://doi.org/10.1016/j.ijforecast.2021.03.004" TargetMode="External"/><Relationship Id="rId156" Type="http://schemas.openxmlformats.org/officeDocument/2006/relationships/hyperlink" Target="https://doi.org/10.1016/j.ijforecast.2021.11.013" TargetMode="External"/><Relationship Id="rId102" Type="http://schemas.openxmlformats.org/officeDocument/2006/relationships/hyperlink" Target="https://doi.org/10.1016/j.ijforecast.2023.04.006" TargetMode="External"/><Relationship Id="rId107" Type="http://schemas.openxmlformats.org/officeDocument/2006/relationships/hyperlink" Target="https://doi.org/10.1016/j.ins.2011.12.028" TargetMode="External"/><Relationship Id="rId176" Type="http://schemas.openxmlformats.org/officeDocument/2006/relationships/hyperlink" Target="https://doi.org/10.1038/s41597-020-0483-x" TargetMode="External"/><Relationship Id="rId168" Type="http://schemas.openxmlformats.org/officeDocument/2006/relationships/hyperlink" Target="https://doi.org/10.1080/01621459.1994.10476870" TargetMode="External"/><Relationship Id="rId152" Type="http://schemas.openxmlformats.org/officeDocument/2006/relationships/hyperlink" Target="https://doi.org/10.1080/01621459.2017.1307116" TargetMode="External"/><Relationship Id="rId160" Type="http://schemas.openxmlformats.org/officeDocument/2006/relationships/hyperlink" Target="https://doi.org/10.1109/ACCESS.2025.3648056" TargetMode="External"/><Relationship Id="rId139" Type="http://schemas.openxmlformats.org/officeDocument/2006/relationships/hyperlink" Target="https://doi.org/10.1109/OAJPE.2020.3029979" TargetMode="External"/><Relationship Id="rId118" Type="http://schemas.openxmlformats.org/officeDocument/2006/relationships/hyperlink" Target="https://doi.org/10.1109/OAJPE.2022.3161101" TargetMode="External"/><Relationship Id="rId191" Type="http://schemas.openxmlformats.org/officeDocument/2006/relationships/hyperlink" Target="https://doi.org/10.1109/TPWRS.2023.3310280" TargetMode="External"/><Relationship Id="rId182" Type="http://schemas.openxmlformats.org/officeDocument/2006/relationships/hyperlink" Target="https://doi.org/10.1109/TSG.2023.3272379" TargetMode="External"/><Relationship Id="rId173" Type="http://schemas.openxmlformats.org/officeDocument/2006/relationships/hyperlink" Target="https://doi.org/10.1111/ecog.02881" TargetMode="External"/><Relationship Id="rId123" Type="http://schemas.openxmlformats.org/officeDocument/2006/relationships/hyperlink" Target="https://doi.org/10.1111/j.1467-9868.2007.00587.x" TargetMode="External"/><Relationship Id="rId125" Type="http://schemas.openxmlformats.org/officeDocument/2006/relationships/hyperlink" Target="https://doi.org/10.1198/016214506000001437" TargetMode="External"/><Relationship Id="rId105" Type="http://schemas.openxmlformats.org/officeDocument/2006/relationships/hyperlink" Target="https://doi.org/10.1214/23-AOS2276" TargetMode="External"/><Relationship Id="rId148" Type="http://schemas.openxmlformats.org/officeDocument/2006/relationships/hyperlink" Target="https://doi.org/10.1214/aos/1176347265" TargetMode="External"/><Relationship Id="rId146" Type="http://schemas.openxmlformats.org/officeDocument/2006/relationships/hyperlink" Target="https://doi.org/10.2307/1913643" TargetMode="External"/><Relationship Id="rId186" Type="http://schemas.openxmlformats.org/officeDocument/2006/relationships/hyperlink" Target="https://doi.org/10.3390/en18030742" TargetMode="External"/><Relationship Id="rId113" Type="http://schemas.openxmlformats.org/officeDocument/2006/relationships/hyperlink" Target="https://doi.org/10.5281/zenodo.22525116" TargetMode="External"/><Relationship Id="rId158" Type="http://schemas.openxmlformats.org/officeDocument/2006/relationships/hyperlink" Target="https://energy-proceedings.org/?p=10898" TargetMode="External"/><Relationship Id="rId188" Type="http://schemas.openxmlformats.org/officeDocument/2006/relationships/hyperlink" Target="https://www.mdpi.com/2227-7390/12/1/1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6" Type="http://schemas.openxmlformats.org/officeDocument/2006/relationships/hyperlink" Target="https://arxiv.org/abs/1905.10437" TargetMode="External"/><Relationship Id="rId164" Type="http://schemas.openxmlformats.org/officeDocument/2006/relationships/hyperlink" Target="https://arxiv.org/abs/2009.06527" TargetMode="External"/><Relationship Id="rId120" Type="http://schemas.openxmlformats.org/officeDocument/2006/relationships/hyperlink" Target="https://arxiv.org/abs/2310.03589" TargetMode="External"/><Relationship Id="rId170" Type="http://schemas.openxmlformats.org/officeDocument/2006/relationships/hyperlink" Target="https://arxiv.org/abs/2310.08278" TargetMode="External"/><Relationship Id="rId100" Type="http://schemas.openxmlformats.org/officeDocument/2006/relationships/hyperlink" Target="https://arxiv.org/abs/2403.07815" TargetMode="External"/><Relationship Id="rId97" Type="http://schemas.openxmlformats.org/officeDocument/2006/relationships/hyperlink" Target="https://arxiv.org/abs/2507.11729" TargetMode="External"/><Relationship Id="rId154" Type="http://schemas.openxmlformats.org/officeDocument/2006/relationships/hyperlink" Target="https://arxiv.org/abs/2509.08214" TargetMode="External"/><Relationship Id="rId180" Type="http://schemas.openxmlformats.org/officeDocument/2006/relationships/hyperlink" Target="https://arxiv.org/abs/2602.10848" TargetMode="External"/><Relationship Id="rId132" Type="http://schemas.openxmlformats.org/officeDocument/2006/relationships/hyperlink" Target="https://arxiv.org/abs/2602.21415" TargetMode="External"/><Relationship Id="rId193" Type="http://schemas.openxmlformats.org/officeDocument/2006/relationships/hyperlink" Target="https://doi.org/10.1007/b106715" TargetMode="External"/><Relationship Id="rId127" Type="http://schemas.openxmlformats.org/officeDocument/2006/relationships/hyperlink" Target="https://doi.org/10.1007/s10618-022-00894-5" TargetMode="External"/><Relationship Id="rId130" Type="http://schemas.openxmlformats.org/officeDocument/2006/relationships/hyperlink" Target="https://doi.org/10.1016/j.apenergy.2018.04.048" TargetMode="External"/><Relationship Id="rId195" Type="http://schemas.openxmlformats.org/officeDocument/2006/relationships/hyperlink" Target="https://doi.org/10.1016/j.apenergy.2018.11.097" TargetMode="External"/><Relationship Id="rId150" Type="http://schemas.openxmlformats.org/officeDocument/2006/relationships/hyperlink" Target="https://doi.org/10.1016/j.apenergy.2021.116983" TargetMode="External"/><Relationship Id="rId109" Type="http://schemas.openxmlformats.org/officeDocument/2006/relationships/hyperlink" Target="https://doi.org/10.1016/j.csda.2017.11.003" TargetMode="External"/><Relationship Id="rId200" Type="http://schemas.openxmlformats.org/officeDocument/2006/relationships/hyperlink" Target="https://doi.org/10.1016/j.engappai.2025.113104" TargetMode="External"/><Relationship Id="rId143" Type="http://schemas.openxmlformats.org/officeDocument/2006/relationships/hyperlink" Target="https://doi.org/10.1016/j.ijforecast.2006.03.001" TargetMode="External"/><Relationship Id="rId136" Type="http://schemas.openxmlformats.org/officeDocument/2006/relationships/hyperlink" Target="https://doi.org/10.1016/j.ijforecast.2013.07.001" TargetMode="External"/><Relationship Id="rId134" Type="http://schemas.openxmlformats.org/officeDocument/2006/relationships/hyperlink" Target="https://doi.org/10.1016/j.ijforecast.2015.11.011" TargetMode="External"/><Relationship Id="rId141" Type="http://schemas.openxmlformats.org/officeDocument/2006/relationships/hyperlink" Target="https://doi.org/10.1016/j.ijforecast.2019.02.006" TargetMode="External"/><Relationship Id="rId178" Type="http://schemas.openxmlformats.org/officeDocument/2006/relationships/hyperlink" Target="https://doi.org/10.1016/j.ijforecast.2019.07.001" TargetMode="External"/><Relationship Id="rId162" Type="http://schemas.openxmlformats.org/officeDocument/2006/relationships/hyperlink" Target="https://doi.org/10.1016/j.ijforecast.2021.03.004" TargetMode="External"/><Relationship Id="rId156" Type="http://schemas.openxmlformats.org/officeDocument/2006/relationships/hyperlink" Target="https://doi.org/10.1016/j.ijforecast.2021.11.013" TargetMode="External"/><Relationship Id="rId102" Type="http://schemas.openxmlformats.org/officeDocument/2006/relationships/hyperlink" Target="https://doi.org/10.1016/j.ijforecast.2023.04.006" TargetMode="External"/><Relationship Id="rId107" Type="http://schemas.openxmlformats.org/officeDocument/2006/relationships/hyperlink" Target="https://doi.org/10.1016/j.ins.2011.12.028" TargetMode="External"/><Relationship Id="rId176" Type="http://schemas.openxmlformats.org/officeDocument/2006/relationships/hyperlink" Target="https://doi.org/10.1038/s41597-020-0483-x" TargetMode="External"/><Relationship Id="rId168" Type="http://schemas.openxmlformats.org/officeDocument/2006/relationships/hyperlink" Target="https://doi.org/10.1080/01621459.1994.10476870" TargetMode="External"/><Relationship Id="rId152" Type="http://schemas.openxmlformats.org/officeDocument/2006/relationships/hyperlink" Target="https://doi.org/10.1080/01621459.2017.1307116" TargetMode="External"/><Relationship Id="rId160" Type="http://schemas.openxmlformats.org/officeDocument/2006/relationships/hyperlink" Target="https://doi.org/10.1109/ACCESS.2025.3648056" TargetMode="External"/><Relationship Id="rId139" Type="http://schemas.openxmlformats.org/officeDocument/2006/relationships/hyperlink" Target="https://doi.org/10.1109/OAJPE.2020.3029979" TargetMode="External"/><Relationship Id="rId118" Type="http://schemas.openxmlformats.org/officeDocument/2006/relationships/hyperlink" Target="https://doi.org/10.1109/OAJPE.2022.3161101" TargetMode="External"/><Relationship Id="rId191" Type="http://schemas.openxmlformats.org/officeDocument/2006/relationships/hyperlink" Target="https://doi.org/10.1109/TPWRS.2023.3310280" TargetMode="External"/><Relationship Id="rId182" Type="http://schemas.openxmlformats.org/officeDocument/2006/relationships/hyperlink" Target="https://doi.org/10.1109/TSG.2023.3272379" TargetMode="External"/><Relationship Id="rId173" Type="http://schemas.openxmlformats.org/officeDocument/2006/relationships/hyperlink" Target="https://doi.org/10.1111/ecog.02881" TargetMode="External"/><Relationship Id="rId123" Type="http://schemas.openxmlformats.org/officeDocument/2006/relationships/hyperlink" Target="https://doi.org/10.1111/j.1467-9868.2007.00587.x" TargetMode="External"/><Relationship Id="rId125" Type="http://schemas.openxmlformats.org/officeDocument/2006/relationships/hyperlink" Target="https://doi.org/10.1198/016214506000001437" TargetMode="External"/><Relationship Id="rId105" Type="http://schemas.openxmlformats.org/officeDocument/2006/relationships/hyperlink" Target="https://doi.org/10.1214/23-AOS2276" TargetMode="External"/><Relationship Id="rId148" Type="http://schemas.openxmlformats.org/officeDocument/2006/relationships/hyperlink" Target="https://doi.org/10.1214/aos/1176347265" TargetMode="External"/><Relationship Id="rId146" Type="http://schemas.openxmlformats.org/officeDocument/2006/relationships/hyperlink" Target="https://doi.org/10.2307/1913643" TargetMode="External"/><Relationship Id="rId186" Type="http://schemas.openxmlformats.org/officeDocument/2006/relationships/hyperlink" Target="https://doi.org/10.3390/en18030742" TargetMode="External"/><Relationship Id="rId113" Type="http://schemas.openxmlformats.org/officeDocument/2006/relationships/hyperlink" Target="https://doi.org/10.5281/zenodo.22525116" TargetMode="External"/><Relationship Id="rId158" Type="http://schemas.openxmlformats.org/officeDocument/2006/relationships/hyperlink" Target="https://energy-proceedings.org/?p=10898" TargetMode="External"/><Relationship Id="rId188" Type="http://schemas.openxmlformats.org/officeDocument/2006/relationships/hyperlink" Target="https://www.mdpi.com/2227-7390/12/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Electricity Demand in Unseen Regions: A Leave-Regions-Out Benchmark of Global Models, Short-Window Adaptation and Conformal Calibration across 48 U.S. Balancing Authorities</dc:title>
  <dc:creator/>
  <cp:keywords/>
  <dcterms:created xsi:type="dcterms:W3CDTF">2026-10-16T15:28:08Z</dcterms:created>
  <dcterms:modified xsi:type="dcterms:W3CDTF">2026-10-16T15:28:08Z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/home/user/cross-regional-electricity-forecasting/cross_regional_electricity_forecasting/literature/verified_references.bib</vt:lpwstr>
  </property>
  <property fmtid="{D5CDD505-2E9C-101B-9397-08002B2CF9AE}" pid="3" name="csl">
    <vt:lpwstr>/home/user/cross-regional-electricity-forecasting/cross_regional_electricity_forecasting/manuscript/styles/elsevier-harvard.csl</vt:lpwstr>
  </property>
</Properties>
</file>