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Highlights</w:t>
      </w:r>
    </w:p>
    <w:p>
      <w:pPr>
        <w:pStyle w:val="ListBullet"/>
      </w:pPr>
      <w:r>
        <w:t>Leakage-resistant benchmark: forecasting 48 U.S. balancing authorities never seen</w:t>
      </w:r>
    </w:p>
    <w:p>
      <w:pPr>
        <w:pStyle w:val="ListBullet"/>
      </w:pPr>
      <w:r>
        <w:t>Unseen systems cost 0.5–3.4% median accuracy; more if whole regions are new</w:t>
      </w:r>
    </w:p>
    <w:p>
      <w:pPr>
        <w:pStyle w:val="ListBullet"/>
      </w:pPr>
      <w:r>
        <w:t>Fine-tuning on 1–13 weeks of target data degraded accuracy at every onboarding date</w:t>
      </w:r>
    </w:p>
    <w:p>
      <w:pPr>
        <w:pStyle w:val="ListBullet"/>
      </w:pPr>
      <w:r>
        <w:t>Static conformal intervals under-covered in 21–33% of systems, seen or unseen</w:t>
      </w:r>
    </w:p>
    <w:p>
      <w:pPr>
        <w:pStyle w:val="ListBullet"/>
      </w:pPr>
      <w:r>
        <w:t>Online conformal with a step size tuned on other systems restored coverage</w:t>
      </w:r>
    </w:p>
    <w:p>
      <w:r>
        <w:rPr>
          <w:b w:val="0"/>
          <w:i/>
          <w:sz w:val="20"/>
        </w:rPr>
        <w:t>(Each highlight ≤ 85 characters including spaces, as required by Applied Energy; IJF does not require highlights — verify against the selected journal's Guide for Authors.)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