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E469F" w:rsidRPr="000636B5" w:rsidRDefault="008B0839">
      <w:pPr>
        <w:jc w:val="center"/>
        <w:rPr>
          <w:rFonts w:ascii="Times New Roman" w:hAnsi="Times New Roman" w:cs="Times New Roman"/>
          <w:sz w:val="24"/>
          <w:szCs w:val="24"/>
        </w:rPr>
      </w:pPr>
      <w:r w:rsidRPr="000636B5">
        <w:rPr>
          <w:rFonts w:ascii="Times New Roman" w:hAnsi="Times New Roman" w:cs="Times New Roman"/>
          <w:noProof/>
          <w:sz w:val="24"/>
          <w:szCs w:val="24"/>
        </w:rPr>
        <w:drawing>
          <wp:inline distT="0" distB="0" distL="0" distR="0">
            <wp:extent cx="3200400" cy="609600"/>
            <wp:effectExtent l="0" t="0" r="0" b="0"/>
            <wp:docPr id="3" name="Picture 3"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gu_pubart-white_reduc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00400" cy="609600"/>
                    </a:xfrm>
                    <a:prstGeom prst="rect">
                      <a:avLst/>
                    </a:prstGeom>
                    <a:noFill/>
                    <a:ln>
                      <a:noFill/>
                    </a:ln>
                  </pic:spPr>
                </pic:pic>
              </a:graphicData>
            </a:graphic>
          </wp:inline>
        </w:drawing>
      </w:r>
    </w:p>
    <w:p w:rsidR="004E469F" w:rsidRPr="000636B5" w:rsidRDefault="008B0839">
      <w:pPr>
        <w:spacing w:before="100" w:beforeAutospacing="1" w:after="100" w:afterAutospacing="1"/>
        <w:jc w:val="center"/>
        <w:rPr>
          <w:rFonts w:ascii="Times New Roman" w:hAnsi="Times New Roman" w:cs="Times New Roman"/>
          <w:sz w:val="24"/>
          <w:szCs w:val="24"/>
        </w:rPr>
      </w:pPr>
      <w:r w:rsidRPr="000636B5">
        <w:rPr>
          <w:rFonts w:ascii="Times New Roman" w:hAnsi="Times New Roman" w:cs="Times New Roman"/>
          <w:sz w:val="24"/>
          <w:szCs w:val="24"/>
        </w:rPr>
        <w:t>Geophysical Research Letters</w:t>
      </w:r>
    </w:p>
    <w:p w:rsidR="004E469F" w:rsidRPr="000636B5" w:rsidRDefault="008B0839">
      <w:pPr>
        <w:spacing w:before="100" w:beforeAutospacing="1" w:after="100" w:afterAutospacing="1"/>
        <w:jc w:val="center"/>
        <w:rPr>
          <w:rFonts w:ascii="Times New Roman" w:hAnsi="Times New Roman" w:cs="Times New Roman"/>
          <w:sz w:val="24"/>
          <w:szCs w:val="24"/>
        </w:rPr>
      </w:pPr>
      <w:r w:rsidRPr="000636B5">
        <w:rPr>
          <w:rFonts w:ascii="Times New Roman" w:hAnsi="Times New Roman" w:cs="Times New Roman"/>
          <w:sz w:val="24"/>
          <w:szCs w:val="24"/>
        </w:rPr>
        <w:t>Supporting Information for</w:t>
      </w:r>
    </w:p>
    <w:p w:rsidR="004E469F" w:rsidRPr="000636B5" w:rsidRDefault="008B0839">
      <w:pPr>
        <w:jc w:val="center"/>
        <w:rPr>
          <w:rFonts w:ascii="Times New Roman" w:hAnsi="Times New Roman" w:cs="Times New Roman"/>
          <w:b/>
          <w:sz w:val="24"/>
          <w:szCs w:val="24"/>
        </w:rPr>
      </w:pPr>
      <w:r w:rsidRPr="000636B5">
        <w:rPr>
          <w:rFonts w:ascii="Times New Roman" w:hAnsi="Times New Roman" w:cs="Times New Roman"/>
          <w:b/>
          <w:sz w:val="24"/>
          <w:szCs w:val="24"/>
        </w:rPr>
        <w:t>A Geothermal heat flux map of Antarctica empirically constrained by seismic structure</w:t>
      </w:r>
    </w:p>
    <w:p w:rsidR="004E469F" w:rsidRPr="000636B5" w:rsidRDefault="004E469F">
      <w:pPr>
        <w:spacing w:before="100" w:beforeAutospacing="1" w:after="100" w:afterAutospacing="1"/>
        <w:jc w:val="center"/>
        <w:rPr>
          <w:rFonts w:ascii="Times New Roman" w:hAnsi="Times New Roman" w:cs="Times New Roman"/>
          <w:b/>
          <w:sz w:val="24"/>
          <w:szCs w:val="24"/>
        </w:rPr>
      </w:pPr>
    </w:p>
    <w:p w:rsidR="004E469F" w:rsidRPr="000636B5" w:rsidRDefault="008B0839">
      <w:pPr>
        <w:jc w:val="center"/>
        <w:rPr>
          <w:rFonts w:ascii="Times New Roman" w:hAnsi="Times New Roman" w:cs="Times New Roman"/>
          <w:sz w:val="24"/>
          <w:szCs w:val="24"/>
        </w:rPr>
      </w:pPr>
      <w:proofErr w:type="spellStart"/>
      <w:r w:rsidRPr="000636B5">
        <w:rPr>
          <w:rFonts w:ascii="Times New Roman" w:hAnsi="Times New Roman" w:cs="Times New Roman"/>
          <w:sz w:val="24"/>
          <w:szCs w:val="24"/>
        </w:rPr>
        <w:t>Weisen</w:t>
      </w:r>
      <w:proofErr w:type="spellEnd"/>
      <w:r w:rsidRPr="000636B5">
        <w:rPr>
          <w:rFonts w:ascii="Times New Roman" w:hAnsi="Times New Roman" w:cs="Times New Roman"/>
          <w:sz w:val="24"/>
          <w:szCs w:val="24"/>
        </w:rPr>
        <w:t xml:space="preserve"> Shen</w:t>
      </w:r>
      <w:r w:rsidRPr="000636B5">
        <w:rPr>
          <w:rFonts w:ascii="Times New Roman" w:hAnsi="Times New Roman" w:cs="Times New Roman"/>
          <w:sz w:val="24"/>
          <w:szCs w:val="24"/>
          <w:vertAlign w:val="superscript"/>
        </w:rPr>
        <w:t>1</w:t>
      </w:r>
      <w:r w:rsidRPr="000636B5">
        <w:rPr>
          <w:rFonts w:ascii="Times New Roman" w:hAnsi="Times New Roman" w:cs="Times New Roman"/>
          <w:sz w:val="24"/>
          <w:szCs w:val="24"/>
        </w:rPr>
        <w:t>, Douglas Wiens</w:t>
      </w:r>
      <w:r w:rsidRPr="000636B5">
        <w:rPr>
          <w:rFonts w:ascii="Times New Roman" w:hAnsi="Times New Roman" w:cs="Times New Roman"/>
          <w:sz w:val="24"/>
          <w:szCs w:val="24"/>
          <w:vertAlign w:val="superscript"/>
        </w:rPr>
        <w:t>2</w:t>
      </w:r>
      <w:r w:rsidRPr="000636B5">
        <w:rPr>
          <w:rFonts w:ascii="Times New Roman" w:hAnsi="Times New Roman" w:cs="Times New Roman"/>
          <w:sz w:val="24"/>
          <w:szCs w:val="24"/>
        </w:rPr>
        <w:t>, Andrew Lloyd</w:t>
      </w:r>
      <w:r w:rsidRPr="000636B5">
        <w:rPr>
          <w:rFonts w:ascii="Times New Roman" w:hAnsi="Times New Roman" w:cs="Times New Roman"/>
          <w:sz w:val="24"/>
          <w:szCs w:val="24"/>
          <w:vertAlign w:val="superscript"/>
        </w:rPr>
        <w:t>2</w:t>
      </w:r>
      <w:r w:rsidR="000636B5">
        <w:rPr>
          <w:rFonts w:ascii="Times New Roman" w:hAnsi="Times New Roman" w:cs="Times New Roman"/>
          <w:sz w:val="24"/>
          <w:szCs w:val="24"/>
          <w:vertAlign w:val="superscript"/>
        </w:rPr>
        <w:t>,3</w:t>
      </w:r>
      <w:r w:rsidRPr="000636B5">
        <w:rPr>
          <w:rFonts w:ascii="Times New Roman" w:hAnsi="Times New Roman" w:cs="Times New Roman"/>
          <w:sz w:val="24"/>
          <w:szCs w:val="24"/>
        </w:rPr>
        <w:t>, Andy Nyblade</w:t>
      </w:r>
      <w:r w:rsidR="000636B5">
        <w:rPr>
          <w:rFonts w:ascii="Times New Roman" w:hAnsi="Times New Roman" w:cs="Times New Roman"/>
          <w:sz w:val="24"/>
          <w:szCs w:val="24"/>
          <w:vertAlign w:val="superscript"/>
        </w:rPr>
        <w:t>4</w:t>
      </w:r>
    </w:p>
    <w:p w:rsidR="004E469F" w:rsidRPr="000636B5" w:rsidRDefault="004E469F">
      <w:pPr>
        <w:jc w:val="center"/>
        <w:rPr>
          <w:rFonts w:ascii="Times New Roman" w:hAnsi="Times New Roman" w:cs="Times New Roman"/>
          <w:sz w:val="24"/>
          <w:szCs w:val="24"/>
        </w:rPr>
      </w:pPr>
    </w:p>
    <w:p w:rsidR="004E469F" w:rsidRPr="000636B5" w:rsidRDefault="008B0839">
      <w:pPr>
        <w:jc w:val="center"/>
        <w:rPr>
          <w:rFonts w:ascii="Times New Roman" w:hAnsi="Times New Roman" w:cs="Times New Roman"/>
          <w:sz w:val="24"/>
          <w:szCs w:val="24"/>
        </w:rPr>
      </w:pPr>
      <w:r w:rsidRPr="000636B5">
        <w:rPr>
          <w:rFonts w:ascii="Times New Roman" w:hAnsi="Times New Roman" w:cs="Times New Roman"/>
          <w:sz w:val="24"/>
          <w:szCs w:val="24"/>
        </w:rPr>
        <w:t>1. Stony Brook University, SUNY, Stony Brook, NY, 11794</w:t>
      </w:r>
    </w:p>
    <w:p w:rsidR="004E469F" w:rsidRDefault="008B0839">
      <w:pPr>
        <w:jc w:val="center"/>
        <w:rPr>
          <w:rFonts w:ascii="Times New Roman" w:hAnsi="Times New Roman" w:cs="Times New Roman"/>
          <w:sz w:val="24"/>
          <w:szCs w:val="24"/>
        </w:rPr>
      </w:pPr>
      <w:r w:rsidRPr="000636B5">
        <w:rPr>
          <w:rFonts w:ascii="Times New Roman" w:hAnsi="Times New Roman" w:cs="Times New Roman"/>
          <w:sz w:val="24"/>
          <w:szCs w:val="24"/>
        </w:rPr>
        <w:t>2. Washington University in St Louis, St Louis, MO, 63112</w:t>
      </w:r>
    </w:p>
    <w:p w:rsidR="000636B5" w:rsidRPr="000636B5" w:rsidRDefault="000636B5">
      <w:pPr>
        <w:jc w:val="center"/>
        <w:rPr>
          <w:rFonts w:ascii="Times New Roman" w:hAnsi="Times New Roman" w:cs="Times New Roman"/>
          <w:sz w:val="24"/>
          <w:szCs w:val="24"/>
        </w:rPr>
      </w:pPr>
      <w:r>
        <w:rPr>
          <w:rFonts w:ascii="Times New Roman" w:hAnsi="Times New Roman" w:cs="Times New Roman"/>
          <w:sz w:val="24"/>
          <w:szCs w:val="24"/>
        </w:rPr>
        <w:t>3. Now at Lamont Doherty Earth Observatory, Columbia University, New York, NY, 10964</w:t>
      </w:r>
    </w:p>
    <w:p w:rsidR="004E469F" w:rsidRPr="000636B5" w:rsidRDefault="008B0839">
      <w:pPr>
        <w:jc w:val="center"/>
        <w:rPr>
          <w:rFonts w:ascii="Times New Roman" w:hAnsi="Times New Roman" w:cs="Times New Roman"/>
          <w:sz w:val="24"/>
          <w:szCs w:val="24"/>
        </w:rPr>
      </w:pPr>
      <w:r w:rsidRPr="000636B5">
        <w:rPr>
          <w:rFonts w:ascii="Times New Roman" w:hAnsi="Times New Roman" w:cs="Times New Roman"/>
          <w:sz w:val="24"/>
          <w:szCs w:val="24"/>
        </w:rPr>
        <w:t xml:space="preserve">3. Penn State University, </w:t>
      </w:r>
      <w:r w:rsidRPr="000636B5">
        <w:rPr>
          <w:rFonts w:ascii="Times New Roman" w:hAnsi="Times New Roman" w:cs="Times New Roman"/>
          <w:sz w:val="24"/>
          <w:szCs w:val="24"/>
          <w:lang w:val="en-US" w:eastAsia="zh-CN"/>
        </w:rPr>
        <w:t>University Park, PA 16802</w:t>
      </w:r>
    </w:p>
    <w:p w:rsidR="004E469F" w:rsidRPr="000636B5" w:rsidRDefault="004E469F">
      <w:pPr>
        <w:jc w:val="center"/>
        <w:rPr>
          <w:rFonts w:ascii="Times New Roman" w:hAnsi="Times New Roman" w:cs="Times New Roman"/>
          <w:sz w:val="24"/>
          <w:szCs w:val="24"/>
        </w:rPr>
      </w:pPr>
    </w:p>
    <w:p w:rsidR="004E469F" w:rsidRPr="000636B5" w:rsidRDefault="008B0839">
      <w:pPr>
        <w:spacing w:before="100" w:beforeAutospacing="1" w:after="100" w:afterAutospacing="1"/>
        <w:jc w:val="center"/>
        <w:rPr>
          <w:rFonts w:ascii="Times New Roman" w:hAnsi="Times New Roman" w:cs="Times New Roman"/>
          <w:sz w:val="24"/>
          <w:szCs w:val="24"/>
        </w:rPr>
      </w:pPr>
      <w:r w:rsidRPr="000636B5">
        <w:rPr>
          <w:rFonts w:ascii="Times New Roman" w:hAnsi="Times New Roman" w:cs="Times New Roman"/>
          <w:sz w:val="24"/>
          <w:szCs w:val="24"/>
        </w:rPr>
        <w:t xml:space="preserve"> </w:t>
      </w:r>
    </w:p>
    <w:p w:rsidR="004E469F" w:rsidRPr="000636B5" w:rsidRDefault="004E469F">
      <w:pPr>
        <w:spacing w:before="100" w:beforeAutospacing="1" w:after="100" w:afterAutospacing="1"/>
        <w:jc w:val="center"/>
        <w:rPr>
          <w:rFonts w:ascii="Times New Roman" w:hAnsi="Times New Roman" w:cs="Times New Roman"/>
          <w:sz w:val="24"/>
          <w:szCs w:val="24"/>
        </w:rPr>
      </w:pPr>
    </w:p>
    <w:p w:rsidR="004E469F" w:rsidRPr="000636B5" w:rsidRDefault="008B0839">
      <w:pPr>
        <w:rPr>
          <w:rFonts w:ascii="Times New Roman" w:hAnsi="Times New Roman" w:cs="Times New Roman"/>
          <w:b/>
          <w:sz w:val="24"/>
          <w:szCs w:val="24"/>
        </w:rPr>
      </w:pPr>
      <w:r w:rsidRPr="000636B5">
        <w:rPr>
          <w:rFonts w:ascii="Times New Roman" w:hAnsi="Times New Roman" w:cs="Times New Roman"/>
          <w:b/>
          <w:sz w:val="24"/>
          <w:szCs w:val="24"/>
        </w:rPr>
        <w:t xml:space="preserve">Contents of this file </w:t>
      </w:r>
    </w:p>
    <w:p w:rsidR="004E469F" w:rsidRPr="000636B5" w:rsidRDefault="004E469F">
      <w:pPr>
        <w:rPr>
          <w:rFonts w:ascii="Times New Roman" w:hAnsi="Times New Roman" w:cs="Times New Roman"/>
          <w:b/>
          <w:sz w:val="24"/>
          <w:szCs w:val="24"/>
        </w:rPr>
      </w:pPr>
    </w:p>
    <w:p w:rsidR="004E469F" w:rsidRPr="000636B5" w:rsidRDefault="008B0839">
      <w:pPr>
        <w:ind w:left="720"/>
        <w:rPr>
          <w:rFonts w:ascii="Times New Roman" w:hAnsi="Times New Roman" w:cs="Times New Roman"/>
          <w:sz w:val="24"/>
          <w:szCs w:val="24"/>
        </w:rPr>
      </w:pPr>
      <w:r w:rsidRPr="000636B5">
        <w:rPr>
          <w:rFonts w:ascii="Times New Roman" w:hAnsi="Times New Roman" w:cs="Times New Roman"/>
          <w:sz w:val="24"/>
          <w:szCs w:val="24"/>
        </w:rPr>
        <w:t>Text S1 to S5</w:t>
      </w:r>
    </w:p>
    <w:p w:rsidR="004E469F" w:rsidRPr="000636B5" w:rsidRDefault="008B0839">
      <w:pPr>
        <w:ind w:left="720"/>
        <w:rPr>
          <w:rFonts w:ascii="Times New Roman" w:hAnsi="Times New Roman" w:cs="Times New Roman"/>
          <w:sz w:val="24"/>
          <w:szCs w:val="24"/>
        </w:rPr>
      </w:pPr>
      <w:r w:rsidRPr="000636B5">
        <w:rPr>
          <w:rFonts w:ascii="Times New Roman" w:hAnsi="Times New Roman" w:cs="Times New Roman"/>
          <w:sz w:val="24"/>
          <w:szCs w:val="24"/>
        </w:rPr>
        <w:t>Figures S1 to S</w:t>
      </w:r>
      <w:r>
        <w:rPr>
          <w:rFonts w:ascii="Times New Roman" w:hAnsi="Times New Roman" w:cs="Times New Roman"/>
          <w:sz w:val="24"/>
          <w:szCs w:val="24"/>
        </w:rPr>
        <w:t>5</w:t>
      </w:r>
    </w:p>
    <w:p w:rsidR="004E469F" w:rsidRPr="000636B5" w:rsidRDefault="004E469F">
      <w:pPr>
        <w:jc w:val="center"/>
        <w:rPr>
          <w:rFonts w:ascii="Times New Roman" w:hAnsi="Times New Roman" w:cs="Times New Roman"/>
          <w:b/>
          <w:sz w:val="24"/>
          <w:szCs w:val="24"/>
        </w:rPr>
      </w:pP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b/>
          <w:sz w:val="24"/>
          <w:szCs w:val="24"/>
        </w:rPr>
      </w:pPr>
      <w:r w:rsidRPr="000636B5">
        <w:rPr>
          <w:rFonts w:ascii="Times New Roman" w:hAnsi="Times New Roman" w:cs="Times New Roman"/>
          <w:b/>
          <w:sz w:val="24"/>
          <w:szCs w:val="24"/>
        </w:rPr>
        <w:br w:type="page"/>
      </w:r>
    </w:p>
    <w:p w:rsidR="004E469F" w:rsidRPr="000636B5" w:rsidRDefault="008B0839">
      <w:pPr>
        <w:rPr>
          <w:rFonts w:ascii="Times New Roman" w:hAnsi="Times New Roman" w:cs="Times New Roman"/>
          <w:b/>
          <w:sz w:val="24"/>
          <w:szCs w:val="24"/>
        </w:rPr>
      </w:pPr>
      <w:r w:rsidRPr="000636B5">
        <w:rPr>
          <w:rFonts w:ascii="Times New Roman" w:hAnsi="Times New Roman" w:cs="Times New Roman"/>
          <w:b/>
          <w:sz w:val="24"/>
          <w:szCs w:val="24"/>
        </w:rPr>
        <w:lastRenderedPageBreak/>
        <w:t>S1. Lithosphere structure of Antarctica</w:t>
      </w:r>
    </w:p>
    <w:p w:rsidR="004E469F" w:rsidRPr="000636B5" w:rsidRDefault="004E469F">
      <w:pPr>
        <w:rPr>
          <w:rFonts w:ascii="Times New Roman" w:hAnsi="Times New Roman" w:cs="Times New Roman"/>
          <w:sz w:val="24"/>
          <w:szCs w:val="24"/>
        </w:rPr>
      </w:pP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sz w:val="24"/>
          <w:szCs w:val="24"/>
        </w:rPr>
        <w:t>Lithospheric structure of the continental Antarctica is obtained by combining the two most recent 3-D models of the crust and uppermost mantle. Within the areas of West and central Antarctica, we use the 3-D model constructed by surface wave dispersion (both from ambient noise and earthquakes) and receiver functions made from the seismic data in the past two decades (Shen et al., 2018, referred as Shen</w:t>
      </w:r>
      <w:r w:rsidR="001D0731">
        <w:rPr>
          <w:rFonts w:ascii="Times New Roman" w:hAnsi="Times New Roman" w:cs="Times New Roman"/>
          <w:sz w:val="24"/>
          <w:szCs w:val="24"/>
        </w:rPr>
        <w:t>2018</w:t>
      </w:r>
      <w:r w:rsidRPr="000636B5">
        <w:rPr>
          <w:rFonts w:ascii="Times New Roman" w:hAnsi="Times New Roman" w:cs="Times New Roman"/>
          <w:sz w:val="24"/>
          <w:szCs w:val="24"/>
        </w:rPr>
        <w:t xml:space="preserve"> model hereafter). The horizontal resolution of the 3-D model is on the order of ~ 100 km. Off the coverage of Shen model, we use the 3-D model constructed using a full-waveform inversion method using earthquake records (Lloyd et al., 2019, referred as Lloyd</w:t>
      </w:r>
      <w:r w:rsidR="001D0731">
        <w:rPr>
          <w:rFonts w:ascii="Times New Roman" w:hAnsi="Times New Roman" w:cs="Times New Roman"/>
          <w:sz w:val="24"/>
          <w:szCs w:val="24"/>
        </w:rPr>
        <w:t>2019</w:t>
      </w:r>
      <w:r w:rsidRPr="000636B5">
        <w:rPr>
          <w:rFonts w:ascii="Times New Roman" w:hAnsi="Times New Roman" w:cs="Times New Roman"/>
          <w:sz w:val="24"/>
          <w:szCs w:val="24"/>
        </w:rPr>
        <w:t xml:space="preserve"> model hereafter). Both models have been corrected to 1 sec frequency through the physical dispersion correction described by Kanamori and Anderson (1977). In the correction, the form </w:t>
      </w:r>
    </w:p>
    <w:p w:rsidR="004E469F" w:rsidRPr="000636B5" w:rsidRDefault="004E469F">
      <w:pPr>
        <w:jc w:val="both"/>
        <w:rPr>
          <w:rFonts w:ascii="Times New Roman" w:hAnsi="Times New Roman" w:cs="Times New Roman"/>
          <w:sz w:val="24"/>
          <w:szCs w:val="24"/>
        </w:rPr>
      </w:pPr>
    </w:p>
    <w:p w:rsidR="004E469F" w:rsidRPr="00560F8D" w:rsidRDefault="008B0839">
      <w:pPr>
        <w:spacing w:line="240" w:lineRule="auto"/>
        <w:rPr>
          <w:rFonts w:ascii="Times New Roman" w:eastAsia="Times New Roman" w:hAnsi="Times New Roman" w:cs="Times New Roman"/>
          <w:sz w:val="24"/>
          <w:szCs w:val="24"/>
          <w:lang w:val="en-US"/>
        </w:rPr>
      </w:pPr>
      <w:r w:rsidRPr="000636B5">
        <w:rPr>
          <w:rFonts w:ascii="Times New Roman" w:eastAsia="Times New Roman" w:hAnsi="Times New Roman" w:cs="Times New Roman"/>
          <w:i/>
          <w:iCs/>
          <w:color w:val="1C1D1E"/>
          <w:sz w:val="24"/>
          <w:szCs w:val="24"/>
          <w:shd w:val="clear" w:color="auto" w:fill="FFFFFF"/>
          <w:lang w:val="en-US"/>
        </w:rPr>
        <w:t>C</w:t>
      </w:r>
      <w:r w:rsidRPr="000636B5">
        <w:rPr>
          <w:rFonts w:ascii="Times New Roman" w:eastAsia="Times New Roman" w:hAnsi="Times New Roman" w:cs="Times New Roman"/>
          <w:color w:val="1C1D1E"/>
          <w:sz w:val="24"/>
          <w:szCs w:val="24"/>
          <w:shd w:val="clear" w:color="auto" w:fill="FFFFFF"/>
          <w:lang w:val="en-US"/>
        </w:rPr>
        <w:t>(ω) = </w:t>
      </w:r>
      <w:r w:rsidRPr="000636B5">
        <w:rPr>
          <w:rFonts w:ascii="Times New Roman" w:eastAsia="Times New Roman" w:hAnsi="Times New Roman" w:cs="Times New Roman"/>
          <w:i/>
          <w:iCs/>
          <w:color w:val="1C1D1E"/>
          <w:sz w:val="24"/>
          <w:szCs w:val="24"/>
          <w:shd w:val="clear" w:color="auto" w:fill="FFFFFF"/>
          <w:lang w:val="en-US"/>
        </w:rPr>
        <w:t>C</w:t>
      </w:r>
      <w:r w:rsidRPr="000636B5">
        <w:rPr>
          <w:rFonts w:ascii="Times New Roman" w:eastAsia="Times New Roman" w:hAnsi="Times New Roman" w:cs="Times New Roman"/>
          <w:color w:val="1C1D1E"/>
          <w:sz w:val="24"/>
          <w:szCs w:val="24"/>
          <w:shd w:val="clear" w:color="auto" w:fill="FFFFFF"/>
          <w:lang w:val="en-US"/>
        </w:rPr>
        <w:t>(</w:t>
      </w:r>
      <w:proofErr w:type="spellStart"/>
      <w:r w:rsidRPr="000636B5">
        <w:rPr>
          <w:rFonts w:ascii="Times New Roman" w:eastAsia="Times New Roman" w:hAnsi="Times New Roman" w:cs="Times New Roman"/>
          <w:color w:val="1C1D1E"/>
          <w:sz w:val="24"/>
          <w:szCs w:val="24"/>
          <w:shd w:val="clear" w:color="auto" w:fill="FFFFFF"/>
          <w:lang w:val="en-US"/>
        </w:rPr>
        <w:t>ω</w:t>
      </w:r>
      <w:proofErr w:type="gramStart"/>
      <w:r w:rsidRPr="000636B5">
        <w:rPr>
          <w:rFonts w:ascii="Times New Roman" w:eastAsia="Times New Roman" w:hAnsi="Times New Roman" w:cs="Times New Roman"/>
          <w:i/>
          <w:iCs/>
          <w:color w:val="1C1D1E"/>
          <w:sz w:val="24"/>
          <w:szCs w:val="24"/>
          <w:shd w:val="clear" w:color="auto" w:fill="FFFFFF"/>
          <w:vertAlign w:val="subscript"/>
          <w:lang w:val="en-US"/>
        </w:rPr>
        <w:t>r</w:t>
      </w:r>
      <w:proofErr w:type="spellEnd"/>
      <w:r w:rsidRPr="000636B5">
        <w:rPr>
          <w:rFonts w:ascii="Times New Roman" w:eastAsia="Times New Roman" w:hAnsi="Times New Roman" w:cs="Times New Roman"/>
          <w:color w:val="1C1D1E"/>
          <w:sz w:val="24"/>
          <w:szCs w:val="24"/>
          <w:shd w:val="clear" w:color="auto" w:fill="FFFFFF"/>
          <w:lang w:val="en-US"/>
        </w:rPr>
        <w:t>)[</w:t>
      </w:r>
      <w:proofErr w:type="gramEnd"/>
      <w:r w:rsidRPr="000636B5">
        <w:rPr>
          <w:rFonts w:ascii="Times New Roman" w:eastAsia="Times New Roman" w:hAnsi="Times New Roman" w:cs="Times New Roman"/>
          <w:color w:val="1C1D1E"/>
          <w:sz w:val="24"/>
          <w:szCs w:val="24"/>
          <w:shd w:val="clear" w:color="auto" w:fill="FFFFFF"/>
          <w:lang w:val="en-US"/>
        </w:rPr>
        <w:t>1 + (1/π</w:t>
      </w:r>
      <w:proofErr w:type="spellStart"/>
      <w:r w:rsidRPr="000636B5">
        <w:rPr>
          <w:rFonts w:ascii="Times New Roman" w:eastAsia="Times New Roman" w:hAnsi="Times New Roman" w:cs="Times New Roman"/>
          <w:i/>
          <w:iCs/>
          <w:color w:val="1C1D1E"/>
          <w:sz w:val="24"/>
          <w:szCs w:val="24"/>
          <w:shd w:val="clear" w:color="auto" w:fill="FFFFFF"/>
          <w:lang w:val="en-US"/>
        </w:rPr>
        <w:t>Q</w:t>
      </w:r>
      <w:r w:rsidRPr="000636B5">
        <w:rPr>
          <w:rFonts w:ascii="Times New Roman" w:eastAsia="Times New Roman" w:hAnsi="Times New Roman" w:cs="Times New Roman"/>
          <w:i/>
          <w:iCs/>
          <w:color w:val="1C1D1E"/>
          <w:sz w:val="24"/>
          <w:szCs w:val="24"/>
          <w:shd w:val="clear" w:color="auto" w:fill="FFFFFF"/>
          <w:vertAlign w:val="subscript"/>
          <w:lang w:val="en-US"/>
        </w:rPr>
        <w:t>m</w:t>
      </w:r>
      <w:proofErr w:type="spellEnd"/>
      <w:r w:rsidRPr="000636B5">
        <w:rPr>
          <w:rFonts w:ascii="Times New Roman" w:eastAsia="Times New Roman" w:hAnsi="Times New Roman" w:cs="Times New Roman"/>
          <w:color w:val="1C1D1E"/>
          <w:sz w:val="24"/>
          <w:szCs w:val="24"/>
          <w:shd w:val="clear" w:color="auto" w:fill="FFFFFF"/>
          <w:lang w:val="en-US"/>
        </w:rPr>
        <w:t>) In (ω/</w:t>
      </w:r>
      <w:proofErr w:type="spellStart"/>
      <w:r w:rsidRPr="000636B5">
        <w:rPr>
          <w:rFonts w:ascii="Times New Roman" w:eastAsia="Times New Roman" w:hAnsi="Times New Roman" w:cs="Times New Roman"/>
          <w:color w:val="1C1D1E"/>
          <w:sz w:val="24"/>
          <w:szCs w:val="24"/>
          <w:shd w:val="clear" w:color="auto" w:fill="FFFFFF"/>
          <w:lang w:val="en-US"/>
        </w:rPr>
        <w:t>ω</w:t>
      </w:r>
      <w:r w:rsidRPr="000636B5">
        <w:rPr>
          <w:rFonts w:ascii="Times New Roman" w:eastAsia="Times New Roman" w:hAnsi="Times New Roman" w:cs="Times New Roman"/>
          <w:i/>
          <w:iCs/>
          <w:color w:val="1C1D1E"/>
          <w:sz w:val="24"/>
          <w:szCs w:val="24"/>
          <w:shd w:val="clear" w:color="auto" w:fill="FFFFFF"/>
          <w:vertAlign w:val="subscript"/>
          <w:lang w:val="en-US"/>
        </w:rPr>
        <w:t>r</w:t>
      </w:r>
      <w:proofErr w:type="spellEnd"/>
      <w:r w:rsidRPr="000636B5">
        <w:rPr>
          <w:rFonts w:ascii="Times New Roman" w:eastAsia="Times New Roman" w:hAnsi="Times New Roman" w:cs="Times New Roman"/>
          <w:color w:val="1C1D1E"/>
          <w:sz w:val="24"/>
          <w:szCs w:val="24"/>
          <w:shd w:val="clear" w:color="auto" w:fill="FFFFFF"/>
          <w:lang w:val="en-US"/>
        </w:rPr>
        <w:t>)]</w:t>
      </w:r>
    </w:p>
    <w:p w:rsidR="004E469F" w:rsidRPr="000636B5" w:rsidRDefault="004E469F">
      <w:pPr>
        <w:jc w:val="both"/>
        <w:rPr>
          <w:rFonts w:ascii="Times New Roman" w:hAnsi="Times New Roman" w:cs="Times New Roman"/>
          <w:sz w:val="24"/>
          <w:szCs w:val="24"/>
        </w:rPr>
      </w:pPr>
    </w:p>
    <w:p w:rsidR="004E469F" w:rsidRPr="000636B5" w:rsidRDefault="008B0839">
      <w:pPr>
        <w:spacing w:line="240" w:lineRule="auto"/>
        <w:rPr>
          <w:rFonts w:ascii="Times New Roman" w:hAnsi="Times New Roman" w:cs="Times New Roman"/>
          <w:sz w:val="24"/>
          <w:szCs w:val="24"/>
        </w:rPr>
      </w:pPr>
      <w:r w:rsidRPr="000636B5">
        <w:rPr>
          <w:rFonts w:ascii="Times New Roman" w:hAnsi="Times New Roman" w:cs="Times New Roman"/>
          <w:sz w:val="24"/>
          <w:szCs w:val="24"/>
        </w:rPr>
        <w:t xml:space="preserve">Was used, in which C(ω) is the phase velocity of either body waves, surface waves, or free oscillations, ω is the angular frequency, </w:t>
      </w:r>
      <w:proofErr w:type="spellStart"/>
      <w:r w:rsidRPr="000636B5">
        <w:rPr>
          <w:rFonts w:ascii="Times New Roman" w:hAnsi="Times New Roman" w:cs="Times New Roman"/>
          <w:sz w:val="24"/>
          <w:szCs w:val="24"/>
        </w:rPr>
        <w:t>ω</w:t>
      </w:r>
      <w:r w:rsidRPr="000636B5">
        <w:rPr>
          <w:rFonts w:ascii="Times New Roman" w:hAnsi="Times New Roman" w:cs="Times New Roman"/>
          <w:sz w:val="24"/>
          <w:szCs w:val="24"/>
          <w:vertAlign w:val="subscript"/>
        </w:rPr>
        <w:t>r</w:t>
      </w:r>
      <w:proofErr w:type="spellEnd"/>
      <w:r w:rsidRPr="000636B5">
        <w:rPr>
          <w:rFonts w:ascii="Times New Roman" w:hAnsi="Times New Roman" w:cs="Times New Roman"/>
          <w:sz w:val="24"/>
          <w:szCs w:val="24"/>
        </w:rPr>
        <w:t> is the reference angular frequency, and </w:t>
      </w:r>
      <w:proofErr w:type="spellStart"/>
      <w:r w:rsidRPr="000636B5">
        <w:rPr>
          <w:rFonts w:ascii="Times New Roman" w:hAnsi="Times New Roman" w:cs="Times New Roman"/>
          <w:sz w:val="24"/>
          <w:szCs w:val="24"/>
        </w:rPr>
        <w:t>Q</w:t>
      </w:r>
      <w:r w:rsidRPr="000636B5">
        <w:rPr>
          <w:rFonts w:ascii="Times New Roman" w:hAnsi="Times New Roman" w:cs="Times New Roman"/>
          <w:sz w:val="24"/>
          <w:szCs w:val="24"/>
          <w:vertAlign w:val="subscript"/>
        </w:rPr>
        <w:t>m</w:t>
      </w:r>
      <w:proofErr w:type="spellEnd"/>
      <w:r w:rsidRPr="000636B5">
        <w:rPr>
          <w:rFonts w:ascii="Times New Roman" w:hAnsi="Times New Roman" w:cs="Times New Roman"/>
          <w:sz w:val="24"/>
          <w:szCs w:val="24"/>
        </w:rPr>
        <w:t> is the path average</w:t>
      </w:r>
      <w:r w:rsidR="001D0731">
        <w:rPr>
          <w:rFonts w:ascii="Times New Roman" w:hAnsi="Times New Roman" w:cs="Times New Roman"/>
          <w:sz w:val="24"/>
          <w:szCs w:val="24"/>
        </w:rPr>
        <w:t>d</w:t>
      </w:r>
      <w:r w:rsidRPr="000636B5">
        <w:rPr>
          <w:rFonts w:ascii="Times New Roman" w:hAnsi="Times New Roman" w:cs="Times New Roman"/>
          <w:sz w:val="24"/>
          <w:szCs w:val="24"/>
        </w:rPr>
        <w:t xml:space="preserve"> Q for body waves or Q of a surface wave or a mode of angular frequency ω; During the correction, </w:t>
      </w:r>
      <w:proofErr w:type="spellStart"/>
      <w:r w:rsidRPr="000636B5">
        <w:rPr>
          <w:rFonts w:ascii="Times New Roman" w:hAnsi="Times New Roman" w:cs="Times New Roman"/>
          <w:sz w:val="24"/>
          <w:szCs w:val="24"/>
        </w:rPr>
        <w:t>Q</w:t>
      </w:r>
      <w:r w:rsidRPr="000636B5">
        <w:rPr>
          <w:rFonts w:ascii="Times New Roman" w:hAnsi="Times New Roman" w:cs="Times New Roman"/>
          <w:sz w:val="24"/>
          <w:szCs w:val="24"/>
          <w:vertAlign w:val="subscript"/>
        </w:rPr>
        <w:t>m</w:t>
      </w:r>
      <w:proofErr w:type="spellEnd"/>
      <w:r w:rsidRPr="000636B5">
        <w:rPr>
          <w:rFonts w:ascii="Times New Roman" w:hAnsi="Times New Roman" w:cs="Times New Roman"/>
          <w:sz w:val="24"/>
          <w:szCs w:val="24"/>
          <w:vertAlign w:val="subscript"/>
        </w:rPr>
        <w:t xml:space="preserve"> </w:t>
      </w:r>
      <w:r w:rsidRPr="000636B5">
        <w:rPr>
          <w:rFonts w:ascii="Times New Roman" w:hAnsi="Times New Roman" w:cs="Times New Roman"/>
          <w:sz w:val="24"/>
          <w:szCs w:val="24"/>
        </w:rPr>
        <w:t xml:space="preserve">was assumed to be 150 for shear velocity (Shen et al., 2018). </w:t>
      </w:r>
    </w:p>
    <w:p w:rsidR="004E469F" w:rsidRPr="000636B5" w:rsidRDefault="004E469F">
      <w:pPr>
        <w:rPr>
          <w:rFonts w:ascii="Times New Roman" w:hAnsi="Times New Roman" w:cs="Times New Roman"/>
          <w:sz w:val="24"/>
          <w:szCs w:val="24"/>
        </w:rPr>
      </w:pP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sz w:val="24"/>
          <w:szCs w:val="24"/>
        </w:rPr>
        <w:t>In West and central Antarctica where both models are available, we found that the large scale features in the two models are similar, although more details of the crustal and Moho structures are seen in the Shen</w:t>
      </w:r>
      <w:r w:rsidR="001D0731">
        <w:rPr>
          <w:rFonts w:ascii="Times New Roman" w:hAnsi="Times New Roman" w:cs="Times New Roman"/>
          <w:sz w:val="24"/>
          <w:szCs w:val="24"/>
        </w:rPr>
        <w:t>2018</w:t>
      </w:r>
      <w:r w:rsidRPr="000636B5">
        <w:rPr>
          <w:rFonts w:ascii="Times New Roman" w:hAnsi="Times New Roman" w:cs="Times New Roman"/>
          <w:sz w:val="24"/>
          <w:szCs w:val="24"/>
        </w:rPr>
        <w:t xml:space="preserve">, mainly due to the fact that short period (&lt;25 sec) ambient noise derived surface wave and receiver functions </w:t>
      </w:r>
      <w:r w:rsidR="001D0731">
        <w:rPr>
          <w:rFonts w:ascii="Times New Roman" w:hAnsi="Times New Roman" w:cs="Times New Roman"/>
          <w:sz w:val="24"/>
          <w:szCs w:val="24"/>
        </w:rPr>
        <w:t>were</w:t>
      </w:r>
      <w:r w:rsidR="001D0731" w:rsidRPr="000636B5">
        <w:rPr>
          <w:rFonts w:ascii="Times New Roman" w:hAnsi="Times New Roman" w:cs="Times New Roman"/>
          <w:sz w:val="24"/>
          <w:szCs w:val="24"/>
        </w:rPr>
        <w:t xml:space="preserve"> </w:t>
      </w:r>
      <w:r w:rsidRPr="000636B5">
        <w:rPr>
          <w:rFonts w:ascii="Times New Roman" w:hAnsi="Times New Roman" w:cs="Times New Roman"/>
          <w:sz w:val="24"/>
          <w:szCs w:val="24"/>
        </w:rPr>
        <w:t xml:space="preserve">used. </w:t>
      </w:r>
      <w:r w:rsidRPr="000636B5">
        <w:rPr>
          <w:rFonts w:ascii="Times New Roman" w:hAnsi="Times New Roman" w:cs="Times New Roman"/>
          <w:color w:val="FF0000"/>
          <w:sz w:val="24"/>
          <w:szCs w:val="24"/>
        </w:rPr>
        <w:t>Fig. S1</w:t>
      </w:r>
      <w:r w:rsidRPr="000636B5">
        <w:rPr>
          <w:rFonts w:ascii="Times New Roman" w:hAnsi="Times New Roman" w:cs="Times New Roman"/>
          <w:sz w:val="24"/>
          <w:szCs w:val="24"/>
        </w:rPr>
        <w:t xml:space="preserve"> highlights the uppermost mantle structures from both models by showing the Vs at 80 km depth. For the overlapping area, the mean difference is -1.13 m/sec, and standard deviation is ~74.09 m/sec, which is less than 0.5%</w:t>
      </w:r>
      <w:r w:rsidR="001D0731">
        <w:rPr>
          <w:rFonts w:ascii="Times New Roman" w:hAnsi="Times New Roman" w:cs="Times New Roman"/>
          <w:sz w:val="24"/>
          <w:szCs w:val="24"/>
        </w:rPr>
        <w:t xml:space="preserve"> of the measured Vs</w:t>
      </w:r>
      <w:r w:rsidRPr="000636B5">
        <w:rPr>
          <w:rFonts w:ascii="Times New Roman" w:hAnsi="Times New Roman" w:cs="Times New Roman"/>
          <w:sz w:val="24"/>
          <w:szCs w:val="24"/>
        </w:rPr>
        <w:t xml:space="preserve">). </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b/>
          <w:sz w:val="24"/>
          <w:szCs w:val="24"/>
        </w:rPr>
      </w:pPr>
      <w:r w:rsidRPr="000636B5">
        <w:rPr>
          <w:rFonts w:ascii="Times New Roman" w:hAnsi="Times New Roman" w:cs="Times New Roman"/>
          <w:b/>
          <w:sz w:val="24"/>
          <w:szCs w:val="24"/>
        </w:rPr>
        <w:t xml:space="preserve">S2. </w:t>
      </w:r>
      <w:proofErr w:type="spellStart"/>
      <w:r w:rsidR="001D0731">
        <w:rPr>
          <w:rFonts w:ascii="Times New Roman" w:hAnsi="Times New Roman" w:cs="Times New Roman"/>
          <w:b/>
          <w:sz w:val="24"/>
          <w:szCs w:val="24"/>
        </w:rPr>
        <w:t>Goethermal</w:t>
      </w:r>
      <w:proofErr w:type="spellEnd"/>
      <w:r w:rsidR="001D0731">
        <w:rPr>
          <w:rFonts w:ascii="Times New Roman" w:hAnsi="Times New Roman" w:cs="Times New Roman"/>
          <w:b/>
          <w:sz w:val="24"/>
          <w:szCs w:val="24"/>
        </w:rPr>
        <w:t xml:space="preserve"> heat flux</w:t>
      </w:r>
      <w:r w:rsidRPr="000636B5">
        <w:rPr>
          <w:rFonts w:ascii="Times New Roman" w:hAnsi="Times New Roman" w:cs="Times New Roman"/>
          <w:b/>
          <w:sz w:val="24"/>
          <w:szCs w:val="24"/>
        </w:rPr>
        <w:t xml:space="preserve"> and lithosphere structure of North America</w:t>
      </w:r>
    </w:p>
    <w:p w:rsidR="004E469F" w:rsidRPr="000636B5" w:rsidRDefault="004E469F">
      <w:pPr>
        <w:rPr>
          <w:rFonts w:ascii="Times New Roman" w:hAnsi="Times New Roman" w:cs="Times New Roman"/>
          <w:sz w:val="24"/>
          <w:szCs w:val="24"/>
        </w:rPr>
      </w:pPr>
    </w:p>
    <w:p w:rsidR="004E469F" w:rsidRPr="000636B5" w:rsidRDefault="001D0731">
      <w:pPr>
        <w:jc w:val="both"/>
        <w:rPr>
          <w:rFonts w:ascii="Times New Roman" w:hAnsi="Times New Roman" w:cs="Times New Roman"/>
          <w:sz w:val="24"/>
          <w:szCs w:val="24"/>
        </w:rPr>
      </w:pPr>
      <w:r>
        <w:rPr>
          <w:rFonts w:ascii="Times New Roman" w:hAnsi="Times New Roman" w:cs="Times New Roman"/>
          <w:sz w:val="24"/>
          <w:szCs w:val="24"/>
        </w:rPr>
        <w:t>Geothermal heat flux (GHF)</w:t>
      </w:r>
      <w:r w:rsidR="008B0839" w:rsidRPr="000636B5">
        <w:rPr>
          <w:rFonts w:ascii="Times New Roman" w:hAnsi="Times New Roman" w:cs="Times New Roman"/>
          <w:sz w:val="24"/>
          <w:szCs w:val="24"/>
        </w:rPr>
        <w:t xml:space="preserve"> of the continental US is obtained from the published map (Blackwell et al., 2011). The raw map (Fig. S2a) contains observed GHF at &gt; 10,000 sites, and thus contain local variations that are caused by volcanism and hydrological circulations. Particularly, the hydrological circulation near the Black Hills has generated a </w:t>
      </w:r>
      <w:proofErr w:type="gramStart"/>
      <w:r w:rsidR="008B0839" w:rsidRPr="000636B5">
        <w:rPr>
          <w:rFonts w:ascii="Times New Roman" w:hAnsi="Times New Roman" w:cs="Times New Roman"/>
          <w:sz w:val="24"/>
          <w:szCs w:val="24"/>
        </w:rPr>
        <w:t>dipole-shaped</w:t>
      </w:r>
      <w:proofErr w:type="gramEnd"/>
      <w:r w:rsidR="008B0839" w:rsidRPr="000636B5">
        <w:rPr>
          <w:rFonts w:ascii="Times New Roman" w:hAnsi="Times New Roman" w:cs="Times New Roman"/>
          <w:sz w:val="24"/>
          <w:szCs w:val="24"/>
        </w:rPr>
        <w:t xml:space="preserve"> GHF anomaly in the state of the South Dakota (</w:t>
      </w:r>
      <w:proofErr w:type="spellStart"/>
      <w:r w:rsidR="008B0839" w:rsidRPr="000636B5">
        <w:rPr>
          <w:rFonts w:ascii="Times New Roman" w:hAnsi="Times New Roman" w:cs="Times New Roman"/>
          <w:sz w:val="24"/>
          <w:szCs w:val="24"/>
        </w:rPr>
        <w:t>Gosnold</w:t>
      </w:r>
      <w:proofErr w:type="spellEnd"/>
      <w:r w:rsidR="008B0839" w:rsidRPr="000636B5">
        <w:rPr>
          <w:rFonts w:ascii="Times New Roman" w:hAnsi="Times New Roman" w:cs="Times New Roman"/>
          <w:sz w:val="24"/>
          <w:szCs w:val="24"/>
        </w:rPr>
        <w:t xml:space="preserve">, 1990). In order to capture the GHF variations at larger scale that is mainly caused by the thermal state of the lithosphere, we smoothed the raw GHF map using a Gaussian smoothing filter (with half-width of ~ 25 km) and removed the anomaly in South Dakota (see Fig. S2 b). We note that some areas in Florida and along the Appalachians may also contain such </w:t>
      </w:r>
      <w:r>
        <w:rPr>
          <w:rFonts w:ascii="Times New Roman" w:hAnsi="Times New Roman" w:cs="Times New Roman"/>
          <w:sz w:val="24"/>
          <w:szCs w:val="24"/>
        </w:rPr>
        <w:t xml:space="preserve">type of </w:t>
      </w:r>
      <w:r w:rsidR="008B0839" w:rsidRPr="000636B5">
        <w:rPr>
          <w:rFonts w:ascii="Times New Roman" w:hAnsi="Times New Roman" w:cs="Times New Roman"/>
          <w:sz w:val="24"/>
          <w:szCs w:val="24"/>
        </w:rPr>
        <w:t>anomal</w:t>
      </w:r>
      <w:r>
        <w:rPr>
          <w:rFonts w:ascii="Times New Roman" w:hAnsi="Times New Roman" w:cs="Times New Roman"/>
          <w:sz w:val="24"/>
          <w:szCs w:val="24"/>
        </w:rPr>
        <w:t>ies</w:t>
      </w:r>
      <w:r w:rsidR="008B0839" w:rsidRPr="000636B5">
        <w:rPr>
          <w:rFonts w:ascii="Times New Roman" w:hAnsi="Times New Roman" w:cs="Times New Roman"/>
          <w:sz w:val="24"/>
          <w:szCs w:val="24"/>
        </w:rPr>
        <w:t xml:space="preserve"> from surface hydro-circulations</w:t>
      </w:r>
      <w:r>
        <w:rPr>
          <w:rFonts w:ascii="Times New Roman" w:hAnsi="Times New Roman" w:cs="Times New Roman"/>
          <w:sz w:val="24"/>
          <w:szCs w:val="24"/>
        </w:rPr>
        <w:t>,</w:t>
      </w:r>
      <w:r w:rsidR="008B0839" w:rsidRPr="000636B5">
        <w:rPr>
          <w:rFonts w:ascii="Times New Roman" w:hAnsi="Times New Roman" w:cs="Times New Roman"/>
          <w:sz w:val="24"/>
          <w:szCs w:val="24"/>
        </w:rPr>
        <w:t xml:space="preserve"> but a test with a few points shows that the effect is negligible compared with the final uncertainties. </w:t>
      </w:r>
    </w:p>
    <w:p w:rsidR="004E469F" w:rsidRPr="000636B5" w:rsidRDefault="004E469F">
      <w:pPr>
        <w:rPr>
          <w:rFonts w:ascii="Times New Roman" w:hAnsi="Times New Roman" w:cs="Times New Roman"/>
          <w:sz w:val="24"/>
          <w:szCs w:val="24"/>
        </w:rPr>
      </w:pP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sz w:val="24"/>
          <w:szCs w:val="24"/>
        </w:rPr>
        <w:lastRenderedPageBreak/>
        <w:t xml:space="preserve">Seismic lithospheric structure of the continental US is obtained through a Monte Carlo joint inversion of surface wave dispersion, horizontal to vertical ratios (H/V), and receiver functions based on the seismic records of </w:t>
      </w:r>
      <w:proofErr w:type="spellStart"/>
      <w:r w:rsidRPr="000636B5">
        <w:rPr>
          <w:rFonts w:ascii="Times New Roman" w:hAnsi="Times New Roman" w:cs="Times New Roman"/>
          <w:sz w:val="24"/>
          <w:szCs w:val="24"/>
        </w:rPr>
        <w:t>Earthscope</w:t>
      </w:r>
      <w:proofErr w:type="spellEnd"/>
      <w:r w:rsidRPr="000636B5">
        <w:rPr>
          <w:rFonts w:ascii="Times New Roman" w:hAnsi="Times New Roman" w:cs="Times New Roman"/>
          <w:sz w:val="24"/>
          <w:szCs w:val="24"/>
        </w:rPr>
        <w:t>/</w:t>
      </w:r>
      <w:proofErr w:type="spellStart"/>
      <w:r w:rsidRPr="000636B5">
        <w:rPr>
          <w:rFonts w:ascii="Times New Roman" w:hAnsi="Times New Roman" w:cs="Times New Roman"/>
          <w:sz w:val="24"/>
          <w:szCs w:val="24"/>
        </w:rPr>
        <w:t>USArray</w:t>
      </w:r>
      <w:proofErr w:type="spellEnd"/>
      <w:r w:rsidRPr="000636B5">
        <w:rPr>
          <w:rFonts w:ascii="Times New Roman" w:hAnsi="Times New Roman" w:cs="Times New Roman"/>
          <w:sz w:val="24"/>
          <w:szCs w:val="24"/>
        </w:rPr>
        <w:t xml:space="preserve"> between 2008 and 2015 (Shen et al., 2016). the 3-D model extends from surface to ~ 200 km depth, and a simple model parameterization was used. This model is chosen from a set of seismic models of the crust and uppermost mantle beneath the US (e.g., Lin et al., 2014;)</w:t>
      </w:r>
      <w:r w:rsidR="001D0731">
        <w:rPr>
          <w:rFonts w:ascii="Times New Roman" w:hAnsi="Times New Roman" w:cs="Times New Roman"/>
          <w:sz w:val="24"/>
          <w:szCs w:val="24"/>
        </w:rPr>
        <w:t xml:space="preserve"> since it is built based on the same method used to construct West/central Antarctic model. </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b/>
          <w:sz w:val="24"/>
          <w:szCs w:val="24"/>
        </w:rPr>
      </w:pPr>
      <w:r w:rsidRPr="000636B5">
        <w:rPr>
          <w:rFonts w:ascii="Times New Roman" w:hAnsi="Times New Roman" w:cs="Times New Roman"/>
          <w:b/>
          <w:sz w:val="24"/>
          <w:szCs w:val="24"/>
        </w:rPr>
        <w:t>S3. Structurally Similar Region (SSR) and final GHF</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t>In this paper, we define the structurally similar regions (SSR) for any given continental Antarctica point as the 0.5% of the continental US where their uppermost mantle structure is most similar to that point. The similarity functional between two models is defined as:</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 xml:space="preserve"> </m:t>
              </m:r>
              <m:nary>
                <m:naryPr>
                  <m:ctrlPr>
                    <w:rPr>
                      <w:rFonts w:ascii="Cambria Math" w:hAnsi="Cambria Math" w:cs="Times New Roman"/>
                      <w:sz w:val="24"/>
                      <w:szCs w:val="24"/>
                    </w:rPr>
                  </m:ctrlPr>
                </m:naryPr>
                <m:sub>
                  <m:r>
                    <w:rPr>
                      <w:rFonts w:ascii="Cambria Math" w:hAnsi="Cambria Math" w:cs="Times New Roman"/>
                      <w:sz w:val="24"/>
                      <w:szCs w:val="24"/>
                    </w:rPr>
                    <m:t>z=</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r>
                    <w:rPr>
                      <w:rFonts w:ascii="Cambria Math" w:hAnsi="Cambria Math" w:cs="Times New Roman"/>
                      <w:sz w:val="24"/>
                      <w:szCs w:val="24"/>
                    </w:rPr>
                    <m:t>+5</m:t>
                  </m:r>
                </m:sub>
                <m:sup>
                  <m:r>
                    <w:rPr>
                      <w:rFonts w:ascii="Cambria Math" w:hAnsi="Cambria Math" w:cs="Times New Roman"/>
                      <w:sz w:val="24"/>
                      <w:szCs w:val="24"/>
                    </w:rPr>
                    <m:t>150</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(z)-</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(z)</m:t>
                          </m:r>
                        </m:e>
                      </m:d>
                    </m:e>
                    <m:sup>
                      <m:r>
                        <w:rPr>
                          <w:rFonts w:ascii="Cambria Math" w:hAnsi="Cambria Math" w:cs="Times New Roman"/>
                          <w:sz w:val="24"/>
                          <w:szCs w:val="24"/>
                        </w:rPr>
                        <m:t>2</m:t>
                      </m:r>
                    </m:sup>
                  </m:sSup>
                </m:e>
              </m:nary>
              <m:r>
                <w:rPr>
                  <w:rFonts w:ascii="Cambria Math" w:hAnsi="Cambria Math" w:cs="Times New Roman"/>
                  <w:sz w:val="24"/>
                  <w:szCs w:val="24"/>
                </w:rPr>
                <m:t>dz</m:t>
              </m:r>
            </m:num>
            <m:den>
              <m:r>
                <w:rPr>
                  <w:rFonts w:ascii="Cambria Math" w:hAnsi="Cambria Math" w:cs="Times New Roman"/>
                  <w:sz w:val="24"/>
                  <w:szCs w:val="24"/>
                </w:rPr>
                <m:t xml:space="preserve"> 145-</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den>
          </m:f>
          <m:r>
            <w:rPr>
              <w:rFonts w:ascii="Cambria Math" w:hAnsi="Cambria Math" w:cs="Times New Roman"/>
              <w:sz w:val="24"/>
              <w:szCs w:val="24"/>
            </w:rPr>
            <m:t xml:space="preserve"> </m:t>
          </m:r>
        </m:oMath>
      </m:oMathPara>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t xml:space="preserve">In which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(z)</m:t>
        </m:r>
      </m:oMath>
      <w:r w:rsidRPr="000636B5">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(z)</m:t>
        </m:r>
      </m:oMath>
      <w:r w:rsidRPr="000636B5">
        <w:rPr>
          <w:rFonts w:ascii="Times New Roman" w:hAnsi="Times New Roman" w:cs="Times New Roman"/>
          <w:sz w:val="24"/>
          <w:szCs w:val="24"/>
        </w:rPr>
        <w:t xml:space="preserve"> are the shear wave velocity at location </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Pr="000636B5">
        <w:rPr>
          <w:rFonts w:ascii="Times New Roman" w:hAnsi="Times New Roman" w:cs="Times New Roman"/>
          <w:sz w:val="24"/>
          <w:szCs w:val="24"/>
        </w:rPr>
        <w:t xml:space="preserve"> in Antarctica and </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Pr="000636B5">
        <w:rPr>
          <w:rFonts w:ascii="Times New Roman" w:hAnsi="Times New Roman" w:cs="Times New Roman"/>
          <w:sz w:val="24"/>
          <w:szCs w:val="24"/>
        </w:rPr>
        <w:t xml:space="preserve"> North America, respectively.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oMath>
      <w:r w:rsidRPr="000636B5">
        <w:rPr>
          <w:rFonts w:ascii="Times New Roman" w:hAnsi="Times New Roman" w:cs="Times New Roman"/>
          <w:sz w:val="24"/>
          <w:szCs w:val="24"/>
        </w:rPr>
        <w:t xml:space="preserve"> is defined as </w:t>
      </w:r>
      <m:oMath>
        <m:r>
          <w:rPr>
            <w:rFonts w:ascii="Cambria Math" w:hAnsi="Cambria Math" w:cs="Times New Roman"/>
            <w:sz w:val="24"/>
            <w:szCs w:val="24"/>
          </w:rPr>
          <m:t>max</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e>
        </m:d>
      </m:oMath>
      <w:r w:rsidRPr="000636B5">
        <w:rPr>
          <w:rFonts w:ascii="Times New Roman" w:hAnsi="Times New Roman" w:cs="Times New Roman"/>
          <w:sz w:val="24"/>
          <w:szCs w:val="24"/>
        </w:rPr>
        <w:t xml:space="preserve"> where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Pr="000636B5">
        <w:rPr>
          <w:rFonts w:ascii="Times New Roman" w:hAnsi="Times New Roman" w:cs="Times New Roman"/>
          <w:sz w:val="24"/>
          <w:szCs w:val="24"/>
        </w:rPr>
        <w:t xml:space="preserve"> are the crustal thickness for the two respective models. The difference is integrated from 5 km below the deeper Moho to 150 km beneath the surface. 150 km is used in the integration as the uppermost 150 km of the US crust and uppermost mantle are well constrained. In this study, instead of using the whole crust and uppermost mantle Vs and crustal thickness (e.g., Shapiro and </w:t>
      </w:r>
      <w:proofErr w:type="spellStart"/>
      <w:r w:rsidRPr="000636B5">
        <w:rPr>
          <w:rFonts w:ascii="Times New Roman" w:hAnsi="Times New Roman" w:cs="Times New Roman"/>
          <w:sz w:val="24"/>
          <w:szCs w:val="24"/>
        </w:rPr>
        <w:t>Ritzwoller</w:t>
      </w:r>
      <w:proofErr w:type="spellEnd"/>
      <w:r w:rsidRPr="000636B5">
        <w:rPr>
          <w:rFonts w:ascii="Times New Roman" w:hAnsi="Times New Roman" w:cs="Times New Roman"/>
          <w:sz w:val="24"/>
          <w:szCs w:val="24"/>
        </w:rPr>
        <w:t xml:space="preserve"> (2004)), we define the similarity functional by comparing </w:t>
      </w:r>
      <w:r w:rsidR="001D0731">
        <w:rPr>
          <w:rFonts w:ascii="Times New Roman" w:hAnsi="Times New Roman" w:cs="Times New Roman"/>
          <w:sz w:val="24"/>
          <w:szCs w:val="24"/>
        </w:rPr>
        <w:t xml:space="preserve">only </w:t>
      </w:r>
      <w:r w:rsidRPr="000636B5">
        <w:rPr>
          <w:rFonts w:ascii="Times New Roman" w:hAnsi="Times New Roman" w:cs="Times New Roman"/>
          <w:sz w:val="24"/>
          <w:szCs w:val="24"/>
        </w:rPr>
        <w:t>the uppermost mantle Vs from near Moho to ~ 150 km</w:t>
      </w:r>
      <w:r w:rsidR="001D0731">
        <w:rPr>
          <w:rFonts w:ascii="Times New Roman" w:hAnsi="Times New Roman" w:cs="Times New Roman"/>
          <w:sz w:val="24"/>
          <w:szCs w:val="24"/>
        </w:rPr>
        <w:t>.</w:t>
      </w:r>
      <w:r w:rsidRPr="000636B5">
        <w:rPr>
          <w:rFonts w:ascii="Times New Roman" w:hAnsi="Times New Roman" w:cs="Times New Roman"/>
          <w:sz w:val="24"/>
          <w:szCs w:val="24"/>
        </w:rPr>
        <w:t xml:space="preserve"> Th</w:t>
      </w:r>
      <w:r w:rsidR="001D0731">
        <w:rPr>
          <w:rFonts w:ascii="Times New Roman" w:hAnsi="Times New Roman" w:cs="Times New Roman"/>
          <w:sz w:val="24"/>
          <w:szCs w:val="24"/>
        </w:rPr>
        <w:t>is</w:t>
      </w:r>
      <w:r w:rsidRPr="000636B5">
        <w:rPr>
          <w:rFonts w:ascii="Times New Roman" w:hAnsi="Times New Roman" w:cs="Times New Roman"/>
          <w:sz w:val="24"/>
          <w:szCs w:val="24"/>
        </w:rPr>
        <w:t xml:space="preserve"> choice is made based on the observation that GHF is more sensitive to upper mantle Vs rather than crustal Vs or seismic crustal thickness. Although the amount of heat production in the crust depends on the crustal thickness, but a less systematic knowledge of the heterogeneity in the crustal composition (especially for Antarctica) prevents us from fully incorporating crustal thickness into the calibration (e.g., Shapiro and </w:t>
      </w:r>
      <w:proofErr w:type="spellStart"/>
      <w:r w:rsidRPr="000636B5">
        <w:rPr>
          <w:rFonts w:ascii="Times New Roman" w:hAnsi="Times New Roman" w:cs="Times New Roman"/>
          <w:sz w:val="24"/>
          <w:szCs w:val="24"/>
        </w:rPr>
        <w:t>Ritzwoller</w:t>
      </w:r>
      <w:proofErr w:type="spellEnd"/>
      <w:r w:rsidRPr="000636B5">
        <w:rPr>
          <w:rFonts w:ascii="Times New Roman" w:hAnsi="Times New Roman" w:cs="Times New Roman"/>
          <w:sz w:val="24"/>
          <w:szCs w:val="24"/>
        </w:rPr>
        <w:t xml:space="preserve">, 2004). Additionally, the crustal thickness of the continental US also shows a weaker correlation with observed GHF compared with the uppermost mantle (Fig. S3). This is indicative of a more complex relationship between the crustal thickness and GHF, which calls for further sophisticated studies to the crustal composition and heat elements concentration (e.g., </w:t>
      </w:r>
      <w:proofErr w:type="spellStart"/>
      <w:r w:rsidRPr="000636B5">
        <w:rPr>
          <w:rFonts w:ascii="Times New Roman" w:hAnsi="Times New Roman" w:cs="Times New Roman"/>
          <w:sz w:val="24"/>
          <w:szCs w:val="24"/>
        </w:rPr>
        <w:t>Hasterok</w:t>
      </w:r>
      <w:proofErr w:type="spellEnd"/>
      <w:r w:rsidRPr="000636B5">
        <w:rPr>
          <w:rFonts w:ascii="Times New Roman" w:hAnsi="Times New Roman" w:cs="Times New Roman"/>
          <w:sz w:val="24"/>
          <w:szCs w:val="24"/>
        </w:rPr>
        <w:t xml:space="preserve"> et al., 2018). </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t xml:space="preserve">In this study, we use </w:t>
      </w:r>
      <w:r w:rsidR="00B6457C" w:rsidRPr="000636B5">
        <w:rPr>
          <w:rFonts w:ascii="Times New Roman" w:hAnsi="Times New Roman" w:cs="Times New Roman"/>
          <w:sz w:val="24"/>
          <w:szCs w:val="24"/>
        </w:rPr>
        <w:t>a</w:t>
      </w:r>
      <w:r w:rsidRPr="000636B5">
        <w:rPr>
          <w:rFonts w:ascii="Times New Roman" w:hAnsi="Times New Roman" w:cs="Times New Roman"/>
          <w:sz w:val="24"/>
          <w:szCs w:val="24"/>
        </w:rPr>
        <w:t xml:space="preserve"> portion of the continental US areas that have the most similar uppermost mantle structure to form the GHF distribution for local Antarctica points. The portion is set to be 0.5% of the whole continental US. Other choices of areas are also tested and the results for two points (the South Pole, and the West Antarctica) are presented in Fig. A4. The general result shows that the smaller </w:t>
      </w:r>
      <w:r>
        <w:rPr>
          <w:rFonts w:ascii="Times New Roman" w:hAnsi="Times New Roman" w:cs="Times New Roman"/>
          <w:sz w:val="24"/>
          <w:szCs w:val="24"/>
        </w:rPr>
        <w:t xml:space="preserve">an </w:t>
      </w:r>
      <w:r w:rsidRPr="000636B5">
        <w:rPr>
          <w:rFonts w:ascii="Times New Roman" w:hAnsi="Times New Roman" w:cs="Times New Roman"/>
          <w:sz w:val="24"/>
          <w:szCs w:val="24"/>
        </w:rPr>
        <w:t>SSR</w:t>
      </w:r>
      <w:r w:rsidR="001D0731">
        <w:rPr>
          <w:rFonts w:ascii="Times New Roman" w:hAnsi="Times New Roman" w:cs="Times New Roman"/>
          <w:sz w:val="24"/>
          <w:szCs w:val="24"/>
        </w:rPr>
        <w:t xml:space="preserve"> is defined</w:t>
      </w:r>
      <w:r w:rsidRPr="000636B5">
        <w:rPr>
          <w:rFonts w:ascii="Times New Roman" w:hAnsi="Times New Roman" w:cs="Times New Roman"/>
          <w:sz w:val="24"/>
          <w:szCs w:val="24"/>
        </w:rPr>
        <w:t xml:space="preserve">, the smaller uncertainties are obtained, reflecting </w:t>
      </w:r>
      <w:proofErr w:type="gramStart"/>
      <w:r w:rsidRPr="000636B5">
        <w:rPr>
          <w:rFonts w:ascii="Times New Roman" w:hAnsi="Times New Roman" w:cs="Times New Roman"/>
          <w:sz w:val="24"/>
          <w:szCs w:val="24"/>
        </w:rPr>
        <w:t>less</w:t>
      </w:r>
      <w:proofErr w:type="gramEnd"/>
      <w:r w:rsidRPr="000636B5">
        <w:rPr>
          <w:rFonts w:ascii="Times New Roman" w:hAnsi="Times New Roman" w:cs="Times New Roman"/>
          <w:sz w:val="24"/>
          <w:szCs w:val="24"/>
        </w:rPr>
        <w:t xml:space="preserve"> number of local GHF values that are used to form the distribution. The reduction in uncertainties </w:t>
      </w:r>
      <w:r w:rsidRPr="000636B5">
        <w:rPr>
          <w:rFonts w:ascii="Times New Roman" w:hAnsi="Times New Roman" w:cs="Times New Roman"/>
          <w:sz w:val="24"/>
          <w:szCs w:val="24"/>
        </w:rPr>
        <w:lastRenderedPageBreak/>
        <w:t xml:space="preserve">increases the risk that the estimated GHF is biased by local non-tectonic factors such as shallow hydrological circulation. The greater </w:t>
      </w:r>
      <w:r>
        <w:rPr>
          <w:rFonts w:ascii="Times New Roman" w:hAnsi="Times New Roman" w:cs="Times New Roman"/>
          <w:sz w:val="24"/>
          <w:szCs w:val="24"/>
        </w:rPr>
        <w:t>an</w:t>
      </w:r>
      <w:r w:rsidRPr="000636B5">
        <w:rPr>
          <w:rFonts w:ascii="Times New Roman" w:hAnsi="Times New Roman" w:cs="Times New Roman"/>
          <w:sz w:val="24"/>
          <w:szCs w:val="24"/>
        </w:rPr>
        <w:t xml:space="preserve"> SSR</w:t>
      </w:r>
      <w:r w:rsidR="001D0731">
        <w:rPr>
          <w:rFonts w:ascii="Times New Roman" w:hAnsi="Times New Roman" w:cs="Times New Roman"/>
          <w:sz w:val="24"/>
          <w:szCs w:val="24"/>
        </w:rPr>
        <w:t xml:space="preserve"> is chosen</w:t>
      </w:r>
      <w:r w:rsidRPr="000636B5">
        <w:rPr>
          <w:rFonts w:ascii="Times New Roman" w:hAnsi="Times New Roman" w:cs="Times New Roman"/>
          <w:sz w:val="24"/>
          <w:szCs w:val="24"/>
        </w:rPr>
        <w:t xml:space="preserve">, we observe that the uncertainties approach a relatively constant value, but the estimated mean is biased towards the continental GHF mean, reducing the resolution of the final GHF map. As a result, 0.5% of the continental US is chosen to maintain a balance between local fluctuation effect and resolution. </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t xml:space="preserve">Based on the distribution of GHF values from SSR, the final GHF value for the Antarctic location </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Pr="000636B5">
        <w:rPr>
          <w:rFonts w:ascii="Times New Roman" w:hAnsi="Times New Roman" w:cs="Times New Roman"/>
          <w:sz w:val="24"/>
          <w:szCs w:val="24"/>
        </w:rPr>
        <w:t>is defined by a weighted average scheme:</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d>
          <m:r>
            <w:rPr>
              <w:rFonts w:ascii="Cambria Math" w:hAnsi="Cambria Math" w:cs="Times New Roman"/>
              <w:sz w:val="24"/>
              <w:szCs w:val="24"/>
            </w:rPr>
            <m:t>=</m:t>
          </m:r>
          <m:f>
            <m:fPr>
              <m:type m:val="lin"/>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m:t>
                      </m:r>
                    </m:sub>
                  </m:sSub>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)∙w(i,</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w(i,</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e>
              </m:nary>
            </m:den>
          </m:f>
        </m:oMath>
      </m:oMathPara>
    </w:p>
    <w:p w:rsidR="00560F8D" w:rsidRPr="00560F8D" w:rsidRDefault="008B0839">
      <w:pPr>
        <w:rPr>
          <w:rFonts w:ascii="Times New Roman" w:hAnsi="Times New Roman" w:cs="Times New Roman"/>
          <w:sz w:val="24"/>
          <w:szCs w:val="24"/>
        </w:rPr>
      </w:pPr>
      <w:r w:rsidRPr="000636B5">
        <w:rPr>
          <w:rFonts w:ascii="Times New Roman" w:hAnsi="Times New Roman" w:cs="Times New Roman"/>
          <w:sz w:val="24"/>
          <w:szCs w:val="24"/>
        </w:rPr>
        <w:t xml:space="preserve">in which the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m:t>
            </m:r>
          </m:sub>
        </m:sSub>
        <m:r>
          <w:rPr>
            <w:rFonts w:ascii="Cambria Math" w:hAnsi="Cambria Math" w:cs="Times New Roman"/>
            <w:sz w:val="24"/>
            <w:szCs w:val="24"/>
          </w:rPr>
          <m:t>(i)</m:t>
        </m:r>
      </m:oMath>
      <w:r w:rsidRPr="000636B5">
        <w:rPr>
          <w:rFonts w:ascii="Times New Roman" w:hAnsi="Times New Roman" w:cs="Times New Roman"/>
          <w:sz w:val="24"/>
          <w:szCs w:val="24"/>
        </w:rPr>
        <w:t xml:space="preserve"> is the GHF value of the </w:t>
      </w:r>
      <w:proofErr w:type="spellStart"/>
      <w:r w:rsidRPr="000636B5">
        <w:rPr>
          <w:rFonts w:ascii="Times New Roman" w:hAnsi="Times New Roman" w:cs="Times New Roman"/>
          <w:sz w:val="24"/>
          <w:szCs w:val="24"/>
        </w:rPr>
        <w:t>i</w:t>
      </w:r>
      <w:r w:rsidRPr="000636B5">
        <w:rPr>
          <w:rFonts w:ascii="Times New Roman" w:hAnsi="Times New Roman" w:cs="Times New Roman"/>
          <w:sz w:val="24"/>
          <w:szCs w:val="24"/>
          <w:vertAlign w:val="superscript"/>
        </w:rPr>
        <w:t>th</w:t>
      </w:r>
      <w:proofErr w:type="spellEnd"/>
      <w:r w:rsidRPr="000636B5">
        <w:rPr>
          <w:rFonts w:ascii="Times New Roman" w:hAnsi="Times New Roman" w:cs="Times New Roman"/>
          <w:sz w:val="24"/>
          <w:szCs w:val="24"/>
          <w:vertAlign w:val="superscript"/>
        </w:rPr>
        <w:t xml:space="preserve"> </w:t>
      </w:r>
      <w:r w:rsidRPr="000636B5">
        <w:rPr>
          <w:rFonts w:ascii="Times New Roman" w:hAnsi="Times New Roman" w:cs="Times New Roman"/>
          <w:sz w:val="24"/>
          <w:szCs w:val="24"/>
        </w:rPr>
        <w:t xml:space="preserve">model in the SSR, and the weighting factor </w:t>
      </w:r>
      <m:oMath>
        <m:r>
          <w:rPr>
            <w:rFonts w:ascii="Cambria Math" w:hAnsi="Cambria Math" w:cs="Times New Roman"/>
            <w:sz w:val="24"/>
            <w:szCs w:val="24"/>
          </w:rPr>
          <m:t>w(i,</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oMath>
      <w:r w:rsidRPr="000636B5">
        <w:rPr>
          <w:rFonts w:ascii="Times New Roman" w:hAnsi="Times New Roman" w:cs="Times New Roman"/>
          <w:sz w:val="24"/>
          <w:szCs w:val="24"/>
        </w:rPr>
        <w:t xml:space="preserve"> is defined as the</w:t>
      </w:r>
      <w:r w:rsidRPr="000636B5">
        <w:rPr>
          <w:rFonts w:ascii="Times New Roman" w:hAnsi="Times New Roman" w:cs="Times New Roman"/>
          <w:sz w:val="24"/>
          <w:szCs w:val="24"/>
          <w:lang w:val="en-US"/>
        </w:rPr>
        <w:t xml:space="preserve"> reciprocal of the similarity functional</w:t>
      </w:r>
      <w:r w:rsidRPr="000636B5">
        <w:rPr>
          <w:rFonts w:ascii="Times New Roman" w:hAnsi="Times New Roman" w:cs="Times New Roman"/>
          <w:sz w:val="24"/>
          <w:szCs w:val="24"/>
        </w:rPr>
        <w:t xml:space="preserve"> : </w:t>
      </w:r>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d>
        <m:r>
          <w:rPr>
            <w:rFonts w:ascii="Cambria Math" w:hAnsi="Cambria Math" w:cs="Times New Roman"/>
            <w:sz w:val="24"/>
            <w:szCs w:val="24"/>
          </w:rPr>
          <m:t>=</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S(</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den>
        </m:f>
        <m:r>
          <w:rPr>
            <w:rFonts w:ascii="Cambria Math" w:hAnsi="Cambria Math" w:cs="Times New Roman"/>
            <w:sz w:val="24"/>
            <w:szCs w:val="24"/>
          </w:rPr>
          <m:t>.</m:t>
        </m:r>
      </m:oMath>
      <w:r w:rsidRPr="000636B5">
        <w:rPr>
          <w:rFonts w:ascii="Times New Roman" w:hAnsi="Times New Roman" w:cs="Times New Roman"/>
          <w:sz w:val="24"/>
          <w:szCs w:val="24"/>
        </w:rPr>
        <w:t xml:space="preserve"> This scheme allows the final GHF approximates to the observed North American GHF value at the most similar location.</w:t>
      </w:r>
      <w:r w:rsidR="00B6457C" w:rsidRPr="000636B5">
        <w:rPr>
          <w:rFonts w:ascii="Times New Roman" w:hAnsi="Times New Roman" w:cs="Times New Roman"/>
          <w:sz w:val="24"/>
          <w:szCs w:val="24"/>
        </w:rPr>
        <w:t xml:space="preserve"> </w:t>
      </w:r>
    </w:p>
    <w:p w:rsidR="00560F8D" w:rsidRPr="00560F8D" w:rsidRDefault="00560F8D">
      <w:pPr>
        <w:rPr>
          <w:rFonts w:ascii="Times New Roman" w:hAnsi="Times New Roman" w:cs="Times New Roman"/>
          <w:sz w:val="24"/>
          <w:szCs w:val="24"/>
        </w:rPr>
      </w:pPr>
    </w:p>
    <w:p w:rsidR="008B0839"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t>In this study, the uncertainty defined by the 1-std of the distribution is also only a proxy: low uncertainty simply means that for all the regions in the continental US that are similar to a given point in Antarctica, their locally measured GHFs are also quantitatively similar to each other; and a higher uncertainty means that for the areas with similar mantle structure, their GHFs may vary more significantly. We also note that this definition of the final GHF value may differ from the value defined as the median/most likely GHF since the GHF distribution may not be Gaussian (see Fig. 2), although for most areas the distributions are Gaussian-like, if not perfectly Gaussian. Future investigation to these distributions should be performed to develop further understanding their physical meanings.</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b/>
          <w:sz w:val="24"/>
          <w:szCs w:val="24"/>
        </w:rPr>
      </w:pPr>
      <w:r w:rsidRPr="000636B5">
        <w:rPr>
          <w:rFonts w:ascii="Times New Roman" w:hAnsi="Times New Roman" w:cs="Times New Roman"/>
          <w:b/>
          <w:sz w:val="24"/>
          <w:szCs w:val="24"/>
        </w:rPr>
        <w:t>S</w:t>
      </w:r>
      <w:r>
        <w:rPr>
          <w:rFonts w:ascii="Times New Roman" w:hAnsi="Times New Roman" w:cs="Times New Roman"/>
          <w:b/>
          <w:sz w:val="24"/>
          <w:szCs w:val="24"/>
        </w:rPr>
        <w:t>4</w:t>
      </w:r>
      <w:r w:rsidRPr="000636B5">
        <w:rPr>
          <w:rFonts w:ascii="Times New Roman" w:hAnsi="Times New Roman" w:cs="Times New Roman"/>
          <w:b/>
          <w:sz w:val="24"/>
          <w:szCs w:val="24"/>
        </w:rPr>
        <w:t>. Comparison with earlier published GHF map</w:t>
      </w:r>
    </w:p>
    <w:p w:rsidR="004E469F" w:rsidRPr="000636B5" w:rsidRDefault="004E469F">
      <w:pPr>
        <w:rPr>
          <w:rFonts w:ascii="Times New Roman" w:hAnsi="Times New Roman" w:cs="Times New Roman"/>
          <w:sz w:val="24"/>
          <w:szCs w:val="24"/>
        </w:rPr>
      </w:pP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sz w:val="24"/>
          <w:szCs w:val="24"/>
        </w:rPr>
        <w:t xml:space="preserve">The comparison with earlier </w:t>
      </w:r>
      <w:r>
        <w:rPr>
          <w:rFonts w:ascii="Times New Roman" w:hAnsi="Times New Roman" w:cs="Times New Roman"/>
          <w:sz w:val="24"/>
          <w:szCs w:val="24"/>
        </w:rPr>
        <w:t xml:space="preserve">Antarctica GHF </w:t>
      </w:r>
      <w:r w:rsidRPr="000636B5">
        <w:rPr>
          <w:rFonts w:ascii="Times New Roman" w:hAnsi="Times New Roman" w:cs="Times New Roman"/>
          <w:sz w:val="24"/>
          <w:szCs w:val="24"/>
        </w:rPr>
        <w:t>map</w:t>
      </w:r>
      <w:r>
        <w:rPr>
          <w:rFonts w:ascii="Times New Roman" w:hAnsi="Times New Roman" w:cs="Times New Roman"/>
          <w:sz w:val="24"/>
          <w:szCs w:val="24"/>
        </w:rPr>
        <w:t>s</w:t>
      </w:r>
      <w:r w:rsidRPr="000636B5">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0636B5">
        <w:rPr>
          <w:rFonts w:ascii="Times New Roman" w:hAnsi="Times New Roman" w:cs="Times New Roman"/>
          <w:sz w:val="24"/>
          <w:szCs w:val="24"/>
        </w:rPr>
        <w:t xml:space="preserve">shown in </w:t>
      </w:r>
      <w:r w:rsidRPr="000636B5">
        <w:rPr>
          <w:rFonts w:ascii="Times New Roman" w:hAnsi="Times New Roman" w:cs="Times New Roman"/>
          <w:color w:val="FF0000"/>
          <w:sz w:val="24"/>
          <w:szCs w:val="24"/>
        </w:rPr>
        <w:t>Fig. S</w:t>
      </w:r>
      <w:r>
        <w:rPr>
          <w:rFonts w:ascii="Times New Roman" w:hAnsi="Times New Roman" w:cs="Times New Roman"/>
          <w:color w:val="FF0000"/>
          <w:sz w:val="24"/>
          <w:szCs w:val="24"/>
        </w:rPr>
        <w:t>5</w:t>
      </w:r>
      <w:r w:rsidRPr="000636B5">
        <w:rPr>
          <w:rFonts w:ascii="Times New Roman" w:hAnsi="Times New Roman" w:cs="Times New Roman"/>
          <w:sz w:val="24"/>
          <w:szCs w:val="24"/>
        </w:rPr>
        <w:t>. On average, the map shows a lower GHF in the West Antarctica and a higher GHF in the East Antarctica</w:t>
      </w:r>
      <w:r>
        <w:rPr>
          <w:rFonts w:ascii="Times New Roman" w:hAnsi="Times New Roman" w:cs="Times New Roman"/>
          <w:sz w:val="24"/>
          <w:szCs w:val="24"/>
        </w:rPr>
        <w:t xml:space="preserve">. It also </w:t>
      </w:r>
      <w:r w:rsidRPr="000636B5">
        <w:rPr>
          <w:rFonts w:ascii="Times New Roman" w:hAnsi="Times New Roman" w:cs="Times New Roman"/>
          <w:sz w:val="24"/>
          <w:szCs w:val="24"/>
        </w:rPr>
        <w:t xml:space="preserve">reveals more regional variations within each province. For example, the earlier map shows one high GHF anomaly across the majority of the West Antarctic Rift system, while we show the high GHF values along the Transantarctic Mountains and the Marie Byrd Land but modest values near the </w:t>
      </w:r>
      <w:proofErr w:type="spellStart"/>
      <w:r w:rsidRPr="000636B5">
        <w:rPr>
          <w:rFonts w:ascii="Times New Roman" w:hAnsi="Times New Roman" w:cs="Times New Roman"/>
          <w:sz w:val="24"/>
          <w:szCs w:val="24"/>
        </w:rPr>
        <w:t>Siple</w:t>
      </w:r>
      <w:proofErr w:type="spellEnd"/>
      <w:r w:rsidRPr="000636B5">
        <w:rPr>
          <w:rFonts w:ascii="Times New Roman" w:hAnsi="Times New Roman" w:cs="Times New Roman"/>
          <w:sz w:val="24"/>
          <w:szCs w:val="24"/>
        </w:rPr>
        <w:t xml:space="preserve"> Coast region as well as inner part of the Ross Ice Shelf. Within the East Antarctica, variations at scales of ~ 100-300 km are also observed, and elevated GHF values (~ 60-70 </w:t>
      </w:r>
      <w:proofErr w:type="spellStart"/>
      <w:r w:rsidRPr="000636B5">
        <w:rPr>
          <w:rFonts w:ascii="Times New Roman" w:hAnsi="Times New Roman" w:cs="Times New Roman"/>
          <w:sz w:val="24"/>
          <w:szCs w:val="24"/>
        </w:rPr>
        <w:t>mW</w:t>
      </w:r>
      <w:proofErr w:type="spellEnd"/>
      <w:r w:rsidRPr="000636B5">
        <w:rPr>
          <w:rFonts w:ascii="Times New Roman" w:hAnsi="Times New Roman" w:cs="Times New Roman"/>
          <w:sz w:val="24"/>
          <w:szCs w:val="24"/>
        </w:rPr>
        <w:t>/m</w:t>
      </w:r>
      <w:r w:rsidRPr="000636B5">
        <w:rPr>
          <w:rFonts w:ascii="Times New Roman" w:hAnsi="Times New Roman" w:cs="Times New Roman"/>
          <w:sz w:val="24"/>
          <w:szCs w:val="24"/>
          <w:vertAlign w:val="superscript"/>
        </w:rPr>
        <w:t>2</w:t>
      </w:r>
      <w:r w:rsidRPr="000636B5">
        <w:rPr>
          <w:rFonts w:ascii="Times New Roman" w:hAnsi="Times New Roman" w:cs="Times New Roman"/>
          <w:sz w:val="24"/>
          <w:szCs w:val="24"/>
        </w:rPr>
        <w:t xml:space="preserve">) are seen near the </w:t>
      </w:r>
      <w:proofErr w:type="spellStart"/>
      <w:r w:rsidRPr="000636B5">
        <w:rPr>
          <w:rFonts w:ascii="Times New Roman" w:hAnsi="Times New Roman" w:cs="Times New Roman"/>
          <w:sz w:val="24"/>
          <w:szCs w:val="24"/>
        </w:rPr>
        <w:t>Dronning</w:t>
      </w:r>
      <w:proofErr w:type="spellEnd"/>
      <w:r w:rsidRPr="000636B5">
        <w:rPr>
          <w:rFonts w:ascii="Times New Roman" w:hAnsi="Times New Roman" w:cs="Times New Roman"/>
          <w:sz w:val="24"/>
          <w:szCs w:val="24"/>
        </w:rPr>
        <w:t xml:space="preserve"> Maud Land. Moreover, the uncertainties of the new map (~ 9 </w:t>
      </w:r>
      <w:proofErr w:type="spellStart"/>
      <w:r w:rsidRPr="000636B5">
        <w:rPr>
          <w:rFonts w:ascii="Times New Roman" w:hAnsi="Times New Roman" w:cs="Times New Roman"/>
          <w:sz w:val="24"/>
          <w:szCs w:val="24"/>
        </w:rPr>
        <w:t>mW</w:t>
      </w:r>
      <w:proofErr w:type="spellEnd"/>
      <w:r w:rsidRPr="000636B5">
        <w:rPr>
          <w:rFonts w:ascii="Times New Roman" w:hAnsi="Times New Roman" w:cs="Times New Roman"/>
          <w:sz w:val="24"/>
          <w:szCs w:val="24"/>
        </w:rPr>
        <w:t>/m</w:t>
      </w:r>
      <w:r w:rsidRPr="000636B5">
        <w:rPr>
          <w:rFonts w:ascii="Times New Roman" w:hAnsi="Times New Roman" w:cs="Times New Roman"/>
          <w:sz w:val="24"/>
          <w:szCs w:val="24"/>
          <w:vertAlign w:val="superscript"/>
        </w:rPr>
        <w:t>2</w:t>
      </w:r>
      <w:r w:rsidRPr="000636B5">
        <w:rPr>
          <w:rFonts w:ascii="Times New Roman" w:hAnsi="Times New Roman" w:cs="Times New Roman"/>
          <w:sz w:val="24"/>
          <w:szCs w:val="24"/>
        </w:rPr>
        <w:t xml:space="preserve">) is significantly smaller than the old map (~ 30 </w:t>
      </w:r>
      <w:proofErr w:type="spellStart"/>
      <w:r w:rsidRPr="000636B5">
        <w:rPr>
          <w:rFonts w:ascii="Times New Roman" w:hAnsi="Times New Roman" w:cs="Times New Roman"/>
          <w:sz w:val="24"/>
          <w:szCs w:val="24"/>
        </w:rPr>
        <w:t>mW</w:t>
      </w:r>
      <w:proofErr w:type="spellEnd"/>
      <w:r w:rsidRPr="000636B5">
        <w:rPr>
          <w:rFonts w:ascii="Times New Roman" w:hAnsi="Times New Roman" w:cs="Times New Roman"/>
          <w:sz w:val="24"/>
          <w:szCs w:val="24"/>
        </w:rPr>
        <w:t>/m</w:t>
      </w:r>
      <w:r w:rsidRPr="000636B5">
        <w:rPr>
          <w:rFonts w:ascii="Times New Roman" w:hAnsi="Times New Roman" w:cs="Times New Roman"/>
          <w:sz w:val="24"/>
          <w:szCs w:val="24"/>
          <w:vertAlign w:val="superscript"/>
        </w:rPr>
        <w:t>2</w:t>
      </w:r>
      <w:r w:rsidRPr="000636B5">
        <w:rPr>
          <w:rFonts w:ascii="Times New Roman" w:hAnsi="Times New Roman" w:cs="Times New Roman"/>
          <w:sz w:val="24"/>
          <w:szCs w:val="24"/>
        </w:rPr>
        <w:t xml:space="preserve">), as we use a much better observed GHF map in the continental US, while the earlier studies used a low-resolution global seismic model and global GHF map. We also include the geomagnetically derived maps from </w:t>
      </w:r>
      <w:r>
        <w:rPr>
          <w:rFonts w:ascii="Times New Roman" w:hAnsi="Times New Roman" w:cs="Times New Roman"/>
          <w:sz w:val="24"/>
          <w:szCs w:val="24"/>
        </w:rPr>
        <w:t>Fox-</w:t>
      </w:r>
      <w:r w:rsidRPr="000636B5">
        <w:rPr>
          <w:rFonts w:ascii="Times New Roman" w:hAnsi="Times New Roman" w:cs="Times New Roman"/>
          <w:sz w:val="24"/>
          <w:szCs w:val="24"/>
        </w:rPr>
        <w:t xml:space="preserve">Maule et al. (2005) and </w:t>
      </w:r>
      <w:proofErr w:type="spellStart"/>
      <w:r w:rsidRPr="000636B5">
        <w:rPr>
          <w:rFonts w:ascii="Times New Roman" w:hAnsi="Times New Roman" w:cs="Times New Roman"/>
          <w:sz w:val="24"/>
          <w:szCs w:val="24"/>
        </w:rPr>
        <w:t>Martos</w:t>
      </w:r>
      <w:proofErr w:type="spellEnd"/>
      <w:r w:rsidRPr="000636B5">
        <w:rPr>
          <w:rFonts w:ascii="Times New Roman" w:hAnsi="Times New Roman" w:cs="Times New Roman"/>
          <w:sz w:val="24"/>
          <w:szCs w:val="24"/>
        </w:rPr>
        <w:t xml:space="preserve"> et al., (2017) for comparison. </w:t>
      </w: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sz w:val="24"/>
          <w:szCs w:val="24"/>
        </w:rPr>
        <w:lastRenderedPageBreak/>
        <w:br w:type="page"/>
      </w:r>
    </w:p>
    <w:p w:rsidR="004E469F" w:rsidRPr="000636B5" w:rsidRDefault="008B0839">
      <w:pPr>
        <w:rPr>
          <w:rFonts w:ascii="Times New Roman" w:hAnsi="Times New Roman" w:cs="Times New Roman"/>
          <w:color w:val="FF0000"/>
          <w:sz w:val="24"/>
          <w:szCs w:val="24"/>
        </w:rPr>
      </w:pPr>
      <w:r w:rsidRPr="000636B5">
        <w:rPr>
          <w:rFonts w:ascii="Times New Roman" w:hAnsi="Times New Roman" w:cs="Times New Roman"/>
          <w:noProof/>
          <w:sz w:val="24"/>
          <w:szCs w:val="24"/>
          <w:lang w:val="en-US"/>
        </w:rPr>
        <w:lastRenderedPageBreak/>
        <w:drawing>
          <wp:anchor distT="114300" distB="114300" distL="114300" distR="114300" simplePos="0" relativeHeight="251670528" behindDoc="0" locked="0" layoutInCell="1" allowOverlap="1">
            <wp:simplePos x="0" y="0"/>
            <wp:positionH relativeFrom="column">
              <wp:posOffset>-21590</wp:posOffset>
            </wp:positionH>
            <wp:positionV relativeFrom="paragraph">
              <wp:posOffset>412115</wp:posOffset>
            </wp:positionV>
            <wp:extent cx="5777865" cy="3304540"/>
            <wp:effectExtent l="12700" t="12700" r="26035" b="3556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7"/>
                    <a:srcRect/>
                    <a:stretch>
                      <a:fillRect/>
                    </a:stretch>
                  </pic:blipFill>
                  <pic:spPr>
                    <a:xfrm>
                      <a:off x="0" y="0"/>
                      <a:ext cx="5777865" cy="3304540"/>
                    </a:xfrm>
                    <a:prstGeom prst="rect">
                      <a:avLst/>
                    </a:prstGeom>
                    <a:ln w="12700">
                      <a:solidFill>
                        <a:srgbClr val="000000"/>
                      </a:solidFill>
                      <a:prstDash val="solid"/>
                    </a:ln>
                  </pic:spPr>
                </pic:pic>
              </a:graphicData>
            </a:graphic>
          </wp:anchor>
        </w:drawing>
      </w:r>
    </w:p>
    <w:p w:rsidR="004E469F" w:rsidRPr="000636B5" w:rsidRDefault="004E469F">
      <w:pPr>
        <w:ind w:firstLineChars="100" w:firstLine="240"/>
        <w:rPr>
          <w:rFonts w:ascii="Times New Roman" w:hAnsi="Times New Roman" w:cs="Times New Roman"/>
          <w:color w:val="FF0000"/>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color w:val="FF0000"/>
          <w:sz w:val="24"/>
          <w:szCs w:val="24"/>
        </w:rPr>
        <w:t>Fig. S1</w:t>
      </w:r>
      <w:r w:rsidRPr="000636B5">
        <w:rPr>
          <w:rFonts w:ascii="Times New Roman" w:hAnsi="Times New Roman" w:cs="Times New Roman"/>
          <w:sz w:val="24"/>
          <w:szCs w:val="24"/>
        </w:rPr>
        <w:t xml:space="preserve"> Uppermost mantle structures from Lloyd et al., 2019 (a) and Shen et al., 2018 (b). Shear velocity (Vs) at 80 km is shown for both models. The red contour shows the region where Shen et al. 2018 model is available. </w:t>
      </w:r>
    </w:p>
    <w:p w:rsidR="004E469F" w:rsidRPr="000636B5" w:rsidRDefault="008B0839">
      <w:pPr>
        <w:rPr>
          <w:rFonts w:ascii="Times New Roman" w:hAnsi="Times New Roman" w:cs="Times New Roman"/>
          <w:sz w:val="24"/>
          <w:szCs w:val="24"/>
        </w:rPr>
      </w:pPr>
      <w:r w:rsidRPr="000636B5">
        <w:rPr>
          <w:rFonts w:ascii="Times New Roman" w:hAnsi="Times New Roman" w:cs="Times New Roman"/>
          <w:noProof/>
          <w:sz w:val="24"/>
          <w:szCs w:val="24"/>
          <w:lang w:val="en-US"/>
        </w:rPr>
        <w:lastRenderedPageBreak/>
        <w:drawing>
          <wp:anchor distT="114300" distB="114300" distL="114300" distR="114300" simplePos="0" relativeHeight="251665408" behindDoc="0" locked="0" layoutInCell="1" allowOverlap="1">
            <wp:simplePos x="0" y="0"/>
            <wp:positionH relativeFrom="column">
              <wp:posOffset>1487170</wp:posOffset>
            </wp:positionH>
            <wp:positionV relativeFrom="paragraph">
              <wp:posOffset>200025</wp:posOffset>
            </wp:positionV>
            <wp:extent cx="3113405" cy="6001385"/>
            <wp:effectExtent l="12700" t="12700" r="23495" b="31115"/>
            <wp:wrapTopAndBottom/>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8"/>
                    <a:srcRect/>
                    <a:stretch>
                      <a:fillRect/>
                    </a:stretch>
                  </pic:blipFill>
                  <pic:spPr>
                    <a:xfrm>
                      <a:off x="0" y="0"/>
                      <a:ext cx="3113405" cy="6001385"/>
                    </a:xfrm>
                    <a:prstGeom prst="rect">
                      <a:avLst/>
                    </a:prstGeom>
                    <a:ln w="12700">
                      <a:solidFill>
                        <a:srgbClr val="000000"/>
                      </a:solidFill>
                      <a:prstDash val="solid"/>
                    </a:ln>
                  </pic:spPr>
                </pic:pic>
              </a:graphicData>
            </a:graphic>
          </wp:anchor>
        </w:drawing>
      </w: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color w:val="FF0000"/>
          <w:sz w:val="24"/>
          <w:szCs w:val="24"/>
        </w:rPr>
        <w:t>Fig. S2</w:t>
      </w:r>
      <w:r w:rsidRPr="000636B5">
        <w:rPr>
          <w:rFonts w:ascii="Times New Roman" w:hAnsi="Times New Roman" w:cs="Times New Roman"/>
          <w:sz w:val="24"/>
          <w:szCs w:val="24"/>
        </w:rPr>
        <w:t xml:space="preserve"> Observed GHF map of North America: (a) raw map; (b) map which is Gaussian smoothed. The uppermost mantle seismic speed from Shen et al., 2016 is shown in (c).</w:t>
      </w:r>
      <w:r>
        <w:rPr>
          <w:rFonts w:ascii="Times New Roman" w:hAnsi="Times New Roman" w:cs="Times New Roman"/>
          <w:sz w:val="24"/>
          <w:szCs w:val="24"/>
        </w:rPr>
        <w:t xml:space="preserve"> The grey area in S. Dakota in (b) is where the observed GHF is affected by local hydrothermal circulation. </w:t>
      </w:r>
    </w:p>
    <w:p w:rsidR="004E469F" w:rsidRPr="000636B5" w:rsidRDefault="004E469F">
      <w:pPr>
        <w:jc w:val="both"/>
        <w:rPr>
          <w:rFonts w:ascii="Times New Roman" w:hAnsi="Times New Roman" w:cs="Times New Roman"/>
          <w:sz w:val="24"/>
          <w:szCs w:val="24"/>
        </w:rPr>
      </w:pPr>
    </w:p>
    <w:p w:rsidR="004E469F" w:rsidRPr="000636B5" w:rsidRDefault="008B0839">
      <w:pPr>
        <w:jc w:val="both"/>
        <w:rPr>
          <w:rFonts w:ascii="Times New Roman" w:hAnsi="Times New Roman" w:cs="Times New Roman"/>
          <w:sz w:val="24"/>
          <w:szCs w:val="24"/>
        </w:rPr>
      </w:pPr>
      <w:r w:rsidRPr="000636B5">
        <w:rPr>
          <w:rFonts w:ascii="Times New Roman" w:hAnsi="Times New Roman" w:cs="Times New Roman"/>
          <w:noProof/>
          <w:sz w:val="24"/>
          <w:szCs w:val="24"/>
          <w:lang w:val="en-US"/>
        </w:rPr>
        <w:lastRenderedPageBreak/>
        <w:drawing>
          <wp:inline distT="114300" distB="114300" distL="114300" distR="114300">
            <wp:extent cx="6057900" cy="2349500"/>
            <wp:effectExtent l="0" t="0" r="12700" b="1270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9"/>
                    <a:srcRect/>
                    <a:stretch>
                      <a:fillRect/>
                    </a:stretch>
                  </pic:blipFill>
                  <pic:spPr>
                    <a:xfrm>
                      <a:off x="0" y="0"/>
                      <a:ext cx="6057900" cy="2349500"/>
                    </a:xfrm>
                    <a:prstGeom prst="rect">
                      <a:avLst/>
                    </a:prstGeom>
                  </pic:spPr>
                </pic:pic>
              </a:graphicData>
            </a:graphic>
          </wp:inline>
        </w:drawing>
      </w:r>
    </w:p>
    <w:p w:rsidR="004E469F" w:rsidRPr="000636B5" w:rsidRDefault="004E469F">
      <w:pPr>
        <w:jc w:val="both"/>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color w:val="FF0000"/>
          <w:sz w:val="24"/>
          <w:szCs w:val="24"/>
        </w:rPr>
        <w:t>Fig. S3</w:t>
      </w:r>
      <w:r w:rsidRPr="000636B5">
        <w:rPr>
          <w:rFonts w:ascii="Times New Roman" w:hAnsi="Times New Roman" w:cs="Times New Roman"/>
          <w:sz w:val="24"/>
          <w:szCs w:val="24"/>
        </w:rPr>
        <w:t xml:space="preserve">. 2-D histograms for North America surface heat flux and crustal thickness (a), crustal Vs (b), and Vs at 100 km (c). The GHF’s value is taken from the compiled map of Blackwell et al., 2011 shown in Fig. A2b. </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noProof/>
          <w:sz w:val="24"/>
          <w:szCs w:val="24"/>
          <w:lang w:val="en-US"/>
        </w:rPr>
        <w:drawing>
          <wp:inline distT="114300" distB="114300" distL="114300" distR="114300">
            <wp:extent cx="4912360" cy="2880995"/>
            <wp:effectExtent l="0" t="0" r="15240" b="14605"/>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0"/>
                    <a:srcRect/>
                    <a:stretch>
                      <a:fillRect/>
                    </a:stretch>
                  </pic:blipFill>
                  <pic:spPr>
                    <a:xfrm>
                      <a:off x="0" y="0"/>
                      <a:ext cx="4912908" cy="2881313"/>
                    </a:xfrm>
                    <a:prstGeom prst="rect">
                      <a:avLst/>
                    </a:prstGeom>
                  </pic:spPr>
                </pic:pic>
              </a:graphicData>
            </a:graphic>
          </wp:inline>
        </w:drawing>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color w:val="FF0000"/>
          <w:sz w:val="24"/>
          <w:szCs w:val="24"/>
        </w:rPr>
        <w:t>Figure S4</w:t>
      </w:r>
      <w:r w:rsidRPr="000636B5">
        <w:rPr>
          <w:rFonts w:ascii="Times New Roman" w:hAnsi="Times New Roman" w:cs="Times New Roman"/>
          <w:sz w:val="24"/>
          <w:szCs w:val="24"/>
        </w:rPr>
        <w:t xml:space="preserve">. Average and standard deviation of the GHF estimate for the West Antarctica point (red curve and error bars) and the South Pole (blue curve and error bars) as a function of different definition of the structurally similar regions (SSR). The bold solid error bars show the average and standard deviation that are used to construct the GHF and uncertainty maps. </w:t>
      </w:r>
    </w:p>
    <w:p w:rsidR="004E469F" w:rsidRPr="000636B5" w:rsidRDefault="004E469F">
      <w:pPr>
        <w:rPr>
          <w:rFonts w:ascii="Times New Roman" w:hAnsi="Times New Roman" w:cs="Times New Roman"/>
          <w:sz w:val="24"/>
          <w:szCs w:val="24"/>
        </w:rPr>
      </w:pP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noProof/>
          <w:sz w:val="24"/>
          <w:szCs w:val="24"/>
          <w:lang w:val="en-US"/>
        </w:rPr>
        <w:lastRenderedPageBreak/>
        <w:drawing>
          <wp:inline distT="0" distB="0" distL="0" distR="0">
            <wp:extent cx="5943600" cy="5925820"/>
            <wp:effectExtent l="0" t="0" r="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3600" cy="5925820"/>
                    </a:xfrm>
                    <a:prstGeom prst="rect">
                      <a:avLst/>
                    </a:prstGeom>
                  </pic:spPr>
                </pic:pic>
              </a:graphicData>
            </a:graphic>
          </wp:inline>
        </w:drawing>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color w:val="FF0000"/>
          <w:sz w:val="24"/>
          <w:szCs w:val="24"/>
        </w:rPr>
        <w:t>Figure S</w:t>
      </w:r>
      <w:r>
        <w:rPr>
          <w:rFonts w:ascii="Times New Roman" w:hAnsi="Times New Roman" w:cs="Times New Roman"/>
          <w:color w:val="FF0000"/>
          <w:sz w:val="24"/>
          <w:szCs w:val="24"/>
        </w:rPr>
        <w:t>5</w:t>
      </w:r>
      <w:r w:rsidRPr="000636B5">
        <w:rPr>
          <w:rFonts w:ascii="Times New Roman" w:hAnsi="Times New Roman" w:cs="Times New Roman"/>
          <w:sz w:val="24"/>
          <w:szCs w:val="24"/>
        </w:rPr>
        <w:t xml:space="preserve">. Comparison of the GHF map and uncertainties with earlier studies. Green line represents the TAM-PM front range which is regarded as the boundary between the West and East Antarctica. Earlier studies include the seismologically determined GHF maps (Shapiro and </w:t>
      </w:r>
      <w:proofErr w:type="spellStart"/>
      <w:r w:rsidRPr="000636B5">
        <w:rPr>
          <w:rFonts w:ascii="Times New Roman" w:hAnsi="Times New Roman" w:cs="Times New Roman"/>
          <w:sz w:val="24"/>
          <w:szCs w:val="24"/>
        </w:rPr>
        <w:t>Ritzwoller</w:t>
      </w:r>
      <w:proofErr w:type="spellEnd"/>
      <w:r w:rsidRPr="000636B5">
        <w:rPr>
          <w:rFonts w:ascii="Times New Roman" w:hAnsi="Times New Roman" w:cs="Times New Roman"/>
          <w:sz w:val="24"/>
          <w:szCs w:val="24"/>
        </w:rPr>
        <w:t xml:space="preserve">, 2004) and geomagnetically determined maps (Fox-Maule et al., 2005 and </w:t>
      </w:r>
      <w:proofErr w:type="spellStart"/>
      <w:r w:rsidRPr="000636B5">
        <w:rPr>
          <w:rFonts w:ascii="Times New Roman" w:hAnsi="Times New Roman" w:cs="Times New Roman"/>
          <w:sz w:val="24"/>
          <w:szCs w:val="24"/>
        </w:rPr>
        <w:t>Martos</w:t>
      </w:r>
      <w:proofErr w:type="spellEnd"/>
      <w:r w:rsidRPr="000636B5">
        <w:rPr>
          <w:rFonts w:ascii="Times New Roman" w:hAnsi="Times New Roman" w:cs="Times New Roman"/>
          <w:sz w:val="24"/>
          <w:szCs w:val="24"/>
        </w:rPr>
        <w:t xml:space="preserve"> et al., 2017). Note that the regions with high GHF in the West Antarctica do not cross the TAM-PM front range in these geomagnetically determined maps, which did not take account of the lithospheric delamination beneath the Southern Transantarctic Mountains. </w:t>
      </w:r>
    </w:p>
    <w:p w:rsidR="004E469F" w:rsidRPr="000636B5" w:rsidRDefault="004E469F">
      <w:pPr>
        <w:rPr>
          <w:rFonts w:ascii="Times New Roman" w:hAnsi="Times New Roman" w:cs="Times New Roman"/>
          <w:sz w:val="24"/>
          <w:szCs w:val="24"/>
        </w:rPr>
      </w:pP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br w:type="page"/>
      </w: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rPr>
        <w:lastRenderedPageBreak/>
        <w:t>Reference List:</w:t>
      </w:r>
    </w:p>
    <w:p w:rsidR="004E469F" w:rsidRPr="000636B5" w:rsidRDefault="004E469F">
      <w:pPr>
        <w:rPr>
          <w:rFonts w:ascii="Times New Roman" w:hAnsi="Times New Roman" w:cs="Times New Roman"/>
          <w:sz w:val="24"/>
          <w:szCs w:val="24"/>
        </w:rPr>
      </w:pPr>
    </w:p>
    <w:p w:rsidR="004E469F" w:rsidRPr="000636B5" w:rsidRDefault="008B0839">
      <w:pPr>
        <w:rPr>
          <w:rFonts w:ascii="Times New Roman" w:hAnsi="Times New Roman" w:cs="Times New Roman"/>
          <w:sz w:val="24"/>
          <w:szCs w:val="24"/>
          <w:lang w:val="en-US" w:eastAsia="zh-CN"/>
        </w:rPr>
      </w:pPr>
      <w:r w:rsidRPr="000636B5">
        <w:rPr>
          <w:rFonts w:ascii="Times New Roman" w:hAnsi="Times New Roman" w:cs="Times New Roman"/>
          <w:sz w:val="24"/>
          <w:szCs w:val="24"/>
          <w:lang w:val="en-US" w:eastAsia="zh-CN"/>
        </w:rPr>
        <w:t xml:space="preserve">Dahl-Jensen, D., Morgan, V.I. and </w:t>
      </w:r>
      <w:proofErr w:type="spellStart"/>
      <w:r w:rsidRPr="000636B5">
        <w:rPr>
          <w:rFonts w:ascii="Times New Roman" w:hAnsi="Times New Roman" w:cs="Times New Roman"/>
          <w:sz w:val="24"/>
          <w:szCs w:val="24"/>
          <w:lang w:val="en-US" w:eastAsia="zh-CN"/>
        </w:rPr>
        <w:t>Elcheikh</w:t>
      </w:r>
      <w:proofErr w:type="spellEnd"/>
      <w:r w:rsidRPr="000636B5">
        <w:rPr>
          <w:rFonts w:ascii="Times New Roman" w:hAnsi="Times New Roman" w:cs="Times New Roman"/>
          <w:sz w:val="24"/>
          <w:szCs w:val="24"/>
          <w:lang w:val="en-US" w:eastAsia="zh-CN"/>
        </w:rPr>
        <w:t>, A., 1999. Monte Carlo inverse modelling of the Law Dome (Antarctica) temperature profile. Annals of Glaciology, 29, pp.145-150.</w:t>
      </w:r>
    </w:p>
    <w:p w:rsidR="004E469F" w:rsidRPr="000636B5" w:rsidRDefault="004E469F">
      <w:pPr>
        <w:rPr>
          <w:rFonts w:ascii="Times New Roman" w:hAnsi="Times New Roman" w:cs="Times New Roman"/>
          <w:sz w:val="24"/>
          <w:szCs w:val="24"/>
          <w:lang w:val="en-US" w:eastAsia="zh-CN"/>
        </w:rPr>
      </w:pPr>
    </w:p>
    <w:p w:rsidR="004E469F" w:rsidRPr="000636B5" w:rsidRDefault="008B0839">
      <w:pPr>
        <w:rPr>
          <w:rFonts w:ascii="Times New Roman" w:hAnsi="Times New Roman" w:cs="Times New Roman"/>
          <w:sz w:val="24"/>
          <w:szCs w:val="24"/>
        </w:rPr>
      </w:pPr>
      <w:r w:rsidRPr="000636B5">
        <w:rPr>
          <w:rFonts w:ascii="Times New Roman" w:hAnsi="Times New Roman" w:cs="Times New Roman"/>
          <w:sz w:val="24"/>
          <w:szCs w:val="24"/>
          <w:lang w:val="en-US" w:eastAsia="zh-CN"/>
        </w:rPr>
        <w:t>Decker, E. R., and G. J. Bucher. "Geothermal studies in the Ross Island-Dry Valley region." </w:t>
      </w:r>
      <w:proofErr w:type="spellStart"/>
      <w:r w:rsidRPr="000636B5">
        <w:rPr>
          <w:rFonts w:ascii="Times New Roman" w:hAnsi="Times New Roman" w:cs="Times New Roman"/>
          <w:sz w:val="24"/>
          <w:szCs w:val="24"/>
          <w:lang w:val="en-US" w:eastAsia="zh-CN"/>
        </w:rPr>
        <w:t>Antarct</w:t>
      </w:r>
      <w:proofErr w:type="spellEnd"/>
      <w:r w:rsidRPr="000636B5">
        <w:rPr>
          <w:rFonts w:ascii="Times New Roman" w:hAnsi="Times New Roman" w:cs="Times New Roman"/>
          <w:sz w:val="24"/>
          <w:szCs w:val="24"/>
          <w:lang w:val="en-US" w:eastAsia="zh-CN"/>
        </w:rPr>
        <w:t xml:space="preserve"> </w:t>
      </w:r>
      <w:proofErr w:type="spellStart"/>
      <w:r w:rsidRPr="000636B5">
        <w:rPr>
          <w:rFonts w:ascii="Times New Roman" w:hAnsi="Times New Roman" w:cs="Times New Roman"/>
          <w:sz w:val="24"/>
          <w:szCs w:val="24"/>
          <w:lang w:val="en-US" w:eastAsia="zh-CN"/>
        </w:rPr>
        <w:t>Geosci</w:t>
      </w:r>
      <w:proofErr w:type="spellEnd"/>
      <w:r w:rsidRPr="000636B5">
        <w:rPr>
          <w:rFonts w:ascii="Times New Roman" w:hAnsi="Times New Roman" w:cs="Times New Roman"/>
          <w:sz w:val="24"/>
          <w:szCs w:val="24"/>
          <w:lang w:val="en-US" w:eastAsia="zh-CN"/>
        </w:rPr>
        <w:t> 4 (1982): 887-894.</w:t>
      </w:r>
    </w:p>
    <w:p w:rsidR="004E469F" w:rsidRPr="000636B5" w:rsidRDefault="004E469F">
      <w:pPr>
        <w:rPr>
          <w:rFonts w:ascii="Times New Roman" w:hAnsi="Times New Roman" w:cs="Times New Roman"/>
          <w:sz w:val="24"/>
          <w:szCs w:val="24"/>
          <w:lang w:val="en-US" w:eastAsia="zh-CN"/>
        </w:rPr>
      </w:pPr>
    </w:p>
    <w:p w:rsidR="004E469F" w:rsidRPr="000636B5" w:rsidRDefault="008B0839">
      <w:pPr>
        <w:rPr>
          <w:rFonts w:ascii="Times New Roman" w:hAnsi="Times New Roman" w:cs="Times New Roman"/>
          <w:sz w:val="24"/>
          <w:szCs w:val="24"/>
          <w:lang w:val="en-US" w:eastAsia="zh-CN"/>
        </w:rPr>
      </w:pPr>
      <w:proofErr w:type="spellStart"/>
      <w:r w:rsidRPr="000636B5">
        <w:rPr>
          <w:rFonts w:ascii="Times New Roman" w:hAnsi="Times New Roman" w:cs="Times New Roman"/>
          <w:sz w:val="24"/>
          <w:szCs w:val="24"/>
          <w:lang w:val="en-US" w:eastAsia="zh-CN"/>
        </w:rPr>
        <w:t>Dmitriev</w:t>
      </w:r>
      <w:proofErr w:type="spellEnd"/>
      <w:r w:rsidRPr="000636B5">
        <w:rPr>
          <w:rFonts w:ascii="Times New Roman" w:hAnsi="Times New Roman" w:cs="Times New Roman"/>
          <w:sz w:val="24"/>
          <w:szCs w:val="24"/>
          <w:lang w:val="en-US" w:eastAsia="zh-CN"/>
        </w:rPr>
        <w:t xml:space="preserve">, Andrei N., Alexey V. Bolshunov, and </w:t>
      </w:r>
      <w:proofErr w:type="spellStart"/>
      <w:r w:rsidRPr="000636B5">
        <w:rPr>
          <w:rFonts w:ascii="Times New Roman" w:hAnsi="Times New Roman" w:cs="Times New Roman"/>
          <w:sz w:val="24"/>
          <w:szCs w:val="24"/>
          <w:lang w:val="en-US" w:eastAsia="zh-CN"/>
        </w:rPr>
        <w:t>Aleksei</w:t>
      </w:r>
      <w:proofErr w:type="spellEnd"/>
      <w:r w:rsidRPr="000636B5">
        <w:rPr>
          <w:rFonts w:ascii="Times New Roman" w:hAnsi="Times New Roman" w:cs="Times New Roman"/>
          <w:sz w:val="24"/>
          <w:szCs w:val="24"/>
          <w:lang w:val="en-US" w:eastAsia="zh-CN"/>
        </w:rPr>
        <w:t xml:space="preserve"> V. </w:t>
      </w:r>
      <w:proofErr w:type="spellStart"/>
      <w:r w:rsidRPr="000636B5">
        <w:rPr>
          <w:rFonts w:ascii="Times New Roman" w:hAnsi="Times New Roman" w:cs="Times New Roman"/>
          <w:sz w:val="24"/>
          <w:szCs w:val="24"/>
          <w:lang w:val="en-US" w:eastAsia="zh-CN"/>
        </w:rPr>
        <w:t>Podoliak</w:t>
      </w:r>
      <w:proofErr w:type="spellEnd"/>
      <w:r w:rsidRPr="000636B5">
        <w:rPr>
          <w:rFonts w:ascii="Times New Roman" w:hAnsi="Times New Roman" w:cs="Times New Roman"/>
          <w:sz w:val="24"/>
          <w:szCs w:val="24"/>
          <w:lang w:val="en-US" w:eastAsia="zh-CN"/>
        </w:rPr>
        <w:t>. "Assessment of ice borehole temperature conditions at interface with subglacial Lake Vostok (Antarctica)." International Journal of Applied Engineering Research 11, no. 11 (2016): 7230-7233.</w:t>
      </w:r>
    </w:p>
    <w:p w:rsidR="004E469F" w:rsidRPr="000636B5" w:rsidRDefault="004E469F">
      <w:pPr>
        <w:rPr>
          <w:rFonts w:ascii="Times New Roman" w:hAnsi="Times New Roman" w:cs="Times New Roman"/>
          <w:sz w:val="24"/>
          <w:szCs w:val="24"/>
          <w:lang w:val="en-US" w:eastAsia="zh-CN"/>
        </w:rPr>
      </w:pPr>
    </w:p>
    <w:p w:rsidR="004E469F" w:rsidRPr="000636B5" w:rsidRDefault="008B0839">
      <w:pPr>
        <w:rPr>
          <w:rFonts w:ascii="Times New Roman" w:hAnsi="Times New Roman" w:cs="Times New Roman"/>
          <w:color w:val="222222"/>
          <w:sz w:val="24"/>
          <w:szCs w:val="24"/>
          <w:lang w:val="en-US" w:eastAsia="zh-CN" w:bidi="ar"/>
        </w:rPr>
      </w:pPr>
      <w:proofErr w:type="spellStart"/>
      <w:r w:rsidRPr="000636B5">
        <w:rPr>
          <w:rFonts w:ascii="Times New Roman" w:hAnsi="Times New Roman" w:cs="Times New Roman"/>
          <w:color w:val="222222"/>
          <w:sz w:val="24"/>
          <w:szCs w:val="24"/>
          <w:lang w:val="en-US" w:eastAsia="zh-CN" w:bidi="ar"/>
        </w:rPr>
        <w:t>Gosnold</w:t>
      </w:r>
      <w:proofErr w:type="spellEnd"/>
      <w:r w:rsidRPr="000636B5">
        <w:rPr>
          <w:rFonts w:ascii="Times New Roman" w:hAnsi="Times New Roman" w:cs="Times New Roman"/>
          <w:color w:val="222222"/>
          <w:sz w:val="24"/>
          <w:szCs w:val="24"/>
          <w:lang w:val="en-US" w:eastAsia="zh-CN" w:bidi="ar"/>
        </w:rPr>
        <w:t>, W.D., 1990. Heat flow in the Great Plains of the United States. </w:t>
      </w:r>
      <w:r w:rsidRPr="000636B5">
        <w:rPr>
          <w:rFonts w:ascii="Times New Roman" w:hAnsi="Times New Roman" w:cs="Times New Roman"/>
          <w:i/>
          <w:color w:val="222222"/>
          <w:sz w:val="24"/>
          <w:szCs w:val="24"/>
          <w:lang w:val="en-US" w:eastAsia="zh-CN" w:bidi="ar"/>
        </w:rPr>
        <w:t>Journal of Geophysical Research: Solid Earth</w:t>
      </w:r>
      <w:r w:rsidRPr="000636B5">
        <w:rPr>
          <w:rFonts w:ascii="Times New Roman" w:hAnsi="Times New Roman" w:cs="Times New Roman"/>
          <w:color w:val="222222"/>
          <w:sz w:val="24"/>
          <w:szCs w:val="24"/>
          <w:lang w:val="en-US" w:eastAsia="zh-CN" w:bidi="ar"/>
        </w:rPr>
        <w:t>, </w:t>
      </w:r>
      <w:r w:rsidRPr="000636B5">
        <w:rPr>
          <w:rFonts w:ascii="Times New Roman" w:hAnsi="Times New Roman" w:cs="Times New Roman"/>
          <w:i/>
          <w:color w:val="222222"/>
          <w:sz w:val="24"/>
          <w:szCs w:val="24"/>
          <w:lang w:val="en-US" w:eastAsia="zh-CN" w:bidi="ar"/>
        </w:rPr>
        <w:t>95</w:t>
      </w:r>
      <w:r w:rsidRPr="000636B5">
        <w:rPr>
          <w:rFonts w:ascii="Times New Roman" w:hAnsi="Times New Roman" w:cs="Times New Roman"/>
          <w:color w:val="222222"/>
          <w:sz w:val="24"/>
          <w:szCs w:val="24"/>
          <w:lang w:val="en-US" w:eastAsia="zh-CN" w:bidi="ar"/>
        </w:rPr>
        <w:t>(B1), pp.353-374.</w:t>
      </w:r>
    </w:p>
    <w:p w:rsidR="004E469F" w:rsidRPr="000636B5" w:rsidRDefault="004E469F">
      <w:pPr>
        <w:rPr>
          <w:rFonts w:ascii="Times New Roman" w:hAnsi="Times New Roman" w:cs="Times New Roman"/>
          <w:color w:val="222222"/>
          <w:sz w:val="24"/>
          <w:szCs w:val="24"/>
          <w:lang w:val="en-US" w:eastAsia="zh-CN" w:bidi="ar"/>
        </w:rPr>
      </w:pPr>
    </w:p>
    <w:sectPr w:rsidR="004E469F" w:rsidRPr="00063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238"/>
    <w:rsid w:val="AEDE117F"/>
    <w:rsid w:val="FBFA9003"/>
    <w:rsid w:val="FF2E19E7"/>
    <w:rsid w:val="FF4D2900"/>
    <w:rsid w:val="000636B5"/>
    <w:rsid w:val="001D0731"/>
    <w:rsid w:val="001D3963"/>
    <w:rsid w:val="002D1CB5"/>
    <w:rsid w:val="00323F84"/>
    <w:rsid w:val="00366C15"/>
    <w:rsid w:val="003D6463"/>
    <w:rsid w:val="004E469F"/>
    <w:rsid w:val="00536A37"/>
    <w:rsid w:val="00560F8D"/>
    <w:rsid w:val="00612A83"/>
    <w:rsid w:val="00614F5D"/>
    <w:rsid w:val="006E45AA"/>
    <w:rsid w:val="008A7A71"/>
    <w:rsid w:val="008B0839"/>
    <w:rsid w:val="00A116C7"/>
    <w:rsid w:val="00B6457C"/>
    <w:rsid w:val="00CC1238"/>
    <w:rsid w:val="00DE03DC"/>
    <w:rsid w:val="00F1017A"/>
    <w:rsid w:val="3F6FDE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C89486"/>
  <w15:docId w15:val="{90EEE38D-AD03-954A-AD20-7A8CECBF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hAnsi="Arial" w:cs="Arial"/>
      <w:sz w:val="22"/>
      <w:szCs w:val="22"/>
      <w:lang w:val="e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pPr>
  </w:style>
  <w:style w:type="paragraph" w:styleId="Header">
    <w:name w:val="header"/>
    <w:basedOn w:val="Normal"/>
    <w:uiPriority w:val="99"/>
    <w:unhideWhenUsed/>
    <w:qFormat/>
    <w:pPr>
      <w:tabs>
        <w:tab w:val="center" w:pos="4680"/>
        <w:tab w:val="right" w:pos="9360"/>
      </w:tabs>
    </w:pPr>
  </w:style>
  <w:style w:type="paragraph" w:styleId="BalloonText">
    <w:name w:val="Balloon Text"/>
    <w:basedOn w:val="Normal"/>
    <w:link w:val="BalloonTextChar"/>
    <w:uiPriority w:val="99"/>
    <w:semiHidden/>
    <w:unhideWhenUsed/>
    <w:rsid w:val="001D073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0731"/>
    <w:rPr>
      <w:sz w:val="18"/>
      <w:szCs w:val="18"/>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139F1A-1CEB-0A45-9297-8D0F59BBB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1781</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Weisen  Shen</cp:lastModifiedBy>
  <cp:revision>3</cp:revision>
  <dcterms:created xsi:type="dcterms:W3CDTF">2020-05-18T16:04:00Z</dcterms:created>
  <dcterms:modified xsi:type="dcterms:W3CDTF">2020-05-18T16:06:00Z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1033-1.9.0.3020</vt:lpwstr>
  </property>
</Properties>
</file>