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0" w:type="dxa"/>
        <w:tblInd w:w="93" w:type="dxa"/>
        <w:tblLook w:val="04A0" w:firstRow="1" w:lastRow="0" w:firstColumn="1" w:lastColumn="0" w:noHBand="0" w:noVBand="1"/>
      </w:tblPr>
      <w:tblGrid>
        <w:gridCol w:w="670"/>
        <w:gridCol w:w="4997"/>
        <w:gridCol w:w="1320"/>
        <w:gridCol w:w="1444"/>
        <w:gridCol w:w="1349"/>
      </w:tblGrid>
      <w:tr w:rsidR="00B267C0" w:rsidRPr="00B267C0" w:rsidTr="00B267C0">
        <w:trPr>
          <w:trHeight w:val="360"/>
        </w:trPr>
        <w:tc>
          <w:tcPr>
            <w:tcW w:w="5572" w:type="dxa"/>
            <w:gridSpan w:val="2"/>
            <w:tcBorders>
              <w:top w:val="nil"/>
              <w:left w:val="nil"/>
              <w:bottom w:val="nil"/>
              <w:right w:val="nil"/>
            </w:tcBorders>
            <w:shd w:val="clear" w:color="auto" w:fill="auto"/>
            <w:noWrap/>
            <w:vAlign w:val="bottom"/>
            <w:hideMark/>
          </w:tcPr>
          <w:p w:rsidR="00B267C0" w:rsidRPr="00B267C0" w:rsidRDefault="00B267C0" w:rsidP="00B267C0">
            <w:pPr>
              <w:spacing w:after="0" w:line="240" w:lineRule="auto"/>
              <w:rPr>
                <w:rFonts w:ascii="Times New Roman" w:eastAsia="Times New Roman" w:hAnsi="Times New Roman" w:cs="Times New Roman"/>
                <w:b/>
                <w:bCs/>
                <w:color w:val="000000"/>
              </w:rPr>
            </w:pPr>
            <w:r w:rsidRPr="00B267C0">
              <w:rPr>
                <w:rFonts w:ascii="Times New Roman" w:eastAsia="Times New Roman" w:hAnsi="Times New Roman" w:cs="Times New Roman"/>
                <w:b/>
                <w:bCs/>
                <w:color w:val="000000"/>
              </w:rPr>
              <w:t>UBND TỈNH VĨNH LONG</w:t>
            </w:r>
          </w:p>
        </w:tc>
        <w:tc>
          <w:tcPr>
            <w:tcW w:w="1320" w:type="dxa"/>
            <w:tcBorders>
              <w:top w:val="nil"/>
              <w:left w:val="nil"/>
              <w:bottom w:val="nil"/>
              <w:right w:val="nil"/>
            </w:tcBorders>
            <w:shd w:val="clear" w:color="auto" w:fill="auto"/>
            <w:noWrap/>
            <w:vAlign w:val="bottom"/>
            <w:hideMark/>
          </w:tcPr>
          <w:p w:rsidR="00B267C0" w:rsidRPr="00B267C0" w:rsidRDefault="00B267C0" w:rsidP="00B267C0">
            <w:pPr>
              <w:spacing w:after="0" w:line="240" w:lineRule="auto"/>
              <w:rPr>
                <w:rFonts w:ascii="Times New Roman" w:eastAsia="Times New Roman" w:hAnsi="Times New Roman" w:cs="Times New Roman"/>
                <w:color w:val="000000"/>
              </w:rPr>
            </w:pPr>
          </w:p>
        </w:tc>
        <w:tc>
          <w:tcPr>
            <w:tcW w:w="2888" w:type="dxa"/>
            <w:gridSpan w:val="2"/>
            <w:tcBorders>
              <w:top w:val="nil"/>
              <w:left w:val="nil"/>
              <w:bottom w:val="nil"/>
              <w:right w:val="nil"/>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color w:val="000000"/>
              </w:rPr>
            </w:pPr>
            <w:r w:rsidRPr="00B267C0">
              <w:rPr>
                <w:rFonts w:ascii="Times New Roman" w:eastAsia="Times New Roman" w:hAnsi="Times New Roman" w:cs="Times New Roman"/>
                <w:b/>
                <w:bCs/>
                <w:color w:val="000000"/>
              </w:rPr>
              <w:t>Biểu số 49/CK-NSNN</w:t>
            </w:r>
          </w:p>
        </w:tc>
      </w:tr>
      <w:tr w:rsidR="00B267C0" w:rsidRPr="00B267C0" w:rsidTr="00B267C0">
        <w:trPr>
          <w:trHeight w:val="735"/>
        </w:trPr>
        <w:tc>
          <w:tcPr>
            <w:tcW w:w="9780" w:type="dxa"/>
            <w:gridSpan w:val="5"/>
            <w:tcBorders>
              <w:top w:val="nil"/>
              <w:left w:val="nil"/>
              <w:bottom w:val="nil"/>
              <w:right w:val="nil"/>
            </w:tcBorders>
            <w:shd w:val="clear" w:color="auto" w:fill="auto"/>
            <w:vAlign w:val="bottom"/>
            <w:hideMark/>
          </w:tcPr>
          <w:p w:rsidR="00B267C0" w:rsidRPr="00B267C0" w:rsidRDefault="00B267C0" w:rsidP="00B267C0">
            <w:pPr>
              <w:spacing w:after="0" w:line="240" w:lineRule="auto"/>
              <w:jc w:val="center"/>
              <w:rPr>
                <w:rFonts w:ascii="Times New Roman" w:eastAsia="Times New Roman" w:hAnsi="Times New Roman" w:cs="Times New Roman"/>
                <w:b/>
                <w:bCs/>
                <w:color w:val="000000"/>
                <w:sz w:val="24"/>
                <w:szCs w:val="24"/>
              </w:rPr>
            </w:pPr>
            <w:r w:rsidRPr="00B267C0">
              <w:rPr>
                <w:rFonts w:ascii="Times New Roman" w:eastAsia="Times New Roman" w:hAnsi="Times New Roman" w:cs="Times New Roman"/>
                <w:b/>
                <w:bCs/>
                <w:color w:val="000000"/>
                <w:sz w:val="24"/>
                <w:szCs w:val="24"/>
              </w:rPr>
              <w:t>DỰ TOÁN CHI NGÂN SÁCH ĐỊA PHƯƠNG, CHI NGÂN SÁCH CẤP TỈNH VÀ CHI NGÂN SÁCH HUYỆN THEO CƠ CẤU CHI NĂM 2019</w:t>
            </w:r>
          </w:p>
        </w:tc>
      </w:tr>
      <w:tr w:rsidR="00B267C0" w:rsidRPr="00B267C0" w:rsidTr="00B267C0">
        <w:trPr>
          <w:trHeight w:val="330"/>
        </w:trPr>
        <w:tc>
          <w:tcPr>
            <w:tcW w:w="9780" w:type="dxa"/>
            <w:gridSpan w:val="5"/>
            <w:tcBorders>
              <w:top w:val="nil"/>
              <w:left w:val="nil"/>
              <w:bottom w:val="nil"/>
              <w:right w:val="nil"/>
            </w:tcBorders>
            <w:shd w:val="clear" w:color="auto" w:fill="auto"/>
            <w:noWrap/>
            <w:vAlign w:val="bottom"/>
            <w:hideMark/>
          </w:tcPr>
          <w:p w:rsidR="00B267C0" w:rsidRPr="00B267C0" w:rsidRDefault="00B267C0" w:rsidP="00B267C0">
            <w:pPr>
              <w:spacing w:after="0" w:line="240" w:lineRule="auto"/>
              <w:jc w:val="center"/>
              <w:rPr>
                <w:rFonts w:ascii="Times New Roman" w:eastAsia="Times New Roman" w:hAnsi="Times New Roman" w:cs="Times New Roman"/>
                <w:i/>
                <w:iCs/>
                <w:color w:val="000000"/>
                <w:sz w:val="24"/>
                <w:szCs w:val="24"/>
              </w:rPr>
            </w:pPr>
            <w:r w:rsidRPr="00B267C0">
              <w:rPr>
                <w:rFonts w:ascii="Times New Roman" w:eastAsia="Times New Roman" w:hAnsi="Times New Roman" w:cs="Times New Roman"/>
                <w:i/>
                <w:iCs/>
                <w:color w:val="000000"/>
                <w:sz w:val="24"/>
                <w:szCs w:val="24"/>
              </w:rPr>
              <w:t>(Dự toán đã được Hội đồng nhân dân quyết định)</w:t>
            </w:r>
          </w:p>
        </w:tc>
      </w:tr>
      <w:tr w:rsidR="00B267C0" w:rsidRPr="00B267C0" w:rsidTr="00B267C0">
        <w:trPr>
          <w:trHeight w:val="330"/>
        </w:trPr>
        <w:tc>
          <w:tcPr>
            <w:tcW w:w="9780" w:type="dxa"/>
            <w:gridSpan w:val="5"/>
            <w:tcBorders>
              <w:top w:val="nil"/>
              <w:left w:val="nil"/>
              <w:bottom w:val="nil"/>
              <w:right w:val="nil"/>
            </w:tcBorders>
            <w:shd w:val="clear" w:color="auto" w:fill="auto"/>
            <w:noWrap/>
            <w:vAlign w:val="bottom"/>
            <w:hideMark/>
          </w:tcPr>
          <w:p w:rsidR="00B267C0" w:rsidRPr="00B267C0" w:rsidRDefault="00B267C0" w:rsidP="00B267C0">
            <w:pPr>
              <w:spacing w:after="0" w:line="240" w:lineRule="auto"/>
              <w:jc w:val="right"/>
              <w:rPr>
                <w:rFonts w:ascii="Times New Roman" w:eastAsia="Times New Roman" w:hAnsi="Times New Roman" w:cs="Times New Roman"/>
                <w:i/>
                <w:iCs/>
                <w:color w:val="000000"/>
              </w:rPr>
            </w:pPr>
            <w:r w:rsidRPr="00B267C0">
              <w:rPr>
                <w:rFonts w:ascii="Times New Roman" w:eastAsia="Times New Roman" w:hAnsi="Times New Roman" w:cs="Times New Roman"/>
                <w:i/>
                <w:iCs/>
                <w:color w:val="000000"/>
              </w:rPr>
              <w:t>Đơn vị: Triệu đồng</w:t>
            </w:r>
          </w:p>
        </w:tc>
      </w:tr>
      <w:tr w:rsidR="00B267C0" w:rsidRPr="00B267C0" w:rsidTr="00B267C0">
        <w:trPr>
          <w:trHeight w:val="330"/>
        </w:trPr>
        <w:tc>
          <w:tcPr>
            <w:tcW w:w="5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STT</w:t>
            </w:r>
          </w:p>
        </w:tc>
        <w:tc>
          <w:tcPr>
            <w:tcW w:w="49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NỘI DUNG</w:t>
            </w:r>
          </w:p>
        </w:tc>
        <w:tc>
          <w:tcPr>
            <w:tcW w:w="13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NSĐP</w:t>
            </w:r>
          </w:p>
        </w:tc>
        <w:tc>
          <w:tcPr>
            <w:tcW w:w="2888" w:type="dxa"/>
            <w:gridSpan w:val="2"/>
            <w:tcBorders>
              <w:top w:val="single" w:sz="4" w:space="0" w:color="000000"/>
              <w:left w:val="nil"/>
              <w:bottom w:val="single" w:sz="4" w:space="0" w:color="000000"/>
              <w:right w:val="single" w:sz="4" w:space="0" w:color="000000"/>
            </w:tcBorders>
            <w:shd w:val="clear" w:color="auto" w:fill="auto"/>
            <w:vAlign w:val="center"/>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CHIA RA</w:t>
            </w:r>
          </w:p>
        </w:tc>
      </w:tr>
      <w:tr w:rsidR="00B267C0" w:rsidRPr="00B267C0" w:rsidTr="00B267C0">
        <w:trPr>
          <w:trHeight w:val="645"/>
        </w:trPr>
        <w:tc>
          <w:tcPr>
            <w:tcW w:w="575" w:type="dxa"/>
            <w:vMerge/>
            <w:tcBorders>
              <w:top w:val="single" w:sz="4" w:space="0" w:color="000000"/>
              <w:left w:val="single" w:sz="4" w:space="0" w:color="000000"/>
              <w:bottom w:val="single" w:sz="4" w:space="0" w:color="000000"/>
              <w:right w:val="single" w:sz="4" w:space="0" w:color="000000"/>
            </w:tcBorders>
            <w:vAlign w:val="center"/>
            <w:hideMark/>
          </w:tcPr>
          <w:p w:rsidR="00B267C0" w:rsidRPr="00B267C0" w:rsidRDefault="00B267C0" w:rsidP="00B267C0">
            <w:pPr>
              <w:spacing w:after="0" w:line="240" w:lineRule="auto"/>
              <w:rPr>
                <w:rFonts w:ascii="Times New Roman" w:eastAsia="Times New Roman" w:hAnsi="Times New Roman" w:cs="Times New Roman"/>
                <w:b/>
                <w:bCs/>
                <w:sz w:val="24"/>
                <w:szCs w:val="24"/>
              </w:rPr>
            </w:pPr>
          </w:p>
        </w:tc>
        <w:tc>
          <w:tcPr>
            <w:tcW w:w="4997" w:type="dxa"/>
            <w:vMerge/>
            <w:tcBorders>
              <w:top w:val="single" w:sz="4" w:space="0" w:color="000000"/>
              <w:left w:val="single" w:sz="4" w:space="0" w:color="000000"/>
              <w:bottom w:val="single" w:sz="4" w:space="0" w:color="000000"/>
              <w:right w:val="single" w:sz="4" w:space="0" w:color="000000"/>
            </w:tcBorders>
            <w:vAlign w:val="center"/>
            <w:hideMark/>
          </w:tcPr>
          <w:p w:rsidR="00B267C0" w:rsidRPr="00B267C0" w:rsidRDefault="00B267C0" w:rsidP="00B267C0">
            <w:pPr>
              <w:spacing w:after="0" w:line="240" w:lineRule="auto"/>
              <w:rPr>
                <w:rFonts w:ascii="Times New Roman" w:eastAsia="Times New Roman" w:hAnsi="Times New Roman" w:cs="Times New Roman"/>
                <w:b/>
                <w:bCs/>
                <w:sz w:val="24"/>
                <w:szCs w:val="24"/>
              </w:rPr>
            </w:pPr>
          </w:p>
        </w:tc>
        <w:tc>
          <w:tcPr>
            <w:tcW w:w="1320" w:type="dxa"/>
            <w:vMerge/>
            <w:tcBorders>
              <w:top w:val="single" w:sz="4" w:space="0" w:color="000000"/>
              <w:left w:val="single" w:sz="4" w:space="0" w:color="000000"/>
              <w:bottom w:val="single" w:sz="4" w:space="0" w:color="000000"/>
              <w:right w:val="single" w:sz="4" w:space="0" w:color="000000"/>
            </w:tcBorders>
            <w:vAlign w:val="center"/>
            <w:hideMark/>
          </w:tcPr>
          <w:p w:rsidR="00B267C0" w:rsidRPr="00B267C0" w:rsidRDefault="00B267C0" w:rsidP="00B267C0">
            <w:pPr>
              <w:spacing w:after="0" w:line="240" w:lineRule="auto"/>
              <w:rPr>
                <w:rFonts w:ascii="Times New Roman" w:eastAsia="Times New Roman" w:hAnsi="Times New Roman" w:cs="Times New Roman"/>
                <w:b/>
                <w:bCs/>
                <w:sz w:val="24"/>
                <w:szCs w:val="24"/>
              </w:rPr>
            </w:pPr>
          </w:p>
        </w:tc>
        <w:tc>
          <w:tcPr>
            <w:tcW w:w="1444" w:type="dxa"/>
            <w:tcBorders>
              <w:top w:val="nil"/>
              <w:left w:val="nil"/>
              <w:bottom w:val="single" w:sz="4" w:space="0" w:color="000000"/>
              <w:right w:val="single" w:sz="4" w:space="0" w:color="000000"/>
            </w:tcBorders>
            <w:shd w:val="clear" w:color="auto" w:fill="auto"/>
            <w:vAlign w:val="center"/>
            <w:hideMark/>
          </w:tcPr>
          <w:p w:rsidR="00B267C0" w:rsidRPr="00B267C0" w:rsidRDefault="00B267C0" w:rsidP="00B267C0">
            <w:pPr>
              <w:spacing w:after="0" w:line="240" w:lineRule="auto"/>
              <w:jc w:val="center"/>
              <w:rPr>
                <w:rFonts w:ascii="Times New Roman" w:eastAsia="Times New Roman" w:hAnsi="Times New Roman" w:cs="Times New Roman"/>
                <w:b/>
                <w:bCs/>
              </w:rPr>
            </w:pPr>
            <w:r w:rsidRPr="00B267C0">
              <w:rPr>
                <w:rFonts w:ascii="Times New Roman" w:eastAsia="Times New Roman" w:hAnsi="Times New Roman" w:cs="Times New Roman"/>
                <w:b/>
                <w:bCs/>
              </w:rPr>
              <w:t>NGÂN SÁCH CẤP TỈNH</w:t>
            </w:r>
          </w:p>
        </w:tc>
        <w:tc>
          <w:tcPr>
            <w:tcW w:w="1444" w:type="dxa"/>
            <w:tcBorders>
              <w:top w:val="nil"/>
              <w:left w:val="nil"/>
              <w:bottom w:val="nil"/>
              <w:right w:val="single" w:sz="4" w:space="0" w:color="000000"/>
            </w:tcBorders>
            <w:shd w:val="clear" w:color="auto" w:fill="auto"/>
            <w:vAlign w:val="center"/>
            <w:hideMark/>
          </w:tcPr>
          <w:p w:rsidR="00B267C0" w:rsidRPr="00B267C0" w:rsidRDefault="00B267C0" w:rsidP="00B267C0">
            <w:pPr>
              <w:spacing w:after="0" w:line="240" w:lineRule="auto"/>
              <w:jc w:val="center"/>
              <w:rPr>
                <w:rFonts w:ascii="Times New Roman" w:eastAsia="Times New Roman" w:hAnsi="Times New Roman" w:cs="Times New Roman"/>
                <w:b/>
                <w:bCs/>
              </w:rPr>
            </w:pPr>
            <w:r w:rsidRPr="00B267C0">
              <w:rPr>
                <w:rFonts w:ascii="Times New Roman" w:eastAsia="Times New Roman" w:hAnsi="Times New Roman" w:cs="Times New Roman"/>
                <w:b/>
                <w:bCs/>
              </w:rPr>
              <w:t>NGÂN SÁCH HUYỆN</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 </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TỔNG CHI NGÂN SÁCH ĐỊA PHƯƠNG</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8,449,897</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4,688,460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3,761,437</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A</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CÂN ĐỐI NGÂN SÁCH ĐỊA PHƯƠNG</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8,259,380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4,497,943</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3,761,437</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I</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đầu tư phát triển</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3,138,100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2,331,800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806,300</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1</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Chi đầu tư cho các dự án</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2,813,865</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2,089,565</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724,300</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Trong đó chia theo lĩnh vực:</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Chi giáo dục - đào tạo và dạy nghề</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Chi khoa học và công nghệ</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Trong đó chia theo nguồn vốn:</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42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Chi đầu tư từ nguồn thu tiền sử dụng đất</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6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Chi đầu tư từ nguồn thu xổ số kiến thiết</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1710"/>
        </w:trPr>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2</w:t>
            </w:r>
          </w:p>
        </w:tc>
        <w:tc>
          <w:tcPr>
            <w:tcW w:w="4997" w:type="dxa"/>
            <w:tcBorders>
              <w:top w:val="single" w:sz="4" w:space="0" w:color="auto"/>
              <w:left w:val="nil"/>
              <w:bottom w:val="single" w:sz="4" w:space="0" w:color="auto"/>
              <w:right w:val="single" w:sz="4" w:space="0" w:color="auto"/>
            </w:tcBorders>
            <w:shd w:val="clear" w:color="auto" w:fill="auto"/>
            <w:vAlign w:val="center"/>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Chi đầu tư và hỗ trợ vốn cho các doanh nghiệp cung cấp sản phẩm, dịch vụ công ích do Nhà nước đặt hàng, các tổ chức kinh tế, các tổ chức tài chính của địa phương theo quy định của pháp luật</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single" w:sz="4" w:space="0" w:color="000000"/>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3</w:t>
            </w:r>
          </w:p>
        </w:tc>
        <w:tc>
          <w:tcPr>
            <w:tcW w:w="4997" w:type="dxa"/>
            <w:tcBorders>
              <w:top w:val="single" w:sz="4" w:space="0" w:color="000000"/>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Chi đầu tư phát triển khác</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324,235</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242,235</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82,000</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II</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thường xuyên</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4,985,199</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2,081,254</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2,903,945</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Trong đó:</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1</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Chi giáo dục - đào tạo và dạy nghề</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2,266,540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665,814</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1,600,726</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2</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Chi khoa học và công nghệ</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35,630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33,940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i/>
                <w:iCs/>
                <w:sz w:val="24"/>
                <w:szCs w:val="24"/>
              </w:rPr>
            </w:pPr>
            <w:r w:rsidRPr="00B267C0">
              <w:rPr>
                <w:rFonts w:ascii="Times New Roman" w:eastAsia="Times New Roman" w:hAnsi="Times New Roman" w:cs="Times New Roman"/>
                <w:i/>
                <w:iCs/>
                <w:sz w:val="24"/>
                <w:szCs w:val="24"/>
              </w:rPr>
              <w:t>1,690</w:t>
            </w:r>
          </w:p>
        </w:tc>
      </w:tr>
      <w:tr w:rsidR="00B267C0" w:rsidRPr="00B267C0" w:rsidTr="00B267C0">
        <w:trPr>
          <w:trHeight w:val="6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III</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trả nợ lãi các khoản do chính quyền địa phương vay</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4,500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4,500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IV</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bổ sung quỹ dự trữ tài chính</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1,000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1,000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V</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Dự phòng ngân sách</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130,581</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79,389</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51,192</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VI</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tạo nguồn, điều chỉnh tiền lương</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0</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0</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B</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CÁC CHƯƠNG TRÌNH MỤC TIÊU</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131,977</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131,977</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I</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các chương trình mục tiêu quốc gia</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131,977</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jc w:val="right"/>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131,977</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 </w:t>
            </w:r>
          </w:p>
        </w:tc>
        <w:tc>
          <w:tcPr>
            <w:tcW w:w="4997" w:type="dxa"/>
            <w:tcBorders>
              <w:top w:val="single" w:sz="4" w:space="0" w:color="auto"/>
              <w:left w:val="nil"/>
              <w:bottom w:val="single" w:sz="4" w:space="0" w:color="auto"/>
              <w:right w:val="single" w:sz="4" w:space="0" w:color="auto"/>
            </w:tcBorders>
            <w:shd w:val="clear" w:color="auto" w:fill="auto"/>
            <w:noWrap/>
            <w:vAlign w:val="bottom"/>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(Chi tiết theo từng Chương trình mục tiêu quốc gia)</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405"/>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lastRenderedPageBreak/>
              <w:t>II</w:t>
            </w:r>
          </w:p>
        </w:tc>
        <w:tc>
          <w:tcPr>
            <w:tcW w:w="4997" w:type="dxa"/>
            <w:tcBorders>
              <w:top w:val="single" w:sz="4" w:space="0" w:color="000000"/>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các chương trình mục tiêu, nhiệm vụ</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30"/>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 </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(Chi tiết theo từng chương trình mục tiêu nhiệm vụ)</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r w:rsidR="00B267C0" w:rsidRPr="00B267C0" w:rsidTr="00B267C0">
        <w:trPr>
          <w:trHeight w:val="375"/>
        </w:trPr>
        <w:tc>
          <w:tcPr>
            <w:tcW w:w="575" w:type="dxa"/>
            <w:tcBorders>
              <w:top w:val="nil"/>
              <w:left w:val="single" w:sz="4" w:space="0" w:color="000000"/>
              <w:bottom w:val="single" w:sz="4" w:space="0" w:color="000000"/>
              <w:right w:val="single" w:sz="4" w:space="0" w:color="000000"/>
            </w:tcBorders>
            <w:shd w:val="clear" w:color="auto" w:fill="auto"/>
            <w:hideMark/>
          </w:tcPr>
          <w:p w:rsidR="00B267C0" w:rsidRPr="00B267C0" w:rsidRDefault="00B267C0" w:rsidP="00B267C0">
            <w:pPr>
              <w:spacing w:after="0" w:line="240" w:lineRule="auto"/>
              <w:jc w:val="center"/>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w:t>
            </w:r>
          </w:p>
        </w:tc>
        <w:tc>
          <w:tcPr>
            <w:tcW w:w="4997"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b/>
                <w:bCs/>
                <w:sz w:val="24"/>
                <w:szCs w:val="24"/>
              </w:rPr>
            </w:pPr>
            <w:r w:rsidRPr="00B267C0">
              <w:rPr>
                <w:rFonts w:ascii="Times New Roman" w:eastAsia="Times New Roman" w:hAnsi="Times New Roman" w:cs="Times New Roman"/>
                <w:b/>
                <w:bCs/>
                <w:sz w:val="24"/>
                <w:szCs w:val="24"/>
              </w:rPr>
              <w:t>CHI CHUYỂN NGUỒN SANG NĂM SAU</w:t>
            </w:r>
          </w:p>
        </w:tc>
        <w:tc>
          <w:tcPr>
            <w:tcW w:w="1320"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c>
          <w:tcPr>
            <w:tcW w:w="1444" w:type="dxa"/>
            <w:tcBorders>
              <w:top w:val="nil"/>
              <w:left w:val="nil"/>
              <w:bottom w:val="single" w:sz="4" w:space="0" w:color="000000"/>
              <w:right w:val="single" w:sz="4" w:space="0" w:color="000000"/>
            </w:tcBorders>
            <w:shd w:val="clear" w:color="auto" w:fill="auto"/>
            <w:hideMark/>
          </w:tcPr>
          <w:p w:rsidR="00B267C0" w:rsidRPr="00B267C0" w:rsidRDefault="00B267C0" w:rsidP="00B267C0">
            <w:pPr>
              <w:spacing w:after="0" w:line="240" w:lineRule="auto"/>
              <w:rPr>
                <w:rFonts w:ascii="Times New Roman" w:eastAsia="Times New Roman" w:hAnsi="Times New Roman" w:cs="Times New Roman"/>
                <w:sz w:val="24"/>
                <w:szCs w:val="24"/>
              </w:rPr>
            </w:pPr>
            <w:r w:rsidRPr="00B267C0">
              <w:rPr>
                <w:rFonts w:ascii="Times New Roman" w:eastAsia="Times New Roman" w:hAnsi="Times New Roman" w:cs="Times New Roman"/>
                <w:sz w:val="24"/>
                <w:szCs w:val="24"/>
              </w:rPr>
              <w:t> </w:t>
            </w:r>
          </w:p>
        </w:tc>
      </w:tr>
    </w:tbl>
    <w:p w:rsidR="00A661A2" w:rsidRPr="00B267C0" w:rsidRDefault="00A661A2" w:rsidP="00B267C0">
      <w:bookmarkStart w:id="0" w:name="_GoBack"/>
      <w:bookmarkEnd w:id="0"/>
    </w:p>
    <w:sectPr w:rsidR="00A661A2" w:rsidRPr="00B2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623"/>
    <w:rsid w:val="009E6623"/>
    <w:rsid w:val="00A661A2"/>
    <w:rsid w:val="00B2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78962">
      <w:bodyDiv w:val="1"/>
      <w:marLeft w:val="0"/>
      <w:marRight w:val="0"/>
      <w:marTop w:val="0"/>
      <w:marBottom w:val="0"/>
      <w:divBdr>
        <w:top w:val="none" w:sz="0" w:space="0" w:color="auto"/>
        <w:left w:val="none" w:sz="0" w:space="0" w:color="auto"/>
        <w:bottom w:val="none" w:sz="0" w:space="0" w:color="auto"/>
        <w:right w:val="none" w:sz="0" w:space="0" w:color="auto"/>
      </w:divBdr>
    </w:div>
    <w:div w:id="13110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6C812B-CDF2-4323-99D0-63DB0FCFA184}"/>
</file>

<file path=customXml/itemProps2.xml><?xml version="1.0" encoding="utf-8"?>
<ds:datastoreItem xmlns:ds="http://schemas.openxmlformats.org/officeDocument/2006/customXml" ds:itemID="{C516D7CB-2434-4246-B133-C783664462AF}"/>
</file>

<file path=customXml/itemProps3.xml><?xml version="1.0" encoding="utf-8"?>
<ds:datastoreItem xmlns:ds="http://schemas.openxmlformats.org/officeDocument/2006/customXml" ds:itemID="{1221D1F9-B3B4-4B76-94FF-3BD86D88602F}"/>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2</cp:revision>
  <dcterms:created xsi:type="dcterms:W3CDTF">2020-01-06T01:57:00Z</dcterms:created>
  <dcterms:modified xsi:type="dcterms:W3CDTF">2020-01-06T09:10:00Z</dcterms:modified>
</cp:coreProperties>
</file>