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77777777" w:rsidR="00927CB5" w:rsidRDefault="00FE36A0" w:rsidP="00D86AC0">
      <w:pPr>
        <w:jc w:val="both"/>
        <w:rPr>
          <w:rStyle w:val="Emphasis"/>
          <w:sz w:val="22"/>
        </w:rPr>
      </w:pPr>
      <w:r w:rsidRPr="00176278">
        <w:rPr>
          <w:rStyle w:val="Emphasis"/>
          <w:sz w:val="22"/>
        </w:rPr>
        <w:t>Mateusz Dubaniowski</w:t>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77777777"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spreading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 set-up for a set of specific initial conditions.</w:t>
      </w:r>
    </w:p>
    <w:p w14:paraId="134C2986" w14:textId="77777777"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infections acquired in hospitals and other healthcare facilities. To be classified as a nosocomial infection, the patient must have been admitted for reasons other than the infection. He or she must also have shown no signs of active or incubating infection.</w:t>
      </w:r>
      <w:sdt>
        <w:sdtPr>
          <w:rPr>
            <w:rFonts w:ascii="Times New Roman" w:hAnsi="Times New Roman"/>
          </w:rPr>
          <w:id w:val="-1173951553"/>
          <w:citation/>
        </w:sdt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lastRenderedPageBreak/>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66B6D753"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Pr="00170914">
        <w:rPr>
          <w:noProof/>
          <w:sz w:val="22"/>
          <w:szCs w:val="22"/>
        </w:rPr>
        <w:t>1</w:t>
      </w:r>
      <w:r w:rsidRPr="00170914">
        <w:rPr>
          <w:sz w:val="22"/>
          <w:szCs w:val="22"/>
        </w:rPr>
        <w:fldChar w:fldCharType="end"/>
      </w:r>
      <w:bookmarkEnd w:id="0"/>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Pr="00D42923"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75BABD15" w14:textId="77777777" w:rsidR="004B34F5" w:rsidRDefault="004B34F5" w:rsidP="00170914">
      <w:pPr>
        <w:pStyle w:val="ListParagraph"/>
        <w:keepNext/>
        <w:spacing w:before="240" w:line="276" w:lineRule="auto"/>
        <w:ind w:left="0"/>
        <w:jc w:val="center"/>
      </w:pPr>
      <w:r>
        <w:rPr>
          <w:rFonts w:ascii="Times New Roman" w:hAnsi="Times New Roman"/>
          <w:noProof/>
          <w:lang w:val="en-US"/>
        </w:rPr>
        <w:drawing>
          <wp:anchor distT="0" distB="0" distL="114300" distR="114300" simplePos="0" relativeHeight="251659264" behindDoc="0" locked="0" layoutInCell="1" allowOverlap="1" wp14:anchorId="0A1D921F" wp14:editId="45DAA997">
            <wp:simplePos x="0" y="0"/>
            <wp:positionH relativeFrom="column">
              <wp:posOffset>905510</wp:posOffset>
            </wp:positionH>
            <wp:positionV relativeFrom="paragraph">
              <wp:posOffset>150495</wp:posOffset>
            </wp:positionV>
            <wp:extent cx="3460750" cy="30206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0" cy="302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008A2" w14:textId="2F456B62" w:rsidR="00C960D6" w:rsidRPr="004B34F5" w:rsidRDefault="004B34F5" w:rsidP="004B34F5">
      <w:pPr>
        <w:pStyle w:val="Caption"/>
        <w:jc w:val="center"/>
        <w:rPr>
          <w:rFonts w:ascii="Times New Roman" w:hAnsi="Times New Roman"/>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170914">
        <w:rPr>
          <w:noProof/>
          <w:sz w:val="22"/>
        </w:rPr>
        <w:t>2</w:t>
      </w:r>
      <w:r w:rsidRPr="004B34F5">
        <w:rPr>
          <w:sz w:val="22"/>
        </w:rPr>
        <w:fldChar w:fldCharType="end"/>
      </w:r>
      <w:bookmarkEnd w:id="1"/>
      <w:r w:rsidRPr="004B34F5">
        <w:rPr>
          <w:sz w:val="22"/>
        </w:rPr>
        <w:t xml:space="preserve">: Matrix keeping track of the agents - </w:t>
      </w:r>
      <w:bookmarkStart w:id="2" w:name="_GoBack"/>
      <w:bookmarkEnd w:id="2"/>
      <w:r w:rsidRPr="00343F72">
        <w:rPr>
          <w:i/>
          <w:sz w:val="22"/>
        </w:rPr>
        <w:t>agents</w:t>
      </w:r>
      <w:r w:rsidRPr="004B34F5">
        <w:rPr>
          <w:sz w:val="22"/>
        </w:rPr>
        <w:t xml:space="preserve"> matrix</w:t>
      </w:r>
    </w:p>
    <w:p w14:paraId="26753AC1" w14:textId="77777777" w:rsidR="00FE36A0" w:rsidRP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sdt>
      <w:sdtPr>
        <w:id w:val="1820843041"/>
        <w:docPartObj>
          <w:docPartGallery w:val="Bibliographies"/>
          <w:docPartUnique/>
        </w:docPartObj>
      </w:sdtPr>
      <w:sdtEndPr>
        <w:rPr>
          <w:rFonts w:ascii="Times New Roman" w:eastAsiaTheme="minorEastAsia" w:hAnsi="Times New Roman" w:cstheme="minorBidi"/>
          <w:b w:val="0"/>
          <w:bCs w:val="0"/>
          <w:color w:val="auto"/>
          <w:sz w:val="24"/>
          <w:szCs w:val="24"/>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553425" w:rsidRDefault="00553425" w:rsidP="005301AD">
      <w:r>
        <w:separator/>
      </w:r>
    </w:p>
  </w:endnote>
  <w:endnote w:type="continuationSeparator" w:id="0">
    <w:p w14:paraId="0CF88C93" w14:textId="77777777" w:rsidR="00553425" w:rsidRDefault="005534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553425" w:rsidRDefault="005534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43F72">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553425" w:rsidRDefault="00553425" w:rsidP="005301AD">
      <w:r>
        <w:separator/>
      </w:r>
    </w:p>
  </w:footnote>
  <w:footnote w:type="continuationSeparator" w:id="0">
    <w:p w14:paraId="1ED7DA88" w14:textId="77777777" w:rsidR="00553425" w:rsidRDefault="00553425" w:rsidP="00530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553425" w:rsidRPr="005301AD" w:rsidRDefault="005534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1423AC"/>
    <w:rsid w:val="0014643D"/>
    <w:rsid w:val="00170914"/>
    <w:rsid w:val="00176278"/>
    <w:rsid w:val="001A04F9"/>
    <w:rsid w:val="001C7803"/>
    <w:rsid w:val="002518E7"/>
    <w:rsid w:val="002B0B93"/>
    <w:rsid w:val="002C2791"/>
    <w:rsid w:val="00332F04"/>
    <w:rsid w:val="00342DED"/>
    <w:rsid w:val="00343F72"/>
    <w:rsid w:val="00446158"/>
    <w:rsid w:val="00462BBF"/>
    <w:rsid w:val="0046668C"/>
    <w:rsid w:val="0048297D"/>
    <w:rsid w:val="0049379D"/>
    <w:rsid w:val="004B34F5"/>
    <w:rsid w:val="004C3807"/>
    <w:rsid w:val="004E409A"/>
    <w:rsid w:val="005301AD"/>
    <w:rsid w:val="00552F3F"/>
    <w:rsid w:val="00553425"/>
    <w:rsid w:val="005B09A7"/>
    <w:rsid w:val="005D4F64"/>
    <w:rsid w:val="00620374"/>
    <w:rsid w:val="0072794D"/>
    <w:rsid w:val="00814AAC"/>
    <w:rsid w:val="008A6021"/>
    <w:rsid w:val="00927CB5"/>
    <w:rsid w:val="009A444F"/>
    <w:rsid w:val="00B22B40"/>
    <w:rsid w:val="00B37EB4"/>
    <w:rsid w:val="00B668B1"/>
    <w:rsid w:val="00BB7507"/>
    <w:rsid w:val="00C04526"/>
    <w:rsid w:val="00C35E12"/>
    <w:rsid w:val="00C478E0"/>
    <w:rsid w:val="00C53494"/>
    <w:rsid w:val="00C574EB"/>
    <w:rsid w:val="00C960D6"/>
    <w:rsid w:val="00D42923"/>
    <w:rsid w:val="00D606AA"/>
    <w:rsid w:val="00D86AC0"/>
    <w:rsid w:val="00DD4DC6"/>
    <w:rsid w:val="00E23F8B"/>
    <w:rsid w:val="00E25BD2"/>
    <w:rsid w:val="00E51D47"/>
    <w:rsid w:val="00E84095"/>
    <w:rsid w:val="00F24406"/>
    <w:rsid w:val="00F252A4"/>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FC511D0F-76A9-EC4A-AADC-2E7B8335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1260</Words>
  <Characters>7186</Characters>
  <Application>Microsoft Macintosh Word</Application>
  <DocSecurity>0</DocSecurity>
  <Lines>59</Lines>
  <Paragraphs>16</Paragraphs>
  <ScaleCrop>false</ScaleCrop>
  <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43</cp:revision>
  <dcterms:created xsi:type="dcterms:W3CDTF">2016-01-15T07:58:00Z</dcterms:created>
  <dcterms:modified xsi:type="dcterms:W3CDTF">2016-01-18T10:10:00Z</dcterms:modified>
</cp:coreProperties>
</file>