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79703" w14:textId="3458C659" w:rsidR="0037430D" w:rsidRDefault="0017662E">
      <w:pPr>
        <w:rPr>
          <w:b/>
          <w:bCs/>
        </w:rPr>
      </w:pPr>
      <w:r w:rsidRPr="000F28CD">
        <w:rPr>
          <w:b/>
          <w:bCs/>
        </w:rPr>
        <w:t xml:space="preserve">Data support </w:t>
      </w:r>
      <w:r w:rsidR="00A408C9" w:rsidRPr="000F28CD">
        <w:rPr>
          <w:b/>
          <w:bCs/>
        </w:rPr>
        <w:t>from AUO to demonstrate the FILTER platform</w:t>
      </w:r>
    </w:p>
    <w:p w14:paraId="0B9467F6" w14:textId="4B2C6021" w:rsidR="00624B7F" w:rsidRDefault="0074231C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 w:rsidR="008E6F26">
        <w:rPr>
          <w:sz w:val="22"/>
          <w:szCs w:val="22"/>
        </w:rPr>
        <w:t xml:space="preserve">The AUO data will be only requested for the FB precinct area and the benchmark area. </w:t>
      </w:r>
      <w:r w:rsidR="006927CF" w:rsidRPr="004010D8">
        <w:rPr>
          <w:sz w:val="22"/>
          <w:szCs w:val="22"/>
        </w:rPr>
        <w:t xml:space="preserve">The </w:t>
      </w:r>
      <w:r w:rsidR="0075441D">
        <w:rPr>
          <w:sz w:val="22"/>
          <w:szCs w:val="22"/>
        </w:rPr>
        <w:t xml:space="preserve">data </w:t>
      </w:r>
      <w:r w:rsidR="00162317">
        <w:rPr>
          <w:sz w:val="22"/>
          <w:szCs w:val="22"/>
        </w:rPr>
        <w:t xml:space="preserve">details </w:t>
      </w:r>
      <w:r w:rsidR="006927CF" w:rsidRPr="004010D8">
        <w:rPr>
          <w:sz w:val="22"/>
          <w:szCs w:val="22"/>
        </w:rPr>
        <w:t>will be</w:t>
      </w:r>
      <w:r w:rsidR="0077761E" w:rsidRPr="004010D8">
        <w:rPr>
          <w:sz w:val="22"/>
          <w:szCs w:val="22"/>
        </w:rPr>
        <w:t xml:space="preserve"> negotiated/</w:t>
      </w:r>
      <w:r w:rsidR="006927CF" w:rsidRPr="004010D8">
        <w:rPr>
          <w:sz w:val="22"/>
          <w:szCs w:val="22"/>
        </w:rPr>
        <w:t>adjusted based on the needs of FILTER demonstrator</w:t>
      </w:r>
      <w:r>
        <w:rPr>
          <w:sz w:val="22"/>
          <w:szCs w:val="22"/>
        </w:rPr>
        <w:t>.</w:t>
      </w:r>
    </w:p>
    <w:p w14:paraId="2E545F0D" w14:textId="77777777" w:rsidR="006F495A" w:rsidRDefault="006F495A">
      <w:pPr>
        <w:rPr>
          <w:sz w:val="22"/>
          <w:szCs w:val="22"/>
        </w:rPr>
      </w:pPr>
    </w:p>
    <w:p w14:paraId="42334B56" w14:textId="2FD42BC9" w:rsidR="004010D8" w:rsidRPr="00305FC3" w:rsidRDefault="00305FC3">
      <w:pPr>
        <w:rPr>
          <w:b/>
          <w:bCs/>
          <w:sz w:val="22"/>
          <w:szCs w:val="22"/>
        </w:rPr>
      </w:pPr>
      <w:r w:rsidRPr="00305FC3">
        <w:rPr>
          <w:b/>
          <w:bCs/>
          <w:sz w:val="22"/>
          <w:szCs w:val="22"/>
        </w:rPr>
        <w:t>Table 1</w:t>
      </w:r>
      <w:r w:rsidRPr="00305FC3">
        <w:rPr>
          <w:sz w:val="22"/>
          <w:szCs w:val="22"/>
        </w:rPr>
        <w:t>: AUO Data request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327"/>
        <w:gridCol w:w="1131"/>
        <w:gridCol w:w="1191"/>
        <w:gridCol w:w="1303"/>
        <w:gridCol w:w="1490"/>
        <w:gridCol w:w="1192"/>
      </w:tblGrid>
      <w:tr w:rsidR="00BB3BA4" w14:paraId="4C96D1BD" w14:textId="77777777" w:rsidTr="00763E5C">
        <w:tc>
          <w:tcPr>
            <w:tcW w:w="3327" w:type="dxa"/>
          </w:tcPr>
          <w:p w14:paraId="2E0DCDF1" w14:textId="18727A26" w:rsidR="00354E71" w:rsidRPr="00AA73CC" w:rsidRDefault="00354E71" w:rsidP="00AA73CC">
            <w:pPr>
              <w:jc w:val="center"/>
              <w:rPr>
                <w:b/>
                <w:bCs/>
              </w:rPr>
            </w:pPr>
            <w:r w:rsidRPr="00AA73CC">
              <w:rPr>
                <w:b/>
                <w:bCs/>
              </w:rPr>
              <w:t>AUO indicator</w:t>
            </w:r>
          </w:p>
        </w:tc>
        <w:tc>
          <w:tcPr>
            <w:tcW w:w="1131" w:type="dxa"/>
          </w:tcPr>
          <w:p w14:paraId="62A25364" w14:textId="6867B773" w:rsidR="00354E71" w:rsidRPr="00AA73CC" w:rsidRDefault="00354E71" w:rsidP="00AA73CC">
            <w:pPr>
              <w:jc w:val="center"/>
              <w:rPr>
                <w:b/>
                <w:bCs/>
              </w:rPr>
            </w:pPr>
            <w:r w:rsidRPr="00AA73CC">
              <w:rPr>
                <w:b/>
                <w:bCs/>
              </w:rPr>
              <w:t xml:space="preserve">Spatial </w:t>
            </w:r>
            <w:r>
              <w:rPr>
                <w:b/>
                <w:bCs/>
              </w:rPr>
              <w:t>scale</w:t>
            </w:r>
          </w:p>
        </w:tc>
        <w:tc>
          <w:tcPr>
            <w:tcW w:w="1191" w:type="dxa"/>
          </w:tcPr>
          <w:p w14:paraId="0866100E" w14:textId="29886CC9" w:rsidR="00354E71" w:rsidRPr="00AA73CC" w:rsidRDefault="00354E71" w:rsidP="00AA73CC">
            <w:pPr>
              <w:jc w:val="center"/>
              <w:rPr>
                <w:b/>
                <w:bCs/>
              </w:rPr>
            </w:pPr>
            <w:r w:rsidRPr="00AA73CC">
              <w:rPr>
                <w:b/>
                <w:bCs/>
              </w:rPr>
              <w:t>Time period</w:t>
            </w:r>
          </w:p>
        </w:tc>
        <w:tc>
          <w:tcPr>
            <w:tcW w:w="1303" w:type="dxa"/>
          </w:tcPr>
          <w:p w14:paraId="4E828BB4" w14:textId="0148AC95" w:rsidR="00354E71" w:rsidRPr="00AA73CC" w:rsidRDefault="00354E71" w:rsidP="00AA73CC">
            <w:pPr>
              <w:jc w:val="center"/>
              <w:rPr>
                <w:b/>
                <w:bCs/>
              </w:rPr>
            </w:pPr>
            <w:r w:rsidRPr="00AA73CC">
              <w:rPr>
                <w:b/>
                <w:bCs/>
              </w:rPr>
              <w:t>Area</w:t>
            </w:r>
            <w:r>
              <w:rPr>
                <w:b/>
                <w:bCs/>
              </w:rPr>
              <w:t xml:space="preserve"> of interest</w:t>
            </w:r>
          </w:p>
        </w:tc>
        <w:tc>
          <w:tcPr>
            <w:tcW w:w="1490" w:type="dxa"/>
          </w:tcPr>
          <w:p w14:paraId="6669EC67" w14:textId="2109FF6B" w:rsidR="00354E71" w:rsidRPr="00AA73CC" w:rsidRDefault="00BB3BA4" w:rsidP="00AA7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Calculation for the b</w:t>
            </w:r>
            <w:r w:rsidR="00354E71">
              <w:rPr>
                <w:b/>
                <w:bCs/>
              </w:rPr>
              <w:t xml:space="preserve">enchmark </w:t>
            </w:r>
            <w:r w:rsidR="00F7780C">
              <w:rPr>
                <w:b/>
                <w:bCs/>
              </w:rPr>
              <w:t>area</w:t>
            </w:r>
            <w:r w:rsidR="00763E5C">
              <w:rPr>
                <w:b/>
                <w:bCs/>
              </w:rPr>
              <w:t xml:space="preserve">s </w:t>
            </w:r>
            <w:r w:rsidR="0051062D" w:rsidRPr="0051062D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192" w:type="dxa"/>
          </w:tcPr>
          <w:p w14:paraId="01364F16" w14:textId="41409A3D" w:rsidR="00354E71" w:rsidRPr="00AA73CC" w:rsidRDefault="00354E71" w:rsidP="00AA73CC">
            <w:pPr>
              <w:jc w:val="center"/>
              <w:rPr>
                <w:b/>
                <w:bCs/>
              </w:rPr>
            </w:pPr>
            <w:r w:rsidRPr="00AA73CC">
              <w:rPr>
                <w:b/>
                <w:bCs/>
              </w:rPr>
              <w:t>Data type</w:t>
            </w:r>
          </w:p>
        </w:tc>
      </w:tr>
      <w:tr w:rsidR="00BB3BA4" w14:paraId="363481A7" w14:textId="77777777" w:rsidTr="00763E5C">
        <w:tc>
          <w:tcPr>
            <w:tcW w:w="3327" w:type="dxa"/>
          </w:tcPr>
          <w:p w14:paraId="6D20915D" w14:textId="137FB693" w:rsidR="00354E71" w:rsidRDefault="00354E71" w:rsidP="00AA73CC">
            <w:r>
              <w:t xml:space="preserve">Walkability </w:t>
            </w:r>
            <w:r>
              <w:t>index</w:t>
            </w:r>
          </w:p>
        </w:tc>
        <w:tc>
          <w:tcPr>
            <w:tcW w:w="1131" w:type="dxa"/>
          </w:tcPr>
          <w:p w14:paraId="1575A0E3" w14:textId="007B3A81" w:rsidR="00354E71" w:rsidRDefault="00354E71" w:rsidP="00AA73CC">
            <w:r>
              <w:t>SA1</w:t>
            </w:r>
          </w:p>
        </w:tc>
        <w:tc>
          <w:tcPr>
            <w:tcW w:w="1191" w:type="dxa"/>
          </w:tcPr>
          <w:p w14:paraId="5CA9E0EE" w14:textId="7C2903A5" w:rsidR="00354E71" w:rsidRDefault="00354E71" w:rsidP="00AA73CC">
            <w:r>
              <w:t>2018, 2021, 2024</w:t>
            </w:r>
          </w:p>
        </w:tc>
        <w:tc>
          <w:tcPr>
            <w:tcW w:w="1303" w:type="dxa"/>
          </w:tcPr>
          <w:p w14:paraId="7C26FAB3" w14:textId="54C527FF" w:rsidR="00354E71" w:rsidRDefault="00E26318" w:rsidP="00AA73CC">
            <w:r>
              <w:t xml:space="preserve">Within </w:t>
            </w:r>
            <w:r w:rsidR="00FE0EDB">
              <w:t xml:space="preserve">FB’s boundary </w:t>
            </w:r>
            <w:r w:rsidR="006562B3">
              <w:t xml:space="preserve"> </w:t>
            </w:r>
          </w:p>
        </w:tc>
        <w:tc>
          <w:tcPr>
            <w:tcW w:w="1490" w:type="dxa"/>
          </w:tcPr>
          <w:p w14:paraId="1E38DCFD" w14:textId="0A11515F" w:rsidR="00354E71" w:rsidRDefault="00DF1696" w:rsidP="00AA73CC">
            <w:r>
              <w:t xml:space="preserve">Average of </w:t>
            </w:r>
            <w:r w:rsidR="00E1691E">
              <w:t xml:space="preserve">other precinct </w:t>
            </w:r>
            <w:r w:rsidR="00D366DE">
              <w:t>SA1s</w:t>
            </w:r>
            <w:r w:rsidR="002D32F6">
              <w:t xml:space="preserve"> in </w:t>
            </w:r>
            <w:r w:rsidR="00F7780C">
              <w:t xml:space="preserve">Melbourne </w:t>
            </w:r>
          </w:p>
        </w:tc>
        <w:tc>
          <w:tcPr>
            <w:tcW w:w="1192" w:type="dxa"/>
          </w:tcPr>
          <w:p w14:paraId="7E6CA8F9" w14:textId="4B6FE1DE" w:rsidR="00354E71" w:rsidRDefault="00354E71" w:rsidP="00AA73CC">
            <w:r>
              <w:t>Shapefile or CSV</w:t>
            </w:r>
          </w:p>
        </w:tc>
      </w:tr>
      <w:tr w:rsidR="00BB3BA4" w14:paraId="08B18201" w14:textId="77777777" w:rsidTr="00763E5C">
        <w:tc>
          <w:tcPr>
            <w:tcW w:w="3327" w:type="dxa"/>
          </w:tcPr>
          <w:p w14:paraId="5911D192" w14:textId="5D4A8404" w:rsidR="00354E71" w:rsidRDefault="00354E71" w:rsidP="00AA73CC">
            <w:r>
              <w:t>P</w:t>
            </w:r>
            <w:r>
              <w:t>ercentage of dwellings within 400m of</w:t>
            </w:r>
          </w:p>
          <w:p w14:paraId="1BA1A4CF" w14:textId="546E932C" w:rsidR="00354E71" w:rsidRDefault="00354E71" w:rsidP="00AA73CC">
            <w:r>
              <w:t>any of</w:t>
            </w:r>
            <w:r>
              <w:t xml:space="preserve"> </w:t>
            </w:r>
            <w:r w:rsidRPr="00E8419D">
              <w:rPr>
                <w:b/>
                <w:bCs/>
              </w:rPr>
              <w:t>public transport</w:t>
            </w:r>
            <w:r>
              <w:t xml:space="preserve"> </w:t>
            </w:r>
            <w:r w:rsidRPr="00E8419D">
              <w:rPr>
                <w:b/>
                <w:bCs/>
              </w:rPr>
              <w:t xml:space="preserve">stops </w:t>
            </w:r>
            <w:r>
              <w:t>based on a walkable</w:t>
            </w:r>
          </w:p>
          <w:p w14:paraId="50F9147A" w14:textId="233C59B7" w:rsidR="00354E71" w:rsidRDefault="00354E71" w:rsidP="00AA73CC">
            <w:r>
              <w:t>road network distance</w:t>
            </w:r>
          </w:p>
        </w:tc>
        <w:tc>
          <w:tcPr>
            <w:tcW w:w="1131" w:type="dxa"/>
          </w:tcPr>
          <w:p w14:paraId="03D6AB5F" w14:textId="77777777" w:rsidR="00354E71" w:rsidRDefault="00354E71" w:rsidP="00AA73CC">
            <w:r>
              <w:t xml:space="preserve">SA1, </w:t>
            </w:r>
          </w:p>
          <w:p w14:paraId="7E937DD5" w14:textId="3BA0292D" w:rsidR="00354E71" w:rsidRDefault="00354E71" w:rsidP="00AA73CC">
            <w:r>
              <w:t>or sampled points*</w:t>
            </w:r>
          </w:p>
        </w:tc>
        <w:tc>
          <w:tcPr>
            <w:tcW w:w="1191" w:type="dxa"/>
          </w:tcPr>
          <w:p w14:paraId="7B4F5BB2" w14:textId="72CC2589" w:rsidR="00354E71" w:rsidRDefault="00354E71" w:rsidP="00AA73CC">
            <w:r>
              <w:t>2018, 2021, 2024</w:t>
            </w:r>
          </w:p>
        </w:tc>
        <w:tc>
          <w:tcPr>
            <w:tcW w:w="1303" w:type="dxa"/>
          </w:tcPr>
          <w:p w14:paraId="2E7DBDAB" w14:textId="57DFC83A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41B539FF" w14:textId="4503E8F9" w:rsidR="00354E71" w:rsidRDefault="00F2483F" w:rsidP="00AA73CC">
            <w:r>
              <w:t xml:space="preserve">Average of other precinct </w:t>
            </w:r>
            <w:r w:rsidR="00D366DE">
              <w:t>SA1s</w:t>
            </w:r>
            <w:r>
              <w:t xml:space="preserve"> in Melbourne</w:t>
            </w:r>
          </w:p>
        </w:tc>
        <w:tc>
          <w:tcPr>
            <w:tcW w:w="1192" w:type="dxa"/>
          </w:tcPr>
          <w:p w14:paraId="28E2024B" w14:textId="010F4420" w:rsidR="00354E71" w:rsidRDefault="00354E71" w:rsidP="00AA73CC"/>
        </w:tc>
      </w:tr>
      <w:tr w:rsidR="00BB3BA4" w14:paraId="5FB14ABC" w14:textId="77777777" w:rsidTr="00763E5C">
        <w:tc>
          <w:tcPr>
            <w:tcW w:w="3327" w:type="dxa"/>
          </w:tcPr>
          <w:p w14:paraId="1EF5C3BF" w14:textId="2809FFC9" w:rsidR="00354E71" w:rsidRDefault="00354E71" w:rsidP="00E8419D">
            <w:r>
              <w:t xml:space="preserve">Social infrastructure index - </w:t>
            </w:r>
            <w:r>
              <w:t xml:space="preserve">The average number of </w:t>
            </w:r>
            <w:r w:rsidRPr="00E8419D">
              <w:rPr>
                <w:b/>
                <w:bCs/>
              </w:rPr>
              <w:t>social infrastructure destinations</w:t>
            </w:r>
            <w:r>
              <w:t xml:space="preserve"> accessible within</w:t>
            </w:r>
          </w:p>
          <w:p w14:paraId="1CD51231" w14:textId="13CB20E9" w:rsidR="00354E71" w:rsidRDefault="00354E71" w:rsidP="00E8419D">
            <w:r>
              <w:t xml:space="preserve">recommended distances from dwellings </w:t>
            </w:r>
            <w:r>
              <w:t>within an</w:t>
            </w:r>
            <w:r>
              <w:t xml:space="preserve"> are</w:t>
            </w:r>
            <w:r>
              <w:t>a</w:t>
            </w:r>
            <w:r w:rsidR="00E212CC">
              <w:t xml:space="preserve"> </w:t>
            </w:r>
            <w:r w:rsidR="00E212CC">
              <w:t>(Table 2)</w:t>
            </w:r>
          </w:p>
        </w:tc>
        <w:tc>
          <w:tcPr>
            <w:tcW w:w="1131" w:type="dxa"/>
          </w:tcPr>
          <w:p w14:paraId="3527B3A0" w14:textId="12DC58CD" w:rsidR="00354E71" w:rsidRDefault="00354E71" w:rsidP="00AA73CC">
            <w:r>
              <w:t>SA1</w:t>
            </w:r>
          </w:p>
        </w:tc>
        <w:tc>
          <w:tcPr>
            <w:tcW w:w="1191" w:type="dxa"/>
          </w:tcPr>
          <w:p w14:paraId="4F22C216" w14:textId="629AAB5D" w:rsidR="00354E71" w:rsidRDefault="003957B9" w:rsidP="00AA73CC">
            <w:r>
              <w:t>2018, 2021, 2024</w:t>
            </w:r>
          </w:p>
        </w:tc>
        <w:tc>
          <w:tcPr>
            <w:tcW w:w="1303" w:type="dxa"/>
          </w:tcPr>
          <w:p w14:paraId="037CB258" w14:textId="3F112FFD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56F52C38" w14:textId="51816F70" w:rsidR="00354E71" w:rsidRDefault="00E64379" w:rsidP="00AA73CC">
            <w:r>
              <w:t>Average of all SA1s in Melbourne</w:t>
            </w:r>
          </w:p>
        </w:tc>
        <w:tc>
          <w:tcPr>
            <w:tcW w:w="1192" w:type="dxa"/>
          </w:tcPr>
          <w:p w14:paraId="61D2801B" w14:textId="363629FA" w:rsidR="00354E71" w:rsidRDefault="00354E71" w:rsidP="00AA73CC"/>
        </w:tc>
      </w:tr>
      <w:tr w:rsidR="00BB3BA4" w14:paraId="4DC6905A" w14:textId="77777777" w:rsidTr="00763E5C">
        <w:tc>
          <w:tcPr>
            <w:tcW w:w="3327" w:type="dxa"/>
          </w:tcPr>
          <w:p w14:paraId="2F8CE717" w14:textId="1840B3E0" w:rsidR="00354E71" w:rsidRDefault="00354E71" w:rsidP="00AA73CC">
            <w:r w:rsidRPr="00E8419D">
              <w:t>Percent</w:t>
            </w:r>
            <w:r w:rsidR="00122987">
              <w:t>age</w:t>
            </w:r>
            <w:r w:rsidRPr="00E8419D">
              <w:t xml:space="preserve"> of dwellings located within</w:t>
            </w:r>
            <w:r w:rsidR="00C0658E">
              <w:t>16</w:t>
            </w:r>
            <w:r w:rsidRPr="00E8419D">
              <w:t xml:space="preserve">00m </w:t>
            </w:r>
            <w:r>
              <w:t xml:space="preserve">(or other distance) </w:t>
            </w:r>
            <w:r w:rsidRPr="00E8419D">
              <w:t xml:space="preserve">of a </w:t>
            </w:r>
            <w:r w:rsidRPr="00E8419D">
              <w:rPr>
                <w:b/>
                <w:bCs/>
              </w:rPr>
              <w:t>primary</w:t>
            </w:r>
            <w:r w:rsidR="00724BC9">
              <w:rPr>
                <w:b/>
                <w:bCs/>
              </w:rPr>
              <w:t>/</w:t>
            </w:r>
            <w:r w:rsidR="0098682B">
              <w:rPr>
                <w:b/>
                <w:bCs/>
              </w:rPr>
              <w:t xml:space="preserve">secondary </w:t>
            </w:r>
            <w:r w:rsidR="0098682B" w:rsidRPr="00E8419D">
              <w:rPr>
                <w:b/>
                <w:bCs/>
              </w:rPr>
              <w:t>school</w:t>
            </w:r>
          </w:p>
        </w:tc>
        <w:tc>
          <w:tcPr>
            <w:tcW w:w="1131" w:type="dxa"/>
          </w:tcPr>
          <w:p w14:paraId="081D2CD4" w14:textId="77777777" w:rsidR="00354E71" w:rsidRDefault="00354E71" w:rsidP="00E8419D">
            <w:r>
              <w:t xml:space="preserve">SA1, </w:t>
            </w:r>
          </w:p>
          <w:p w14:paraId="4B8A1A32" w14:textId="624D7E28" w:rsidR="00354E71" w:rsidRDefault="00354E71" w:rsidP="00E8419D">
            <w:r>
              <w:t>Or sampled points*</w:t>
            </w:r>
          </w:p>
        </w:tc>
        <w:tc>
          <w:tcPr>
            <w:tcW w:w="1191" w:type="dxa"/>
          </w:tcPr>
          <w:p w14:paraId="0C1BDCE3" w14:textId="62ACEBB2" w:rsidR="00354E71" w:rsidRDefault="003957B9" w:rsidP="00AA73CC">
            <w:r>
              <w:t>2018, 2021, 2024</w:t>
            </w:r>
          </w:p>
        </w:tc>
        <w:tc>
          <w:tcPr>
            <w:tcW w:w="1303" w:type="dxa"/>
          </w:tcPr>
          <w:p w14:paraId="23F5B972" w14:textId="116ACB5D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65921C2D" w14:textId="6D9CF6DF" w:rsidR="00354E71" w:rsidRDefault="00E64379" w:rsidP="00AA73CC">
            <w:r>
              <w:t>Average of all SA1s in Melbourne</w:t>
            </w:r>
          </w:p>
        </w:tc>
        <w:tc>
          <w:tcPr>
            <w:tcW w:w="1192" w:type="dxa"/>
          </w:tcPr>
          <w:p w14:paraId="24D8211C" w14:textId="219ED65B" w:rsidR="00354E71" w:rsidRDefault="00354E71" w:rsidP="00AA73CC"/>
        </w:tc>
      </w:tr>
      <w:tr w:rsidR="00BB3BA4" w14:paraId="0183DDAE" w14:textId="77777777" w:rsidTr="00763E5C">
        <w:tc>
          <w:tcPr>
            <w:tcW w:w="3327" w:type="dxa"/>
          </w:tcPr>
          <w:p w14:paraId="70192ED6" w14:textId="5F07A56F" w:rsidR="00354E71" w:rsidRDefault="00354E71" w:rsidP="00AA73CC">
            <w:r w:rsidRPr="00E8419D">
              <w:t>Percent</w:t>
            </w:r>
            <w:r w:rsidR="00122987">
              <w:t>age</w:t>
            </w:r>
            <w:r w:rsidRPr="00E8419D">
              <w:t xml:space="preserve"> of dwellings located within </w:t>
            </w:r>
            <w:r w:rsidR="00724BC9">
              <w:t>10</w:t>
            </w:r>
            <w:r w:rsidRPr="00E8419D">
              <w:t>00m</w:t>
            </w:r>
            <w:r>
              <w:t xml:space="preserve"> (or other distance)</w:t>
            </w:r>
            <w:r w:rsidRPr="00E8419D">
              <w:t xml:space="preserve"> of a </w:t>
            </w:r>
            <w:r w:rsidRPr="00E8419D">
              <w:rPr>
                <w:b/>
                <w:bCs/>
              </w:rPr>
              <w:t xml:space="preserve">community </w:t>
            </w:r>
            <w:r w:rsidR="00EB3FE8">
              <w:rPr>
                <w:b/>
                <w:bCs/>
              </w:rPr>
              <w:t>centre</w:t>
            </w:r>
          </w:p>
        </w:tc>
        <w:tc>
          <w:tcPr>
            <w:tcW w:w="1131" w:type="dxa"/>
          </w:tcPr>
          <w:p w14:paraId="2A477555" w14:textId="77777777" w:rsidR="00354E71" w:rsidRDefault="00354E71" w:rsidP="00E8419D">
            <w:r>
              <w:t xml:space="preserve">SA1, </w:t>
            </w:r>
          </w:p>
          <w:p w14:paraId="1126BCC9" w14:textId="7F48F1CC" w:rsidR="00354E71" w:rsidRDefault="00354E71" w:rsidP="00E8419D">
            <w:r>
              <w:t>o</w:t>
            </w:r>
            <w:r>
              <w:t>r sampled points*</w:t>
            </w:r>
          </w:p>
        </w:tc>
        <w:tc>
          <w:tcPr>
            <w:tcW w:w="1191" w:type="dxa"/>
          </w:tcPr>
          <w:p w14:paraId="16251402" w14:textId="1EDAEE7F" w:rsidR="00354E71" w:rsidRDefault="003957B9" w:rsidP="00AA73CC">
            <w:r>
              <w:t>2018, 2021, 2024</w:t>
            </w:r>
          </w:p>
        </w:tc>
        <w:tc>
          <w:tcPr>
            <w:tcW w:w="1303" w:type="dxa"/>
          </w:tcPr>
          <w:p w14:paraId="277D51EA" w14:textId="62B40A3E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7FE1D5F6" w14:textId="39B7CB63" w:rsidR="00354E71" w:rsidRDefault="00E64379" w:rsidP="00AA73CC">
            <w:r>
              <w:t>Average of all SA1s in Melbourne</w:t>
            </w:r>
          </w:p>
        </w:tc>
        <w:tc>
          <w:tcPr>
            <w:tcW w:w="1192" w:type="dxa"/>
          </w:tcPr>
          <w:p w14:paraId="0DBC58E6" w14:textId="610109CD" w:rsidR="00354E71" w:rsidRDefault="00354E71" w:rsidP="00AA73CC"/>
        </w:tc>
      </w:tr>
      <w:tr w:rsidR="00BB3BA4" w14:paraId="13552F92" w14:textId="77777777" w:rsidTr="00763E5C">
        <w:tc>
          <w:tcPr>
            <w:tcW w:w="3327" w:type="dxa"/>
          </w:tcPr>
          <w:p w14:paraId="1798B8CF" w14:textId="6DDD5633" w:rsidR="00354E71" w:rsidRPr="00E8419D" w:rsidRDefault="00354E71" w:rsidP="00AA73CC">
            <w:r w:rsidRPr="00E8419D">
              <w:t>Percent</w:t>
            </w:r>
            <w:r w:rsidR="00122987">
              <w:t>age</w:t>
            </w:r>
            <w:r w:rsidRPr="00E8419D">
              <w:t xml:space="preserve"> of dwellings located within </w:t>
            </w:r>
            <w:r w:rsidR="00860364">
              <w:t>10</w:t>
            </w:r>
            <w:r w:rsidRPr="00E8419D">
              <w:t xml:space="preserve">00m </w:t>
            </w:r>
            <w:r w:rsidR="00382C02">
              <w:t xml:space="preserve">(or other distance) </w:t>
            </w:r>
            <w:r w:rsidRPr="00E8419D">
              <w:t xml:space="preserve">of a </w:t>
            </w:r>
            <w:r w:rsidRPr="00E8419D">
              <w:rPr>
                <w:b/>
                <w:bCs/>
              </w:rPr>
              <w:t>health facility</w:t>
            </w:r>
          </w:p>
        </w:tc>
        <w:tc>
          <w:tcPr>
            <w:tcW w:w="1131" w:type="dxa"/>
          </w:tcPr>
          <w:p w14:paraId="7DC9644C" w14:textId="77777777" w:rsidR="00354E71" w:rsidRDefault="00354E71" w:rsidP="00E8419D">
            <w:r>
              <w:t xml:space="preserve">SA1, </w:t>
            </w:r>
          </w:p>
          <w:p w14:paraId="58F69099" w14:textId="092764B2" w:rsidR="00354E71" w:rsidRDefault="00354E71" w:rsidP="00E8419D">
            <w:r>
              <w:t>o</w:t>
            </w:r>
            <w:r>
              <w:t>r sampled points*</w:t>
            </w:r>
          </w:p>
        </w:tc>
        <w:tc>
          <w:tcPr>
            <w:tcW w:w="1191" w:type="dxa"/>
          </w:tcPr>
          <w:p w14:paraId="06162EA7" w14:textId="4FFC4804" w:rsidR="00354E71" w:rsidRDefault="003957B9" w:rsidP="00AA73CC">
            <w:r>
              <w:t>2018, 2021, 2024</w:t>
            </w:r>
          </w:p>
        </w:tc>
        <w:tc>
          <w:tcPr>
            <w:tcW w:w="1303" w:type="dxa"/>
          </w:tcPr>
          <w:p w14:paraId="1C0873D1" w14:textId="2FF9CE88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00072286" w14:textId="5B0270E7" w:rsidR="00354E71" w:rsidRDefault="00E64379" w:rsidP="00AA73CC">
            <w:r>
              <w:t>Average of all SA1s in Melbourne</w:t>
            </w:r>
          </w:p>
        </w:tc>
        <w:tc>
          <w:tcPr>
            <w:tcW w:w="1192" w:type="dxa"/>
          </w:tcPr>
          <w:p w14:paraId="0B4FE6C8" w14:textId="415F4C83" w:rsidR="00354E71" w:rsidRDefault="00354E71" w:rsidP="00AA73CC"/>
        </w:tc>
      </w:tr>
      <w:tr w:rsidR="00BB3BA4" w14:paraId="1241F6B6" w14:textId="77777777" w:rsidTr="00763E5C">
        <w:tc>
          <w:tcPr>
            <w:tcW w:w="3327" w:type="dxa"/>
          </w:tcPr>
          <w:p w14:paraId="4FA33F87" w14:textId="6B51EDF9" w:rsidR="00354E71" w:rsidRPr="00E8419D" w:rsidRDefault="00354E71" w:rsidP="00AA73CC">
            <w:r w:rsidRPr="00E8419D">
              <w:t>Percent</w:t>
            </w:r>
            <w:r w:rsidR="00122987">
              <w:t>age</w:t>
            </w:r>
            <w:r w:rsidRPr="00E8419D">
              <w:t xml:space="preserve"> of dwellings located within </w:t>
            </w:r>
            <w:r>
              <w:t>4</w:t>
            </w:r>
            <w:r w:rsidRPr="00E8419D">
              <w:t xml:space="preserve">00m of </w:t>
            </w:r>
            <w:r w:rsidRPr="00E8419D">
              <w:rPr>
                <w:b/>
                <w:bCs/>
              </w:rPr>
              <w:t>public open space</w:t>
            </w:r>
          </w:p>
        </w:tc>
        <w:tc>
          <w:tcPr>
            <w:tcW w:w="1131" w:type="dxa"/>
          </w:tcPr>
          <w:p w14:paraId="1F76DAB2" w14:textId="77777777" w:rsidR="00354E71" w:rsidRDefault="00354E71" w:rsidP="00E8419D">
            <w:r>
              <w:t xml:space="preserve">SA1, </w:t>
            </w:r>
          </w:p>
          <w:p w14:paraId="44C905D2" w14:textId="308A0473" w:rsidR="00354E71" w:rsidRDefault="00354E71" w:rsidP="00E8419D">
            <w:r>
              <w:t>o</w:t>
            </w:r>
            <w:r>
              <w:t>r sampled points*</w:t>
            </w:r>
          </w:p>
        </w:tc>
        <w:tc>
          <w:tcPr>
            <w:tcW w:w="1191" w:type="dxa"/>
          </w:tcPr>
          <w:p w14:paraId="6EF112B7" w14:textId="1C639F0B" w:rsidR="00354E71" w:rsidRDefault="003957B9" w:rsidP="00AA73CC">
            <w:r>
              <w:t>2018, 2021, 2024</w:t>
            </w:r>
          </w:p>
        </w:tc>
        <w:tc>
          <w:tcPr>
            <w:tcW w:w="1303" w:type="dxa"/>
          </w:tcPr>
          <w:p w14:paraId="3167F6FC" w14:textId="1D75015D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4C535CBA" w14:textId="07B222E4" w:rsidR="00354E71" w:rsidRDefault="00E64379" w:rsidP="00AA73CC">
            <w:r>
              <w:t>Average of all SA1s in Melbourne</w:t>
            </w:r>
          </w:p>
        </w:tc>
        <w:tc>
          <w:tcPr>
            <w:tcW w:w="1192" w:type="dxa"/>
          </w:tcPr>
          <w:p w14:paraId="7C7AE8CD" w14:textId="40670C65" w:rsidR="00354E71" w:rsidRDefault="00354E71" w:rsidP="00AA73CC"/>
        </w:tc>
      </w:tr>
      <w:tr w:rsidR="00BB3BA4" w14:paraId="39BF8816" w14:textId="77777777" w:rsidTr="00763E5C">
        <w:tc>
          <w:tcPr>
            <w:tcW w:w="3327" w:type="dxa"/>
          </w:tcPr>
          <w:p w14:paraId="7EE00F4A" w14:textId="38D9ADE2" w:rsidR="00354E71" w:rsidRDefault="00354E71" w:rsidP="00902D4F">
            <w:r w:rsidRPr="00543500">
              <w:rPr>
                <w:b/>
                <w:bCs/>
              </w:rPr>
              <w:lastRenderedPageBreak/>
              <w:t>H</w:t>
            </w:r>
            <w:r w:rsidRPr="00543500">
              <w:rPr>
                <w:b/>
                <w:bCs/>
              </w:rPr>
              <w:t>ousing affordability</w:t>
            </w:r>
            <w:r>
              <w:t xml:space="preserve"> </w:t>
            </w:r>
            <w:r w:rsidRPr="00B60FAF">
              <w:rPr>
                <w:b/>
                <w:bCs/>
              </w:rPr>
              <w:t>stress</w:t>
            </w:r>
            <w:r>
              <w:t xml:space="preserve"> - </w:t>
            </w:r>
          </w:p>
          <w:p w14:paraId="41CBADA2" w14:textId="06BD9BD0" w:rsidR="00354E71" w:rsidRDefault="00354E71" w:rsidP="00902D4F">
            <w:r>
              <w:t>Percent</w:t>
            </w:r>
            <w:r w:rsidR="00122987">
              <w:t>age</w:t>
            </w:r>
            <w:r>
              <w:t xml:space="preserve"> of </w:t>
            </w:r>
            <w:r>
              <w:t>households in the</w:t>
            </w:r>
          </w:p>
          <w:p w14:paraId="3DD0FEC9" w14:textId="77777777" w:rsidR="00354E71" w:rsidRDefault="00354E71" w:rsidP="00902D4F">
            <w:r>
              <w:t>bottom 40 percent of income spend</w:t>
            </w:r>
          </w:p>
          <w:p w14:paraId="15CB442E" w14:textId="17F50034" w:rsidR="00354E71" w:rsidRDefault="00354E71" w:rsidP="00902D4F">
            <w:r>
              <w:t>more than 30 percent of their household</w:t>
            </w:r>
            <w:r>
              <w:t xml:space="preserve"> income on housing cost</w:t>
            </w:r>
          </w:p>
          <w:p w14:paraId="61AB028A" w14:textId="7173DF95" w:rsidR="00354E71" w:rsidRPr="00E8419D" w:rsidRDefault="00354E71" w:rsidP="00902D4F">
            <w:r>
              <w:t>income on housing costs</w:t>
            </w:r>
          </w:p>
        </w:tc>
        <w:tc>
          <w:tcPr>
            <w:tcW w:w="1131" w:type="dxa"/>
          </w:tcPr>
          <w:p w14:paraId="788D5CCB" w14:textId="6B2ED9B1" w:rsidR="00354E71" w:rsidRDefault="00354E71" w:rsidP="00AA73CC">
            <w:r>
              <w:t>SA1</w:t>
            </w:r>
          </w:p>
        </w:tc>
        <w:tc>
          <w:tcPr>
            <w:tcW w:w="1191" w:type="dxa"/>
          </w:tcPr>
          <w:p w14:paraId="622DD0D4" w14:textId="34D91774" w:rsidR="00354E71" w:rsidRDefault="003957B9" w:rsidP="00AA73CC">
            <w:r>
              <w:t>2018, 2021, 2024</w:t>
            </w:r>
          </w:p>
        </w:tc>
        <w:tc>
          <w:tcPr>
            <w:tcW w:w="1303" w:type="dxa"/>
          </w:tcPr>
          <w:p w14:paraId="12B1433D" w14:textId="7267949D" w:rsidR="00354E71" w:rsidRDefault="00FE0EDB" w:rsidP="00AA73CC">
            <w:r>
              <w:t xml:space="preserve">Within FB’s boundary  </w:t>
            </w:r>
          </w:p>
        </w:tc>
        <w:tc>
          <w:tcPr>
            <w:tcW w:w="1490" w:type="dxa"/>
          </w:tcPr>
          <w:p w14:paraId="012D6A66" w14:textId="57F1378E" w:rsidR="00354E71" w:rsidRDefault="00E64379" w:rsidP="00AA73CC">
            <w:r>
              <w:t>Average of all SA1s in Melbourne</w:t>
            </w:r>
          </w:p>
        </w:tc>
        <w:tc>
          <w:tcPr>
            <w:tcW w:w="1192" w:type="dxa"/>
          </w:tcPr>
          <w:p w14:paraId="356D360E" w14:textId="01C1C19E" w:rsidR="00354E71" w:rsidRDefault="00354E71" w:rsidP="00AA73CC"/>
        </w:tc>
      </w:tr>
      <w:tr w:rsidR="00BB3BA4" w14:paraId="6571D973" w14:textId="77777777" w:rsidTr="00763E5C">
        <w:tc>
          <w:tcPr>
            <w:tcW w:w="3327" w:type="dxa"/>
          </w:tcPr>
          <w:p w14:paraId="618FB2F0" w14:textId="77777777" w:rsidR="00354E71" w:rsidRPr="00E8419D" w:rsidRDefault="00354E71" w:rsidP="00AA73CC"/>
        </w:tc>
        <w:tc>
          <w:tcPr>
            <w:tcW w:w="1131" w:type="dxa"/>
          </w:tcPr>
          <w:p w14:paraId="60D07900" w14:textId="77777777" w:rsidR="00354E71" w:rsidRDefault="00354E71" w:rsidP="00AA73CC"/>
        </w:tc>
        <w:tc>
          <w:tcPr>
            <w:tcW w:w="1191" w:type="dxa"/>
          </w:tcPr>
          <w:p w14:paraId="38BEF0B5" w14:textId="77777777" w:rsidR="00354E71" w:rsidRDefault="00354E71" w:rsidP="00AA73CC"/>
        </w:tc>
        <w:tc>
          <w:tcPr>
            <w:tcW w:w="1303" w:type="dxa"/>
          </w:tcPr>
          <w:p w14:paraId="10252553" w14:textId="77777777" w:rsidR="00354E71" w:rsidRDefault="00354E71" w:rsidP="00AA73CC"/>
        </w:tc>
        <w:tc>
          <w:tcPr>
            <w:tcW w:w="1490" w:type="dxa"/>
          </w:tcPr>
          <w:p w14:paraId="0A96B644" w14:textId="77777777" w:rsidR="00354E71" w:rsidRDefault="00354E71" w:rsidP="00AA73CC"/>
        </w:tc>
        <w:tc>
          <w:tcPr>
            <w:tcW w:w="1192" w:type="dxa"/>
          </w:tcPr>
          <w:p w14:paraId="7C15A542" w14:textId="4FF87B15" w:rsidR="00354E71" w:rsidRDefault="00354E71" w:rsidP="00AA73CC"/>
        </w:tc>
      </w:tr>
    </w:tbl>
    <w:p w14:paraId="086A4A52" w14:textId="61E3450E" w:rsidR="00AA73CC" w:rsidRPr="006F495A" w:rsidRDefault="008818DD" w:rsidP="008818DD">
      <w:pPr>
        <w:rPr>
          <w:sz w:val="20"/>
          <w:szCs w:val="20"/>
        </w:rPr>
      </w:pPr>
      <w:r w:rsidRPr="006F495A">
        <w:rPr>
          <w:b/>
          <w:bCs/>
          <w:sz w:val="20"/>
          <w:szCs w:val="20"/>
        </w:rPr>
        <w:t xml:space="preserve">* </w:t>
      </w:r>
      <w:r w:rsidR="00FF536B">
        <w:rPr>
          <w:sz w:val="20"/>
          <w:szCs w:val="20"/>
        </w:rPr>
        <w:t>The</w:t>
      </w:r>
      <w:r w:rsidRPr="006F495A">
        <w:rPr>
          <w:sz w:val="20"/>
          <w:szCs w:val="20"/>
        </w:rPr>
        <w:t xml:space="preserve"> AUO </w:t>
      </w:r>
      <w:r w:rsidR="00FF536B">
        <w:rPr>
          <w:sz w:val="20"/>
          <w:szCs w:val="20"/>
        </w:rPr>
        <w:t>data collecte</w:t>
      </w:r>
      <w:r w:rsidR="004649B0">
        <w:rPr>
          <w:sz w:val="20"/>
          <w:szCs w:val="20"/>
        </w:rPr>
        <w:t>d/measured</w:t>
      </w:r>
      <w:r w:rsidR="00FF536B">
        <w:rPr>
          <w:sz w:val="20"/>
          <w:szCs w:val="20"/>
        </w:rPr>
        <w:t xml:space="preserve"> from the </w:t>
      </w:r>
      <w:r w:rsidR="004649B0">
        <w:rPr>
          <w:sz w:val="20"/>
          <w:szCs w:val="20"/>
        </w:rPr>
        <w:t xml:space="preserve">AUO </w:t>
      </w:r>
      <w:r w:rsidRPr="006F495A">
        <w:rPr>
          <w:sz w:val="20"/>
          <w:szCs w:val="20"/>
        </w:rPr>
        <w:t xml:space="preserve">sampled points </w:t>
      </w:r>
      <w:r w:rsidR="00FF536B">
        <w:rPr>
          <w:sz w:val="20"/>
          <w:szCs w:val="20"/>
        </w:rPr>
        <w:t>can</w:t>
      </w:r>
      <w:r w:rsidRPr="006F495A">
        <w:rPr>
          <w:sz w:val="20"/>
          <w:szCs w:val="20"/>
        </w:rPr>
        <w:t xml:space="preserve"> be used to generate the aggregate measure at the mesh block (MB) level</w:t>
      </w:r>
      <w:r w:rsidR="00C260DF">
        <w:rPr>
          <w:sz w:val="20"/>
          <w:szCs w:val="20"/>
        </w:rPr>
        <w:t xml:space="preserve">, that </w:t>
      </w:r>
      <w:r w:rsidR="00CE653E">
        <w:rPr>
          <w:sz w:val="20"/>
          <w:szCs w:val="20"/>
        </w:rPr>
        <w:t>can support t</w:t>
      </w:r>
      <w:r w:rsidR="009833CB" w:rsidRPr="006F495A">
        <w:rPr>
          <w:sz w:val="20"/>
          <w:szCs w:val="20"/>
        </w:rPr>
        <w:t xml:space="preserve">he FILTER platform </w:t>
      </w:r>
      <w:r w:rsidR="00C14148" w:rsidRPr="006F495A">
        <w:rPr>
          <w:sz w:val="20"/>
          <w:szCs w:val="20"/>
        </w:rPr>
        <w:t xml:space="preserve">visualise </w:t>
      </w:r>
      <w:r w:rsidR="009856B6" w:rsidRPr="006F495A">
        <w:rPr>
          <w:sz w:val="20"/>
          <w:szCs w:val="20"/>
        </w:rPr>
        <w:t xml:space="preserve">the internal variation within </w:t>
      </w:r>
      <w:r w:rsidR="009F0583">
        <w:rPr>
          <w:sz w:val="20"/>
          <w:szCs w:val="20"/>
        </w:rPr>
        <w:t>a</w:t>
      </w:r>
      <w:r w:rsidR="009856B6" w:rsidRPr="006F495A">
        <w:rPr>
          <w:sz w:val="20"/>
          <w:szCs w:val="20"/>
        </w:rPr>
        <w:t xml:space="preserve"> SA1</w:t>
      </w:r>
      <w:r w:rsidR="00C14148" w:rsidRPr="006F495A">
        <w:rPr>
          <w:sz w:val="20"/>
          <w:szCs w:val="20"/>
        </w:rPr>
        <w:t>.</w:t>
      </w:r>
    </w:p>
    <w:p w14:paraId="5966C3B9" w14:textId="6A3E3846" w:rsidR="0051062D" w:rsidRDefault="0051062D" w:rsidP="008818DD">
      <w:pPr>
        <w:rPr>
          <w:sz w:val="20"/>
          <w:szCs w:val="20"/>
        </w:rPr>
      </w:pPr>
      <w:r w:rsidRPr="006F495A">
        <w:rPr>
          <w:sz w:val="20"/>
          <w:szCs w:val="20"/>
        </w:rPr>
        <w:t xml:space="preserve"># </w:t>
      </w:r>
      <w:r w:rsidR="00532FAF" w:rsidRPr="006F495A">
        <w:rPr>
          <w:sz w:val="20"/>
          <w:szCs w:val="20"/>
        </w:rPr>
        <w:t>Indicator d</w:t>
      </w:r>
      <w:r w:rsidR="00E62708" w:rsidRPr="006F495A">
        <w:rPr>
          <w:sz w:val="20"/>
          <w:szCs w:val="20"/>
        </w:rPr>
        <w:t xml:space="preserve">ata are </w:t>
      </w:r>
      <w:r w:rsidR="00532FAF" w:rsidRPr="006F495A">
        <w:rPr>
          <w:sz w:val="20"/>
          <w:szCs w:val="20"/>
        </w:rPr>
        <w:t xml:space="preserve">also </w:t>
      </w:r>
      <w:r w:rsidR="00E62708" w:rsidRPr="006F495A">
        <w:rPr>
          <w:sz w:val="20"/>
          <w:szCs w:val="20"/>
        </w:rPr>
        <w:t>requested for the b</w:t>
      </w:r>
      <w:r w:rsidRPr="006F495A">
        <w:rPr>
          <w:sz w:val="20"/>
          <w:szCs w:val="20"/>
        </w:rPr>
        <w:t xml:space="preserve">enchmark </w:t>
      </w:r>
      <w:r w:rsidR="00E62708" w:rsidRPr="006F495A">
        <w:rPr>
          <w:sz w:val="20"/>
          <w:szCs w:val="20"/>
        </w:rPr>
        <w:t>area, from which the</w:t>
      </w:r>
      <w:r w:rsidR="000336F8" w:rsidRPr="006F495A">
        <w:rPr>
          <w:sz w:val="20"/>
          <w:szCs w:val="20"/>
        </w:rPr>
        <w:t xml:space="preserve"> data for the</w:t>
      </w:r>
      <w:r w:rsidR="00E62708" w:rsidRPr="006F495A">
        <w:rPr>
          <w:sz w:val="20"/>
          <w:szCs w:val="20"/>
        </w:rPr>
        <w:t xml:space="preserve"> </w:t>
      </w:r>
      <w:r w:rsidR="00DB18A8">
        <w:rPr>
          <w:sz w:val="20"/>
          <w:szCs w:val="20"/>
        </w:rPr>
        <w:t xml:space="preserve">FB </w:t>
      </w:r>
      <w:r w:rsidR="007C65C7" w:rsidRPr="006F495A">
        <w:rPr>
          <w:sz w:val="20"/>
          <w:szCs w:val="20"/>
        </w:rPr>
        <w:t>precinct area (area of interest) will be compared against</w:t>
      </w:r>
      <w:r w:rsidR="00532FAF" w:rsidRPr="006F495A">
        <w:rPr>
          <w:sz w:val="20"/>
          <w:szCs w:val="20"/>
        </w:rPr>
        <w:t xml:space="preserve"> in the FILTER platform.</w:t>
      </w:r>
      <w:r w:rsidRPr="006F495A">
        <w:rPr>
          <w:sz w:val="20"/>
          <w:szCs w:val="20"/>
        </w:rPr>
        <w:t xml:space="preserve"> </w:t>
      </w:r>
      <w:r w:rsidR="00A172EC">
        <w:rPr>
          <w:sz w:val="20"/>
          <w:szCs w:val="20"/>
        </w:rPr>
        <w:t xml:space="preserve">The benchmark </w:t>
      </w:r>
      <w:r w:rsidR="0014707F">
        <w:rPr>
          <w:sz w:val="20"/>
          <w:szCs w:val="20"/>
        </w:rPr>
        <w:t xml:space="preserve">area </w:t>
      </w:r>
      <w:r w:rsidR="00A172EC">
        <w:rPr>
          <w:sz w:val="20"/>
          <w:szCs w:val="20"/>
        </w:rPr>
        <w:t>can be</w:t>
      </w:r>
      <w:r w:rsidR="00BA19B5">
        <w:rPr>
          <w:sz w:val="20"/>
          <w:szCs w:val="20"/>
        </w:rPr>
        <w:t xml:space="preserve"> </w:t>
      </w:r>
      <w:r w:rsidR="00E87242">
        <w:rPr>
          <w:sz w:val="20"/>
          <w:szCs w:val="20"/>
        </w:rPr>
        <w:t xml:space="preserve">the whole </w:t>
      </w:r>
      <w:r w:rsidR="00BA19B5">
        <w:rPr>
          <w:sz w:val="20"/>
          <w:szCs w:val="20"/>
        </w:rPr>
        <w:t xml:space="preserve">Melbourne </w:t>
      </w:r>
      <w:r w:rsidR="00E87242">
        <w:rPr>
          <w:sz w:val="20"/>
          <w:szCs w:val="20"/>
        </w:rPr>
        <w:t xml:space="preserve">metro area </w:t>
      </w:r>
      <w:r w:rsidR="00BA19B5">
        <w:rPr>
          <w:sz w:val="20"/>
          <w:szCs w:val="20"/>
        </w:rPr>
        <w:t>or</w:t>
      </w:r>
      <w:r w:rsidR="00A172EC">
        <w:rPr>
          <w:sz w:val="20"/>
          <w:szCs w:val="20"/>
        </w:rPr>
        <w:t xml:space="preserve"> other </w:t>
      </w:r>
      <w:r w:rsidR="00D82E36">
        <w:rPr>
          <w:sz w:val="20"/>
          <w:szCs w:val="20"/>
        </w:rPr>
        <w:t xml:space="preserve">similar </w:t>
      </w:r>
      <w:r w:rsidR="00A172EC">
        <w:rPr>
          <w:sz w:val="20"/>
          <w:szCs w:val="20"/>
        </w:rPr>
        <w:t>precinct areas (</w:t>
      </w:r>
      <w:r w:rsidR="00D82E36">
        <w:rPr>
          <w:sz w:val="20"/>
          <w:szCs w:val="20"/>
        </w:rPr>
        <w:t>e.g. employment/</w:t>
      </w:r>
      <w:r w:rsidR="00A172EC">
        <w:rPr>
          <w:sz w:val="20"/>
          <w:szCs w:val="20"/>
        </w:rPr>
        <w:t>activity centres</w:t>
      </w:r>
      <w:r w:rsidR="00D82E36">
        <w:rPr>
          <w:sz w:val="20"/>
          <w:szCs w:val="20"/>
        </w:rPr>
        <w:t>)</w:t>
      </w:r>
      <w:r w:rsidR="00A172EC">
        <w:rPr>
          <w:sz w:val="20"/>
          <w:szCs w:val="20"/>
        </w:rPr>
        <w:t xml:space="preserve"> in Melbourne</w:t>
      </w:r>
      <w:r w:rsidR="0014707F">
        <w:rPr>
          <w:sz w:val="20"/>
          <w:szCs w:val="20"/>
        </w:rPr>
        <w:t xml:space="preserve">. The </w:t>
      </w:r>
      <w:r w:rsidR="00662DD1">
        <w:rPr>
          <w:sz w:val="20"/>
          <w:szCs w:val="20"/>
        </w:rPr>
        <w:t>benchmark</w:t>
      </w:r>
      <w:r w:rsidR="00BA19B5">
        <w:rPr>
          <w:sz w:val="20"/>
          <w:szCs w:val="20"/>
        </w:rPr>
        <w:t xml:space="preserve"> area will be provided </w:t>
      </w:r>
      <w:r w:rsidR="00841FD7">
        <w:rPr>
          <w:sz w:val="20"/>
          <w:szCs w:val="20"/>
        </w:rPr>
        <w:t>once the data request idea is agreed.</w:t>
      </w:r>
    </w:p>
    <w:p w14:paraId="654AAB90" w14:textId="042C7BFE" w:rsidR="00A70760" w:rsidRPr="006F495A" w:rsidRDefault="00522424" w:rsidP="008818DD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="001B376F">
        <w:rPr>
          <w:sz w:val="20"/>
          <w:szCs w:val="20"/>
        </w:rPr>
        <w:t>f</w:t>
      </w:r>
      <w:r>
        <w:rPr>
          <w:sz w:val="20"/>
          <w:szCs w:val="20"/>
        </w:rPr>
        <w:t xml:space="preserve"> the p</w:t>
      </w:r>
      <w:r w:rsidR="008633CD">
        <w:rPr>
          <w:sz w:val="20"/>
          <w:szCs w:val="20"/>
        </w:rPr>
        <w:t xml:space="preserve">ercentage of dwellings </w:t>
      </w:r>
      <w:r>
        <w:rPr>
          <w:sz w:val="20"/>
          <w:szCs w:val="20"/>
        </w:rPr>
        <w:t>is not available, the indicator</w:t>
      </w:r>
      <w:r w:rsidR="009C6E8A">
        <w:rPr>
          <w:sz w:val="20"/>
          <w:szCs w:val="20"/>
        </w:rPr>
        <w:t xml:space="preserve"> for that area </w:t>
      </w:r>
      <w:r w:rsidR="008633CD">
        <w:rPr>
          <w:sz w:val="20"/>
          <w:szCs w:val="20"/>
        </w:rPr>
        <w:t xml:space="preserve">can be </w:t>
      </w:r>
      <w:r>
        <w:rPr>
          <w:sz w:val="20"/>
          <w:szCs w:val="20"/>
        </w:rPr>
        <w:t>alternatively</w:t>
      </w:r>
      <w:r w:rsidR="008633CD">
        <w:rPr>
          <w:sz w:val="20"/>
          <w:szCs w:val="20"/>
        </w:rPr>
        <w:t xml:space="preserve"> measured by </w:t>
      </w:r>
      <w:r w:rsidR="001B376F">
        <w:rPr>
          <w:sz w:val="20"/>
          <w:szCs w:val="20"/>
        </w:rPr>
        <w:t xml:space="preserve">the </w:t>
      </w:r>
      <w:r w:rsidR="008633CD">
        <w:rPr>
          <w:sz w:val="20"/>
          <w:szCs w:val="20"/>
        </w:rPr>
        <w:t>average distance from dwellings to a destination type</w:t>
      </w:r>
      <w:r w:rsidR="00283E05">
        <w:rPr>
          <w:sz w:val="20"/>
          <w:szCs w:val="20"/>
        </w:rPr>
        <w:t>.</w:t>
      </w:r>
    </w:p>
    <w:p w14:paraId="1B0D7422" w14:textId="4D087C6B" w:rsidR="00FE0EDB" w:rsidRPr="006F495A" w:rsidRDefault="00FE0EDB" w:rsidP="008818DD">
      <w:pPr>
        <w:rPr>
          <w:sz w:val="20"/>
          <w:szCs w:val="20"/>
        </w:rPr>
      </w:pPr>
      <w:r w:rsidRPr="006F495A">
        <w:rPr>
          <w:sz w:val="20"/>
          <w:szCs w:val="20"/>
        </w:rPr>
        <w:t>FB</w:t>
      </w:r>
      <w:r w:rsidR="00702EAA" w:rsidRPr="006F495A">
        <w:rPr>
          <w:sz w:val="20"/>
          <w:szCs w:val="20"/>
        </w:rPr>
        <w:t xml:space="preserve"> </w:t>
      </w:r>
      <w:r w:rsidRPr="006F495A">
        <w:rPr>
          <w:sz w:val="20"/>
          <w:szCs w:val="20"/>
        </w:rPr>
        <w:t xml:space="preserve">- </w:t>
      </w:r>
      <w:proofErr w:type="spellStart"/>
      <w:r w:rsidR="00702EAA" w:rsidRPr="006F495A">
        <w:rPr>
          <w:sz w:val="20"/>
          <w:szCs w:val="20"/>
        </w:rPr>
        <w:t>Fishermans</w:t>
      </w:r>
      <w:proofErr w:type="spellEnd"/>
      <w:r w:rsidRPr="006F495A">
        <w:rPr>
          <w:sz w:val="20"/>
          <w:szCs w:val="20"/>
        </w:rPr>
        <w:t xml:space="preserve"> Bend</w:t>
      </w:r>
    </w:p>
    <w:p w14:paraId="5DC05414" w14:textId="77777777" w:rsidR="00C73695" w:rsidRDefault="00C73695" w:rsidP="008818DD">
      <w:pPr>
        <w:rPr>
          <w:sz w:val="22"/>
          <w:szCs w:val="22"/>
        </w:rPr>
      </w:pPr>
    </w:p>
    <w:p w14:paraId="3519CF9A" w14:textId="3ED1DD86" w:rsidR="00C73695" w:rsidRPr="006E1A0A" w:rsidRDefault="00E212CC" w:rsidP="00C73695">
      <w:pPr>
        <w:spacing w:after="0"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Table 2: </w:t>
      </w:r>
      <w:r w:rsidR="00C73695" w:rsidRPr="006F495A">
        <w:rPr>
          <w:sz w:val="22"/>
          <w:szCs w:val="22"/>
        </w:rPr>
        <w:t xml:space="preserve">AUO distance </w:t>
      </w:r>
      <w:r w:rsidR="006E1A0A" w:rsidRPr="006F495A">
        <w:rPr>
          <w:sz w:val="22"/>
          <w:szCs w:val="22"/>
        </w:rPr>
        <w:t>thresholds</w:t>
      </w:r>
    </w:p>
    <w:p w14:paraId="2FACCAEB" w14:textId="77777777" w:rsidR="006E1A0A" w:rsidRPr="00C73695" w:rsidRDefault="006E1A0A" w:rsidP="00C73695">
      <w:pPr>
        <w:spacing w:after="0" w:line="240" w:lineRule="auto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56"/>
        <w:gridCol w:w="4252"/>
        <w:gridCol w:w="1842"/>
      </w:tblGrid>
      <w:tr w:rsidR="00C73695" w:rsidRPr="00C73695" w14:paraId="5A749EA4" w14:textId="77777777" w:rsidTr="006E1A0A">
        <w:tc>
          <w:tcPr>
            <w:tcW w:w="3256" w:type="dxa"/>
            <w:hideMark/>
          </w:tcPr>
          <w:p w14:paraId="3A3E11A6" w14:textId="10DB94C2" w:rsidR="00C73695" w:rsidRPr="00C73695" w:rsidRDefault="00087F33" w:rsidP="00671807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14:ligatures w14:val="none"/>
              </w:rPr>
              <w:t>Destination domain</w:t>
            </w:r>
          </w:p>
        </w:tc>
        <w:tc>
          <w:tcPr>
            <w:tcW w:w="4252" w:type="dxa"/>
            <w:hideMark/>
          </w:tcPr>
          <w:p w14:paraId="7A37EAD0" w14:textId="77777777" w:rsidR="00C73695" w:rsidRPr="00C73695" w:rsidRDefault="00C73695" w:rsidP="00671807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14:ligatures w14:val="none"/>
              </w:rPr>
              <w:t>Destination</w:t>
            </w:r>
          </w:p>
        </w:tc>
        <w:tc>
          <w:tcPr>
            <w:tcW w:w="1842" w:type="dxa"/>
            <w:hideMark/>
          </w:tcPr>
          <w:p w14:paraId="4E3821C7" w14:textId="77777777" w:rsidR="00C73695" w:rsidRPr="00C73695" w:rsidRDefault="00C73695" w:rsidP="00671807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b/>
                <w:bCs/>
                <w:kern w:val="0"/>
                <w:sz w:val="20"/>
                <w:szCs w:val="20"/>
                <w14:ligatures w14:val="none"/>
              </w:rPr>
              <w:t>Distance Threshold (m)</w:t>
            </w:r>
          </w:p>
        </w:tc>
      </w:tr>
      <w:tr w:rsidR="00C73695" w:rsidRPr="00C73695" w14:paraId="2EE949CC" w14:textId="77777777" w:rsidTr="006E1A0A">
        <w:tc>
          <w:tcPr>
            <w:tcW w:w="3256" w:type="dxa"/>
            <w:hideMark/>
          </w:tcPr>
          <w:p w14:paraId="46F6E121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Community Centres</w:t>
            </w:r>
          </w:p>
        </w:tc>
        <w:tc>
          <w:tcPr>
            <w:tcW w:w="4252" w:type="dxa"/>
            <w:hideMark/>
          </w:tcPr>
          <w:p w14:paraId="082789E1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Community centres</w:t>
            </w:r>
          </w:p>
        </w:tc>
        <w:tc>
          <w:tcPr>
            <w:tcW w:w="1842" w:type="dxa"/>
            <w:hideMark/>
          </w:tcPr>
          <w:p w14:paraId="6FE13CE0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5B6E7763" w14:textId="77777777" w:rsidTr="006E1A0A">
        <w:tc>
          <w:tcPr>
            <w:tcW w:w="3256" w:type="dxa"/>
            <w:hideMark/>
          </w:tcPr>
          <w:p w14:paraId="46C0EAA8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Culture &amp; Leisure</w:t>
            </w:r>
          </w:p>
        </w:tc>
        <w:tc>
          <w:tcPr>
            <w:tcW w:w="4252" w:type="dxa"/>
            <w:hideMark/>
          </w:tcPr>
          <w:p w14:paraId="71F6F6CF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Museum/Art gallery</w:t>
            </w:r>
          </w:p>
        </w:tc>
        <w:tc>
          <w:tcPr>
            <w:tcW w:w="1842" w:type="dxa"/>
            <w:hideMark/>
          </w:tcPr>
          <w:p w14:paraId="2A6763DA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3200</w:t>
            </w:r>
          </w:p>
        </w:tc>
      </w:tr>
      <w:tr w:rsidR="00C73695" w:rsidRPr="00C73695" w14:paraId="7C1B082A" w14:textId="77777777" w:rsidTr="006E1A0A">
        <w:tc>
          <w:tcPr>
            <w:tcW w:w="3256" w:type="dxa"/>
            <w:hideMark/>
          </w:tcPr>
          <w:p w14:paraId="37E6FEF6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33CFEFB8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Cinema/Theatre</w:t>
            </w:r>
          </w:p>
        </w:tc>
        <w:tc>
          <w:tcPr>
            <w:tcW w:w="1842" w:type="dxa"/>
            <w:hideMark/>
          </w:tcPr>
          <w:p w14:paraId="4B2C4334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3200</w:t>
            </w:r>
          </w:p>
        </w:tc>
      </w:tr>
      <w:tr w:rsidR="00C73695" w:rsidRPr="00C73695" w14:paraId="76CFB69E" w14:textId="77777777" w:rsidTr="006E1A0A">
        <w:tc>
          <w:tcPr>
            <w:tcW w:w="3256" w:type="dxa"/>
            <w:hideMark/>
          </w:tcPr>
          <w:p w14:paraId="34153123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2C0AEB8D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Libraries</w:t>
            </w:r>
          </w:p>
        </w:tc>
        <w:tc>
          <w:tcPr>
            <w:tcW w:w="1842" w:type="dxa"/>
            <w:hideMark/>
          </w:tcPr>
          <w:p w14:paraId="39FB3FEA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34A8DF78" w14:textId="77777777" w:rsidTr="006E1A0A">
        <w:tc>
          <w:tcPr>
            <w:tcW w:w="3256" w:type="dxa"/>
            <w:hideMark/>
          </w:tcPr>
          <w:p w14:paraId="199DB799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Early Years</w:t>
            </w:r>
          </w:p>
        </w:tc>
        <w:tc>
          <w:tcPr>
            <w:tcW w:w="4252" w:type="dxa"/>
            <w:hideMark/>
          </w:tcPr>
          <w:p w14:paraId="52992725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Childcare</w:t>
            </w:r>
          </w:p>
        </w:tc>
        <w:tc>
          <w:tcPr>
            <w:tcW w:w="1842" w:type="dxa"/>
            <w:hideMark/>
          </w:tcPr>
          <w:p w14:paraId="587FA9FB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800</w:t>
            </w:r>
          </w:p>
        </w:tc>
      </w:tr>
      <w:tr w:rsidR="00C73695" w:rsidRPr="00C73695" w14:paraId="535D0CB8" w14:textId="77777777" w:rsidTr="006E1A0A">
        <w:tc>
          <w:tcPr>
            <w:tcW w:w="3256" w:type="dxa"/>
            <w:hideMark/>
          </w:tcPr>
          <w:p w14:paraId="4D91DDE7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6FFAC28D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Out of school hours care</w:t>
            </w:r>
          </w:p>
        </w:tc>
        <w:tc>
          <w:tcPr>
            <w:tcW w:w="1842" w:type="dxa"/>
            <w:hideMark/>
          </w:tcPr>
          <w:p w14:paraId="0206A10C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1600</w:t>
            </w:r>
          </w:p>
        </w:tc>
      </w:tr>
      <w:tr w:rsidR="00C73695" w:rsidRPr="00C73695" w14:paraId="6A5C2A11" w14:textId="77777777" w:rsidTr="006E1A0A">
        <w:tc>
          <w:tcPr>
            <w:tcW w:w="3256" w:type="dxa"/>
            <w:hideMark/>
          </w:tcPr>
          <w:p w14:paraId="33BDD400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4252" w:type="dxa"/>
            <w:hideMark/>
          </w:tcPr>
          <w:p w14:paraId="147AD6B9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Government primary schools</w:t>
            </w:r>
          </w:p>
        </w:tc>
        <w:tc>
          <w:tcPr>
            <w:tcW w:w="1842" w:type="dxa"/>
            <w:hideMark/>
          </w:tcPr>
          <w:p w14:paraId="478C3F10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1600</w:t>
            </w:r>
          </w:p>
        </w:tc>
      </w:tr>
      <w:tr w:rsidR="00C73695" w:rsidRPr="00C73695" w14:paraId="68111391" w14:textId="77777777" w:rsidTr="006E1A0A">
        <w:tc>
          <w:tcPr>
            <w:tcW w:w="3256" w:type="dxa"/>
            <w:hideMark/>
          </w:tcPr>
          <w:p w14:paraId="6CC6C589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2095002C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Government secondary schools</w:t>
            </w:r>
          </w:p>
        </w:tc>
        <w:tc>
          <w:tcPr>
            <w:tcW w:w="1842" w:type="dxa"/>
            <w:hideMark/>
          </w:tcPr>
          <w:p w14:paraId="0F3464F0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1600</w:t>
            </w:r>
          </w:p>
        </w:tc>
      </w:tr>
      <w:tr w:rsidR="00C73695" w:rsidRPr="00C73695" w14:paraId="40355570" w14:textId="77777777" w:rsidTr="006E1A0A">
        <w:tc>
          <w:tcPr>
            <w:tcW w:w="3256" w:type="dxa"/>
            <w:hideMark/>
          </w:tcPr>
          <w:p w14:paraId="72288D58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Health and Social Services</w:t>
            </w:r>
          </w:p>
        </w:tc>
        <w:tc>
          <w:tcPr>
            <w:tcW w:w="4252" w:type="dxa"/>
            <w:hideMark/>
          </w:tcPr>
          <w:p w14:paraId="18C369D9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Residential aged care facilities</w:t>
            </w:r>
          </w:p>
        </w:tc>
        <w:tc>
          <w:tcPr>
            <w:tcW w:w="1842" w:type="dxa"/>
            <w:hideMark/>
          </w:tcPr>
          <w:p w14:paraId="1BC06D7F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63F2CEEE" w14:textId="77777777" w:rsidTr="006E1A0A">
        <w:tc>
          <w:tcPr>
            <w:tcW w:w="3256" w:type="dxa"/>
            <w:hideMark/>
          </w:tcPr>
          <w:p w14:paraId="591B7B49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0E5571F2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Dentists</w:t>
            </w:r>
          </w:p>
        </w:tc>
        <w:tc>
          <w:tcPr>
            <w:tcW w:w="1842" w:type="dxa"/>
            <w:hideMark/>
          </w:tcPr>
          <w:p w14:paraId="7F00FCE5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4F2AB316" w14:textId="77777777" w:rsidTr="006E1A0A">
        <w:tc>
          <w:tcPr>
            <w:tcW w:w="3256" w:type="dxa"/>
            <w:hideMark/>
          </w:tcPr>
          <w:p w14:paraId="74F97678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2142DD05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General practitioners (GP)</w:t>
            </w:r>
          </w:p>
        </w:tc>
        <w:tc>
          <w:tcPr>
            <w:tcW w:w="1842" w:type="dxa"/>
            <w:hideMark/>
          </w:tcPr>
          <w:p w14:paraId="1D25D35F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3094D9A0" w14:textId="77777777" w:rsidTr="006E1A0A">
        <w:tc>
          <w:tcPr>
            <w:tcW w:w="3256" w:type="dxa"/>
            <w:hideMark/>
          </w:tcPr>
          <w:p w14:paraId="34252916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10A5FF85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 xml:space="preserve">Maternal, child and family health </w:t>
            </w:r>
            <w:proofErr w:type="spellStart"/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centers</w:t>
            </w:r>
            <w:proofErr w:type="spellEnd"/>
          </w:p>
        </w:tc>
        <w:tc>
          <w:tcPr>
            <w:tcW w:w="1842" w:type="dxa"/>
            <w:hideMark/>
          </w:tcPr>
          <w:p w14:paraId="4B485294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7842CFB8" w14:textId="77777777" w:rsidTr="006E1A0A">
        <w:tc>
          <w:tcPr>
            <w:tcW w:w="3256" w:type="dxa"/>
            <w:hideMark/>
          </w:tcPr>
          <w:p w14:paraId="596D8B24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5A7FD0DF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 xml:space="preserve">Other community health care </w:t>
            </w:r>
            <w:proofErr w:type="spellStart"/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centers</w:t>
            </w:r>
            <w:proofErr w:type="spellEnd"/>
          </w:p>
        </w:tc>
        <w:tc>
          <w:tcPr>
            <w:tcW w:w="1842" w:type="dxa"/>
            <w:hideMark/>
          </w:tcPr>
          <w:p w14:paraId="747CF152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54137591" w14:textId="77777777" w:rsidTr="006E1A0A">
        <w:tc>
          <w:tcPr>
            <w:tcW w:w="3256" w:type="dxa"/>
            <w:hideMark/>
          </w:tcPr>
          <w:p w14:paraId="3627CCA4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2FE280BA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Pharmacies</w:t>
            </w:r>
          </w:p>
        </w:tc>
        <w:tc>
          <w:tcPr>
            <w:tcW w:w="1842" w:type="dxa"/>
            <w:hideMark/>
          </w:tcPr>
          <w:p w14:paraId="1F712E8C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  <w:tr w:rsidR="00C73695" w:rsidRPr="00C73695" w14:paraId="4BC951C7" w14:textId="77777777" w:rsidTr="006E1A0A">
        <w:tc>
          <w:tcPr>
            <w:tcW w:w="3256" w:type="dxa"/>
            <w:hideMark/>
          </w:tcPr>
          <w:p w14:paraId="09922B2C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Sport and Recreation</w:t>
            </w:r>
          </w:p>
        </w:tc>
        <w:tc>
          <w:tcPr>
            <w:tcW w:w="4252" w:type="dxa"/>
            <w:hideMark/>
          </w:tcPr>
          <w:p w14:paraId="478EF540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Public swimming pools</w:t>
            </w:r>
          </w:p>
        </w:tc>
        <w:tc>
          <w:tcPr>
            <w:tcW w:w="1842" w:type="dxa"/>
            <w:hideMark/>
          </w:tcPr>
          <w:p w14:paraId="52636FEA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1200</w:t>
            </w:r>
          </w:p>
        </w:tc>
      </w:tr>
      <w:tr w:rsidR="00C73695" w:rsidRPr="00C73695" w14:paraId="5A41E402" w14:textId="77777777" w:rsidTr="006E1A0A">
        <w:tc>
          <w:tcPr>
            <w:tcW w:w="3256" w:type="dxa"/>
            <w:hideMark/>
          </w:tcPr>
          <w:p w14:paraId="05531D1B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52" w:type="dxa"/>
            <w:hideMark/>
          </w:tcPr>
          <w:p w14:paraId="6090582B" w14:textId="77777777" w:rsidR="00C73695" w:rsidRPr="00C73695" w:rsidRDefault="00C73695" w:rsidP="00C73695">
            <w:pPr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Sports facilities</w:t>
            </w:r>
          </w:p>
        </w:tc>
        <w:tc>
          <w:tcPr>
            <w:tcW w:w="1842" w:type="dxa"/>
            <w:hideMark/>
          </w:tcPr>
          <w:p w14:paraId="1C934EC7" w14:textId="77777777" w:rsidR="00C73695" w:rsidRPr="00C73695" w:rsidRDefault="00C73695" w:rsidP="00C73695">
            <w:pPr>
              <w:jc w:val="center"/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</w:pPr>
            <w:r w:rsidRPr="00C73695">
              <w:rPr>
                <w:rFonts w:ascii="Poppins" w:eastAsia="Times New Roman" w:hAnsi="Poppins" w:cs="Poppins"/>
                <w:kern w:val="0"/>
                <w:sz w:val="20"/>
                <w:szCs w:val="20"/>
                <w14:ligatures w14:val="none"/>
              </w:rPr>
              <w:t>1000</w:t>
            </w:r>
          </w:p>
        </w:tc>
      </w:tr>
    </w:tbl>
    <w:p w14:paraId="1050C382" w14:textId="77777777" w:rsidR="00C73695" w:rsidRPr="008818DD" w:rsidRDefault="00C73695" w:rsidP="008818DD">
      <w:pPr>
        <w:rPr>
          <w:b/>
          <w:bCs/>
          <w:sz w:val="22"/>
          <w:szCs w:val="22"/>
        </w:rPr>
      </w:pPr>
    </w:p>
    <w:sectPr w:rsidR="00C73695" w:rsidRPr="0088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74E93"/>
    <w:multiLevelType w:val="hybridMultilevel"/>
    <w:tmpl w:val="BE3EF610"/>
    <w:lvl w:ilvl="0" w:tplc="9D2E7DBA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3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CC"/>
    <w:rsid w:val="000336F8"/>
    <w:rsid w:val="00087F33"/>
    <w:rsid w:val="000E637A"/>
    <w:rsid w:val="000F28CD"/>
    <w:rsid w:val="00122987"/>
    <w:rsid w:val="0014707F"/>
    <w:rsid w:val="00162317"/>
    <w:rsid w:val="0017662E"/>
    <w:rsid w:val="001A4EEA"/>
    <w:rsid w:val="001B376F"/>
    <w:rsid w:val="00283E05"/>
    <w:rsid w:val="00293399"/>
    <w:rsid w:val="002D32F6"/>
    <w:rsid w:val="00305FC3"/>
    <w:rsid w:val="00315882"/>
    <w:rsid w:val="00354E71"/>
    <w:rsid w:val="00370F00"/>
    <w:rsid w:val="0037430D"/>
    <w:rsid w:val="00382C02"/>
    <w:rsid w:val="003957B9"/>
    <w:rsid w:val="004010D8"/>
    <w:rsid w:val="0043404F"/>
    <w:rsid w:val="004649B0"/>
    <w:rsid w:val="004D257E"/>
    <w:rsid w:val="004E7BC5"/>
    <w:rsid w:val="0051062D"/>
    <w:rsid w:val="00522424"/>
    <w:rsid w:val="00532FAF"/>
    <w:rsid w:val="00543500"/>
    <w:rsid w:val="00544407"/>
    <w:rsid w:val="00624B7F"/>
    <w:rsid w:val="006562B3"/>
    <w:rsid w:val="00662DD1"/>
    <w:rsid w:val="00671807"/>
    <w:rsid w:val="006927CF"/>
    <w:rsid w:val="00694E75"/>
    <w:rsid w:val="006E1A0A"/>
    <w:rsid w:val="006F495A"/>
    <w:rsid w:val="00702EAA"/>
    <w:rsid w:val="00724BC9"/>
    <w:rsid w:val="0074231C"/>
    <w:rsid w:val="0075441D"/>
    <w:rsid w:val="00763E5C"/>
    <w:rsid w:val="0077761E"/>
    <w:rsid w:val="007C65C7"/>
    <w:rsid w:val="00841FD7"/>
    <w:rsid w:val="00860364"/>
    <w:rsid w:val="008633CD"/>
    <w:rsid w:val="00865C31"/>
    <w:rsid w:val="008818DD"/>
    <w:rsid w:val="008A387C"/>
    <w:rsid w:val="008E6F26"/>
    <w:rsid w:val="00902D4F"/>
    <w:rsid w:val="009833CB"/>
    <w:rsid w:val="009856B6"/>
    <w:rsid w:val="0098682B"/>
    <w:rsid w:val="009C6E8A"/>
    <w:rsid w:val="009F0583"/>
    <w:rsid w:val="00A172EC"/>
    <w:rsid w:val="00A408C9"/>
    <w:rsid w:val="00A70760"/>
    <w:rsid w:val="00AA73CC"/>
    <w:rsid w:val="00AD5340"/>
    <w:rsid w:val="00B17BF1"/>
    <w:rsid w:val="00B4464A"/>
    <w:rsid w:val="00B45CF3"/>
    <w:rsid w:val="00B60FAF"/>
    <w:rsid w:val="00BA19B5"/>
    <w:rsid w:val="00BB3BA4"/>
    <w:rsid w:val="00C0658E"/>
    <w:rsid w:val="00C14148"/>
    <w:rsid w:val="00C260DF"/>
    <w:rsid w:val="00C36F69"/>
    <w:rsid w:val="00C73695"/>
    <w:rsid w:val="00CE653E"/>
    <w:rsid w:val="00D366DE"/>
    <w:rsid w:val="00D82E36"/>
    <w:rsid w:val="00D833BC"/>
    <w:rsid w:val="00DB18A8"/>
    <w:rsid w:val="00DD0095"/>
    <w:rsid w:val="00DD1298"/>
    <w:rsid w:val="00DF1696"/>
    <w:rsid w:val="00E1691E"/>
    <w:rsid w:val="00E212CC"/>
    <w:rsid w:val="00E26318"/>
    <w:rsid w:val="00E62708"/>
    <w:rsid w:val="00E64379"/>
    <w:rsid w:val="00E8419D"/>
    <w:rsid w:val="00E87242"/>
    <w:rsid w:val="00EA6E43"/>
    <w:rsid w:val="00EB3FE8"/>
    <w:rsid w:val="00F12F1B"/>
    <w:rsid w:val="00F2483F"/>
    <w:rsid w:val="00F36497"/>
    <w:rsid w:val="00F7780C"/>
    <w:rsid w:val="00FD486D"/>
    <w:rsid w:val="00FE0EDB"/>
    <w:rsid w:val="00FF536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B3F"/>
  <w15:chartTrackingRefBased/>
  <w15:docId w15:val="{E15B345C-B3B1-40A3-84FE-24AB2A8A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3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92</cp:revision>
  <dcterms:created xsi:type="dcterms:W3CDTF">2025-08-05T03:57:00Z</dcterms:created>
  <dcterms:modified xsi:type="dcterms:W3CDTF">2025-08-05T05:52:00Z</dcterms:modified>
</cp:coreProperties>
</file>