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F3733" w14:textId="712E8D0F" w:rsidR="00732C37" w:rsidRDefault="00092F62" w:rsidP="00732C37">
      <w:pPr>
        <w:pStyle w:val="Heading2"/>
        <w:ind w:left="-851"/>
      </w:pPr>
      <w:r>
        <w:t>Selected FILTER indicators</w:t>
      </w:r>
      <w:r w:rsidR="00065D93">
        <w:t xml:space="preserve"> </w:t>
      </w:r>
      <w:r>
        <w:t xml:space="preserve">to be used by FILTER demonstrator </w:t>
      </w:r>
      <w:r w:rsidR="00CD4AB4">
        <w:t xml:space="preserve">(indicators </w:t>
      </w:r>
      <w:r w:rsidR="00CD4AB4" w:rsidRPr="008127DA">
        <w:rPr>
          <w:highlight w:val="yellow"/>
        </w:rPr>
        <w:t>highlighted in yellow</w:t>
      </w:r>
      <w:r w:rsidR="00CD4AB4">
        <w:t xml:space="preserve"> will be determined </w:t>
      </w:r>
      <w:r w:rsidR="00AB5425">
        <w:t>later if</w:t>
      </w:r>
      <w:r w:rsidR="008127DA">
        <w:t xml:space="preserve"> </w:t>
      </w:r>
      <w:r w:rsidR="00AB5425">
        <w:t xml:space="preserve">the </w:t>
      </w:r>
      <w:r w:rsidR="008127DA">
        <w:t xml:space="preserve">data </w:t>
      </w:r>
      <w:r w:rsidR="00AB5425">
        <w:t>are</w:t>
      </w:r>
      <w:r w:rsidR="008127DA">
        <w:t xml:space="preserve"> available</w:t>
      </w:r>
      <w:r w:rsidR="00E85DB1">
        <w:t>/suitable</w:t>
      </w:r>
      <w:r w:rsidR="008127DA">
        <w:t>)</w:t>
      </w:r>
    </w:p>
    <w:p w14:paraId="277CCA13" w14:textId="77777777" w:rsidR="00191D7A" w:rsidRDefault="00191D7A" w:rsidP="00191D7A">
      <w:pPr>
        <w:rPr>
          <w:sz w:val="22"/>
          <w:szCs w:val="22"/>
        </w:rPr>
      </w:pPr>
    </w:p>
    <w:p w14:paraId="3F6110B2" w14:textId="35BA03E9" w:rsidR="00191D7A" w:rsidRPr="00191D7A" w:rsidRDefault="00191D7A" w:rsidP="00191D7A">
      <w:pPr>
        <w:rPr>
          <w:lang w:eastAsia="zh-CN"/>
        </w:rPr>
      </w:pPr>
      <w:r w:rsidRPr="00191D7A">
        <w:t>The</w:t>
      </w:r>
      <w:r w:rsidR="00C86BCC">
        <w:t xml:space="preserve"> indicators</w:t>
      </w:r>
      <w:r w:rsidRPr="00191D7A">
        <w:t xml:space="preserve"> were selected based on</w:t>
      </w:r>
      <w:r w:rsidR="00CF5A0E">
        <w:t xml:space="preserve"> </w:t>
      </w:r>
      <w:proofErr w:type="gramStart"/>
      <w:r w:rsidR="00CF5A0E">
        <w:t>a number of</w:t>
      </w:r>
      <w:proofErr w:type="gramEnd"/>
      <w:r w:rsidR="00CF5A0E">
        <w:t xml:space="preserve"> criteria:</w:t>
      </w:r>
    </w:p>
    <w:p w14:paraId="3F75A459" w14:textId="1FC4178D" w:rsidR="006F0F9D" w:rsidRPr="00191D7A" w:rsidRDefault="006F0F9D" w:rsidP="006F0F9D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eastAsia="Times New Roman"/>
        </w:rPr>
      </w:pPr>
      <w:r w:rsidRPr="00191D7A">
        <w:rPr>
          <w:rFonts w:eastAsia="Times New Roman"/>
        </w:rPr>
        <w:t>Applicability to</w:t>
      </w:r>
      <w:r>
        <w:rPr>
          <w:rFonts w:eastAsia="Times New Roman"/>
        </w:rPr>
        <w:t xml:space="preserve"> measure </w:t>
      </w:r>
      <w:r w:rsidR="00455D4A">
        <w:rPr>
          <w:rFonts w:eastAsia="Times New Roman"/>
        </w:rPr>
        <w:t xml:space="preserve">common </w:t>
      </w:r>
      <w:r w:rsidRPr="00191D7A">
        <w:rPr>
          <w:rFonts w:eastAsia="Times New Roman"/>
        </w:rPr>
        <w:t xml:space="preserve">precinct </w:t>
      </w:r>
      <w:r w:rsidR="00CE77BB">
        <w:rPr>
          <w:rFonts w:eastAsia="Times New Roman"/>
        </w:rPr>
        <w:t>goals/</w:t>
      </w:r>
      <w:r w:rsidRPr="00191D7A">
        <w:rPr>
          <w:rFonts w:eastAsia="Times New Roman"/>
        </w:rPr>
        <w:t>objectives</w:t>
      </w:r>
    </w:p>
    <w:p w14:paraId="7EE6B9D7" w14:textId="7D518A22" w:rsidR="00191D7A" w:rsidRPr="00191D7A" w:rsidRDefault="00455D4A" w:rsidP="00191D7A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Have </w:t>
      </w:r>
      <w:r w:rsidR="0004001E">
        <w:rPr>
          <w:rFonts w:eastAsia="Times New Roman"/>
        </w:rPr>
        <w:t>the reliable</w:t>
      </w:r>
      <w:r w:rsidR="00191D7A" w:rsidRPr="00191D7A">
        <w:rPr>
          <w:rFonts w:eastAsia="Times New Roman"/>
        </w:rPr>
        <w:t xml:space="preserve"> data to compute the indicator </w:t>
      </w:r>
    </w:p>
    <w:p w14:paraId="5A021BD1" w14:textId="12AC13A6" w:rsidR="00580766" w:rsidRDefault="00191D7A" w:rsidP="00191D7A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eastAsia="Times New Roman"/>
        </w:rPr>
      </w:pPr>
      <w:r w:rsidRPr="00191D7A">
        <w:rPr>
          <w:rFonts w:eastAsia="Times New Roman"/>
        </w:rPr>
        <w:t xml:space="preserve">Data </w:t>
      </w:r>
      <w:r w:rsidR="00B14B7A">
        <w:rPr>
          <w:rFonts w:eastAsia="Times New Roman"/>
        </w:rPr>
        <w:t>are available at a range of spatial and tem</w:t>
      </w:r>
      <w:r w:rsidR="00AC204B">
        <w:rPr>
          <w:rFonts w:eastAsia="Times New Roman"/>
        </w:rPr>
        <w:t>poral scales</w:t>
      </w:r>
      <w:r w:rsidRPr="00191D7A">
        <w:rPr>
          <w:rFonts w:eastAsia="Times New Roman"/>
        </w:rPr>
        <w:t xml:space="preserve"> </w:t>
      </w:r>
    </w:p>
    <w:p w14:paraId="7CE1985C" w14:textId="5E399226" w:rsidR="00C51563" w:rsidRDefault="008F075F" w:rsidP="00C51563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Represent</w:t>
      </w:r>
      <w:r w:rsidR="00C51563">
        <w:rPr>
          <w:rFonts w:eastAsia="Times New Roman"/>
        </w:rPr>
        <w:t xml:space="preserve"> a range of computation</w:t>
      </w:r>
      <w:r>
        <w:rPr>
          <w:rFonts w:eastAsia="Times New Roman"/>
        </w:rPr>
        <w:t>al</w:t>
      </w:r>
      <w:r w:rsidR="00C51563">
        <w:rPr>
          <w:rFonts w:eastAsia="Times New Roman"/>
        </w:rPr>
        <w:t xml:space="preserve"> complexity </w:t>
      </w:r>
    </w:p>
    <w:p w14:paraId="759EF08A" w14:textId="287AA32B" w:rsidR="00C51563" w:rsidRPr="00CF5A0E" w:rsidRDefault="00005D09" w:rsidP="00C51563">
      <w:pPr>
        <w:pStyle w:val="ListParagraph"/>
        <w:numPr>
          <w:ilvl w:val="0"/>
          <w:numId w:val="30"/>
        </w:numPr>
        <w:spacing w:after="0" w:line="240" w:lineRule="auto"/>
        <w:contextualSpacing w:val="0"/>
      </w:pPr>
      <w:r>
        <w:rPr>
          <w:rFonts w:eastAsia="Times New Roman"/>
        </w:rPr>
        <w:t>Results are</w:t>
      </w:r>
      <w:r w:rsidR="00C51563" w:rsidRPr="00CF5A0E">
        <w:rPr>
          <w:rFonts w:eastAsia="Times New Roman"/>
        </w:rPr>
        <w:t xml:space="preserve"> comparable to a benchmark</w:t>
      </w:r>
    </w:p>
    <w:p w14:paraId="74745C99" w14:textId="23BE56B4" w:rsidR="00191D7A" w:rsidRDefault="00C51563" w:rsidP="00191D7A">
      <w:pPr>
        <w:pStyle w:val="ListParagraph"/>
        <w:numPr>
          <w:ilvl w:val="0"/>
          <w:numId w:val="30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Overall, c</w:t>
      </w:r>
      <w:r w:rsidR="00D23177">
        <w:rPr>
          <w:rFonts w:eastAsia="Times New Roman"/>
        </w:rPr>
        <w:t xml:space="preserve">an present enough information to </w:t>
      </w:r>
      <w:r w:rsidR="00C86BCC">
        <w:rPr>
          <w:rFonts w:eastAsia="Times New Roman"/>
        </w:rPr>
        <w:t xml:space="preserve">demonstrate the functionality of FILTER demonstrator </w:t>
      </w:r>
      <w:r w:rsidR="00D23177">
        <w:rPr>
          <w:rFonts w:eastAsia="Times New Roman"/>
        </w:rPr>
        <w:t>(</w:t>
      </w:r>
      <w:r w:rsidR="00C86BCC">
        <w:rPr>
          <w:rFonts w:eastAsia="Times New Roman"/>
        </w:rPr>
        <w:t>o</w:t>
      </w:r>
      <w:r w:rsidR="00D23177">
        <w:rPr>
          <w:rFonts w:eastAsia="Times New Roman"/>
        </w:rPr>
        <w:t>r capacity in</w:t>
      </w:r>
      <w:r w:rsidR="00C86BCC">
        <w:rPr>
          <w:rFonts w:eastAsia="Times New Roman"/>
        </w:rPr>
        <w:t xml:space="preserve"> </w:t>
      </w:r>
      <w:r w:rsidR="006F0F9D">
        <w:rPr>
          <w:rFonts w:eastAsia="Times New Roman"/>
        </w:rPr>
        <w:t>hand</w:t>
      </w:r>
      <w:r w:rsidR="00D23177">
        <w:rPr>
          <w:rFonts w:eastAsia="Times New Roman"/>
        </w:rPr>
        <w:t>ing</w:t>
      </w:r>
      <w:r w:rsidR="006F0F9D">
        <w:rPr>
          <w:rFonts w:eastAsia="Times New Roman"/>
        </w:rPr>
        <w:t xml:space="preserve"> the various data</w:t>
      </w:r>
      <w:r w:rsidR="00D23177">
        <w:rPr>
          <w:rFonts w:eastAsia="Times New Roman"/>
        </w:rPr>
        <w:t>)</w:t>
      </w:r>
    </w:p>
    <w:p w14:paraId="43817DFC" w14:textId="77777777" w:rsidR="00CF5A0E" w:rsidRPr="00066D6C" w:rsidRDefault="00CF5A0E" w:rsidP="00CF5A0E">
      <w:pPr>
        <w:pStyle w:val="ListParagraph"/>
        <w:spacing w:after="0" w:line="240" w:lineRule="auto"/>
        <w:contextualSpacing w:val="0"/>
      </w:pPr>
    </w:p>
    <w:p w14:paraId="5765765E" w14:textId="1005A90A" w:rsidR="00732C37" w:rsidRDefault="00732C37" w:rsidP="00732C37">
      <w:pPr>
        <w:ind w:left="-851"/>
        <w:rPr>
          <w:i/>
          <w:iCs/>
          <w:color w:val="156082" w:themeColor="accent1"/>
          <w:sz w:val="22"/>
          <w:szCs w:val="22"/>
        </w:rPr>
      </w:pPr>
    </w:p>
    <w:tbl>
      <w:tblPr>
        <w:tblW w:w="15589" w:type="dxa"/>
        <w:tblInd w:w="-993" w:type="dxa"/>
        <w:tblLayout w:type="fixed"/>
        <w:tblLook w:val="04A0" w:firstRow="1" w:lastRow="0" w:firstColumn="1" w:lastColumn="0" w:noHBand="0" w:noVBand="1"/>
      </w:tblPr>
      <w:tblGrid>
        <w:gridCol w:w="2127"/>
        <w:gridCol w:w="2127"/>
        <w:gridCol w:w="2121"/>
        <w:gridCol w:w="1417"/>
        <w:gridCol w:w="1418"/>
        <w:gridCol w:w="992"/>
        <w:gridCol w:w="1276"/>
        <w:gridCol w:w="1276"/>
        <w:gridCol w:w="1417"/>
        <w:gridCol w:w="1418"/>
      </w:tblGrid>
      <w:tr w:rsidR="00216EE0" w:rsidRPr="003D039E" w14:paraId="2CCE9FF0" w14:textId="77777777" w:rsidTr="00216EE0">
        <w:trPr>
          <w:trHeight w:val="384"/>
          <w:tblHeader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</w:tcPr>
          <w:p w14:paraId="5866959E" w14:textId="77777777" w:rsidR="00216EE0" w:rsidRDefault="00216EE0" w:rsidP="00B7738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</w:p>
          <w:p w14:paraId="6853F352" w14:textId="5A23464D" w:rsidR="00216EE0" w:rsidRDefault="00216EE0" w:rsidP="00B7738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FB’ objectives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14:paraId="6A7AE1FE" w14:textId="35466315" w:rsidR="00216EE0" w:rsidRPr="003D039E" w:rsidRDefault="00216EE0" w:rsidP="00B7738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Baseline</w:t>
            </w:r>
            <w:r w:rsidRPr="003D039E"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 Indicators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595959" w:themeFill="text1" w:themeFillTint="A6"/>
            <w:noWrap/>
            <w:vAlign w:val="center"/>
            <w:hideMark/>
          </w:tcPr>
          <w:p w14:paraId="073CB20E" w14:textId="77777777" w:rsidR="00216EE0" w:rsidRPr="003D039E" w:rsidRDefault="00216EE0" w:rsidP="00B77386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3D039E">
              <w:rPr>
                <w:rFonts w:ascii="Aptos" w:eastAsia="Times New Roman" w:hAnsi="Aptos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Note for measurement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3E878253" w14:textId="77777777" w:rsidR="00216EE0" w:rsidRPr="006D532C" w:rsidRDefault="00216EE0" w:rsidP="00B77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6D532C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Data sources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6F9F8FAD" w14:textId="5A8D9802" w:rsidR="00216EE0" w:rsidRPr="006D532C" w:rsidRDefault="00216EE0" w:rsidP="00B77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Covering the precinct area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noWrap/>
            <w:vAlign w:val="center"/>
            <w:hideMark/>
          </w:tcPr>
          <w:p w14:paraId="5757E4C5" w14:textId="77777777" w:rsidR="00216EE0" w:rsidRPr="006D532C" w:rsidRDefault="00216EE0" w:rsidP="00B77386">
            <w:pPr>
              <w:spacing w:after="0" w:line="240" w:lineRule="auto"/>
              <w:ind w:left="-25" w:hanging="84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6D532C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Spatial scale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24FA5469" w14:textId="6DE75AC8" w:rsidR="00216EE0" w:rsidRPr="003D039E" w:rsidRDefault="00216EE0" w:rsidP="00B7738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</w:pPr>
            <w:r w:rsidRPr="006D532C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 xml:space="preserve">Temporal </w:t>
            </w:r>
            <w: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kern w:val="0"/>
                <w:sz w:val="20"/>
                <w:szCs w:val="20"/>
                <w14:ligatures w14:val="none"/>
              </w:rPr>
              <w:t>range, (frequency)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68212E2" w14:textId="77777777" w:rsidR="00216EE0" w:rsidRPr="006D532C" w:rsidRDefault="00216EE0" w:rsidP="00B7738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sz w:val="20"/>
                <w:szCs w:val="20"/>
              </w:rPr>
            </w:pPr>
            <w:r w:rsidRPr="006D532C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sz w:val="20"/>
                <w:szCs w:val="20"/>
              </w:rPr>
              <w:t>Metadata availability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41E8FBA0" w14:textId="5FBC24AC" w:rsidR="00216EE0" w:rsidRPr="006D532C" w:rsidRDefault="00216EE0" w:rsidP="00B7738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sz w:val="20"/>
                <w:szCs w:val="20"/>
              </w:rPr>
              <w:t>Comparability with benchmark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95959" w:themeFill="text1" w:themeFillTint="A6"/>
            <w:hideMark/>
          </w:tcPr>
          <w:p w14:paraId="371B490F" w14:textId="75679D1D" w:rsidR="00216EE0" w:rsidRPr="006D532C" w:rsidRDefault="00216EE0" w:rsidP="00B77386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sz w:val="20"/>
                <w:szCs w:val="20"/>
              </w:rPr>
              <w:t>Computation complexity</w:t>
            </w:r>
          </w:p>
        </w:tc>
      </w:tr>
      <w:tr w:rsidR="00216EE0" w:rsidRPr="003D039E" w14:paraId="69D6897D" w14:textId="77777777" w:rsidTr="00216EE0">
        <w:trPr>
          <w:trHeight w:val="84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AA590A" w14:textId="69C3F928" w:rsidR="00216EE0" w:rsidRPr="00240E9C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A walkability score of 90% is achieved from homes and workplaces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3AAAB3A" w14:textId="32C1A381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Access to opportunities and services by walk – overall score 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577A184" w14:textId="77777777" w:rsidR="00216EE0" w:rsidRPr="00C92289" w:rsidRDefault="00216EE0" w:rsidP="00240E9C">
            <w:pPr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C2FCD" w14:textId="51C95C55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2A60F" w14:textId="00C6D272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21 Australian cities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97E71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3C42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42699402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6788DEB3" w14:textId="6683643A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2018-2024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, (3 years)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62A9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5605AE9A" w14:textId="1FF3D818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8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2F79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74136C99" w14:textId="3D138833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Yes, with other residential precincts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56E13" w14:textId="77777777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5BE135B7" w14:textId="66F2FFF5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7D0062">
              <w:rPr>
                <w:rFonts w:ascii="Aptos Narrow" w:eastAsia="Times New Roman" w:hAnsi="Aptos Narrow" w:cs="Times New Roman"/>
                <w:sz w:val="20"/>
                <w:szCs w:val="20"/>
              </w:rPr>
              <w:t xml:space="preserve">Medium </w:t>
            </w:r>
          </w:p>
        </w:tc>
      </w:tr>
      <w:tr w:rsidR="00216EE0" w:rsidRPr="003D039E" w14:paraId="10B582AE" w14:textId="77777777" w:rsidTr="00216EE0">
        <w:trPr>
          <w:trHeight w:val="695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3AE954A" w14:textId="1E14AE33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An activity core in each precinct where businesses can thrive and everyday needs are met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9ED42A3" w14:textId="7BF0E5D8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 xml:space="preserve">Accessibility of social infrastructure: distance to community centres, facilities, church, museum and gallery, </w:t>
            </w: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lastRenderedPageBreak/>
              <w:t>theatre, libraries, sports facilities</w:t>
            </w:r>
          </w:p>
          <w:p w14:paraId="16CF9D9A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</w:p>
          <w:p w14:paraId="60B7A1F6" w14:textId="32D30A4D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:shd w:val="clear" w:color="auto" w:fill="E59EDC" w:themeFill="accent5" w:themeFillTint="66"/>
                <w14:ligatures w14:val="none"/>
              </w:rPr>
              <w:t xml:space="preserve"> This accessibility indicator group can provide 6~7 sub-indicators (by destination type)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28B72EB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lastRenderedPageBreak/>
              <w:t>Percent of dwellings are within certain distance of a destination (by type)</w:t>
            </w:r>
          </w:p>
          <w:p w14:paraId="02A2CB29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</w:p>
          <w:p w14:paraId="7FCD49EF" w14:textId="5BC87078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A416D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AUO;</w:t>
            </w:r>
            <w:proofErr w:type="gramEnd"/>
          </w:p>
          <w:p w14:paraId="15CC9FC8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  <w:r w:rsidRPr="00C92289">
              <w:t xml:space="preserve"> (</w:t>
            </w: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VicMap</w:t>
            </w:r>
            <w:proofErr w:type="spell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Features of Interest)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A8370" w14:textId="4C74CE3D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21 Australian cities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1457B" w14:textId="3B7ED45F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SA1,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block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90086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57E5EE5E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2AF67640" w14:textId="6BFD1109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2018-2024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, (3 years)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CEC65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0405C2CD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9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B2A24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13C34270" w14:textId="272D574C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with other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residential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precincts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94FF" w14:textId="77777777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6C0ED95C" w14:textId="1C956D22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7D0062">
              <w:rPr>
                <w:rFonts w:ascii="Aptos Narrow" w:eastAsia="Times New Roman" w:hAnsi="Aptos Narrow" w:cs="Times New Roman"/>
                <w:sz w:val="20"/>
                <w:szCs w:val="20"/>
              </w:rPr>
              <w:t>Medium</w:t>
            </w:r>
          </w:p>
        </w:tc>
      </w:tr>
      <w:tr w:rsidR="00216EE0" w:rsidRPr="003D039E" w14:paraId="5C9D0EF3" w14:textId="77777777" w:rsidTr="00216EE0">
        <w:trPr>
          <w:trHeight w:val="879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DD8734" w14:textId="77777777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1966A2B" w14:textId="7780BCF2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Land use diversity (high-level mixture of functionality in local land uses)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1273C5F8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The Land Use Mix looks at a specific land use category and compares that to other land use categories within the same geography. This entropy measure quantifies the balance of land use categories using a score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E8678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56F99F74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(Land use classification shapefile, GIS calculation needed)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671AB4" w14:textId="74832E61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Melbourne GCCSA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784502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FFD4D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6F58BD24" w14:textId="359519EA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Regularly 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C50E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10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2AA9" w14:textId="3A3B15CF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Aptos Narrow" w:hAnsi="Aptos Narrow" w:cs="Aptos Narrow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with other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employment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precincts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/activity centres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D214" w14:textId="163388F5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7D0062">
              <w:rPr>
                <w:rFonts w:ascii="Aptos Narrow" w:eastAsia="Times New Roman" w:hAnsi="Aptos Narrow" w:cs="Times New Roman"/>
                <w:sz w:val="20"/>
                <w:szCs w:val="20"/>
              </w:rPr>
              <w:t xml:space="preserve">Medium </w:t>
            </w:r>
          </w:p>
        </w:tc>
      </w:tr>
      <w:tr w:rsidR="00216EE0" w:rsidRPr="003D039E" w14:paraId="42747AB5" w14:textId="77777777" w:rsidTr="00216EE0">
        <w:trPr>
          <w:trHeight w:val="81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AC05" w14:textId="0C93FA4C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A diverse community, including a mix of income, age, education levels and backgrounds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D8A13F" w14:textId="3B593435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Diversity of income (residents)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ECD6D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This measure looks at a specific income category and compares that to other income categories within the same geography. This entropy measure quantifies the balance of income categories using a score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B726A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ABS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11F9B" w14:textId="438EFB26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Australia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964D1C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2A42C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0"/>
                <w:szCs w:val="20"/>
                <w14:ligatures w14:val="none"/>
              </w:rPr>
            </w:pPr>
          </w:p>
          <w:p w14:paraId="3DB10347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4AD785B9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4931D642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76171BF1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1992-2021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,</w:t>
            </w:r>
          </w:p>
          <w:p w14:paraId="17F589D4" w14:textId="12DA0B15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FF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(5 years)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34C8A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483C252C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11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C0925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39E53BA1" w14:textId="31579A96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Yes, with other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precincts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8B64" w14:textId="77777777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0BC93EA2" w14:textId="4BF65F56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7D0062">
              <w:rPr>
                <w:rFonts w:ascii="Aptos Narrow" w:eastAsia="Times New Roman" w:hAnsi="Aptos Narrow" w:cs="Times New Roman"/>
                <w:sz w:val="20"/>
                <w:szCs w:val="20"/>
              </w:rPr>
              <w:t>Medium</w:t>
            </w:r>
          </w:p>
        </w:tc>
      </w:tr>
      <w:tr w:rsidR="00216EE0" w:rsidRPr="003D039E" w14:paraId="579D87AB" w14:textId="77777777" w:rsidTr="00216EE0">
        <w:trPr>
          <w:trHeight w:val="53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54D7C74" w14:textId="1CDE18ED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lastRenderedPageBreak/>
              <w:t>People can access public open space within 200 metres of their home and work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567B955" w14:textId="785AFA9E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 xml:space="preserve">Percent of dwellings and workplaces is within 200 meters of a public open space 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73DD695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A recalculation may be required to meet this exact distance requirement.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5DF0C3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AUO; </w:t>
            </w: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, (GIS calculation needed)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EA527E" w14:textId="5D10F142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21 Australian cities; Melbourne GCCSA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B63BF" w14:textId="0580CB99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SA1;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block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AB03B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6117955B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60C9C0AA" w14:textId="2D8BF94A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2018-2024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, (3 years)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C1CB0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79A54F85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sz w:val="20"/>
                <w:szCs w:val="20"/>
              </w:rPr>
              <w:t xml:space="preserve">Yes, link to the metadata </w:t>
            </w:r>
            <w:hyperlink r:id="rId12" w:history="1">
              <w:r w:rsidRPr="00C92289">
                <w:rPr>
                  <w:rStyle w:val="Hyperlink"/>
                  <w:rFonts w:ascii="Aptos Narrow" w:eastAsia="Times New Roman" w:hAnsi="Aptos Narrow" w:cs="Times New Roman"/>
                  <w:color w:val="auto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AB17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  <w:p w14:paraId="1F1FC372" w14:textId="3E8DFD88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with the average of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all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 residential SA1s in the same city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AB67" w14:textId="77777777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55E89B60" w14:textId="113F8CD1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7D0062">
              <w:rPr>
                <w:rFonts w:ascii="Aptos Narrow" w:eastAsia="Times New Roman" w:hAnsi="Aptos Narrow" w:cs="Times New Roman"/>
                <w:sz w:val="20"/>
                <w:szCs w:val="20"/>
              </w:rPr>
              <w:t>Low</w:t>
            </w:r>
          </w:p>
        </w:tc>
      </w:tr>
      <w:tr w:rsidR="00216EE0" w:rsidRPr="003D039E" w14:paraId="753D5383" w14:textId="77777777" w:rsidTr="00216EE0">
        <w:trPr>
          <w:trHeight w:val="38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196C22" w14:textId="10E0D03E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At least 6% of all housing is affordable  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5E371BA" w14:textId="54104AFB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Percent of households spending more than 30% of total income on housing costs (mortgage or rent)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18EC49C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197EEC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ABS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26ED17" w14:textId="5F6D1188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Australia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25E87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66389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46B52AAD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F33199F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66ABC61" w14:textId="159F809E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1992-2021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update 5 years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644A" w14:textId="77777777" w:rsidR="00216EE0" w:rsidRPr="00C92289" w:rsidRDefault="00216EE0" w:rsidP="00240E9C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C92289">
              <w:rPr>
                <w:sz w:val="20"/>
                <w:szCs w:val="20"/>
              </w:rPr>
              <w:t xml:space="preserve">Yes, link to the metadata </w:t>
            </w:r>
            <w:hyperlink r:id="rId13" w:history="1">
              <w:r w:rsidRPr="00C92289">
                <w:rPr>
                  <w:rStyle w:val="Hyperlink"/>
                  <w:sz w:val="20"/>
                  <w:szCs w:val="20"/>
                </w:rPr>
                <w:t>here</w:t>
              </w:r>
            </w:hyperlink>
            <w:r w:rsidRPr="00C9228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C4F5E" w14:textId="13D358CF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Yes, with the average of all residential SA1s in the same city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E263A" w14:textId="11D42297" w:rsidR="00216EE0" w:rsidRPr="007D0062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7D0062">
              <w:rPr>
                <w:rFonts w:ascii="Aptos Narrow" w:eastAsia="Times New Roman" w:hAnsi="Aptos Narrow" w:cs="Times New Roman"/>
                <w:sz w:val="20"/>
                <w:szCs w:val="20"/>
              </w:rPr>
              <w:t>Medium</w:t>
            </w:r>
          </w:p>
        </w:tc>
      </w:tr>
      <w:tr w:rsidR="00216EE0" w:rsidRPr="003D039E" w14:paraId="3712B6E0" w14:textId="77777777" w:rsidTr="00216EE0">
        <w:trPr>
          <w:trHeight w:val="3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2B7B7B8" w14:textId="25A3A9AA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>
              <w:rPr>
                <w:sz w:val="20"/>
                <w:szCs w:val="20"/>
              </w:rPr>
              <w:t>An o</w:t>
            </w:r>
            <w:r w:rsidRPr="008B7F5D">
              <w:rPr>
                <w:sz w:val="20"/>
                <w:szCs w:val="20"/>
              </w:rPr>
              <w:t>verarching target for 80,000 jobs by 2055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BFFCE7C" w14:textId="3C1A944A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Total number of jobs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7FA1543E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6F46E2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ABS;</w:t>
            </w:r>
            <w:proofErr w:type="gram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A6E421C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6B29CF9F" w14:textId="3B417144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 survey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33A287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Australia;</w:t>
            </w:r>
            <w:proofErr w:type="gram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8562C2E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3E0F05C4" w14:textId="71CEB646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Partly,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City of Melbourne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5D058B" w14:textId="264CCF60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Destination zone;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 block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0A6E0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8EEC9EC" w14:textId="3A56488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1996-2021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(5 years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72B861F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2002-2025</w:t>
            </w:r>
          </w:p>
          <w:p w14:paraId="2BC547F7" w14:textId="31DD60DF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(1 year)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2E14C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14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AF91" w14:textId="4694FD0C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Yes, with other employment precincts/activity centres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C7CC" w14:textId="623F826B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216EE0" w:rsidRPr="003D039E" w14:paraId="3416F120" w14:textId="77777777" w:rsidTr="00216EE0">
        <w:trPr>
          <w:trHeight w:val="3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C6EF7D" w14:textId="12B0AE43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>
              <w:rPr>
                <w:sz w:val="20"/>
                <w:szCs w:val="20"/>
              </w:rPr>
              <w:t>An o</w:t>
            </w:r>
            <w:r w:rsidRPr="008B7F5D">
              <w:rPr>
                <w:sz w:val="20"/>
                <w:szCs w:val="20"/>
              </w:rPr>
              <w:t>verarching target for 80,000 residents by 2055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63FE7A14" w14:textId="6D5BD352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Total number of residents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</w:tcPr>
          <w:p w14:paraId="349E2EC7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9497A1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ABS;</w:t>
            </w:r>
            <w:proofErr w:type="gramEnd"/>
          </w:p>
          <w:p w14:paraId="5108AF52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33755625" w14:textId="7555528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CLUE survey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1BD4B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Australia;</w:t>
            </w:r>
            <w:proofErr w:type="gram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46A0E1EA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377698B7" w14:textId="6C9398AF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Partly,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City of Melbourne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CD8510" w14:textId="55A7DA51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Destination zone;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CLUE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block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40E63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5AB8DC5B" w14:textId="5F928EC2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1996-2021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(5 years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00EA7A96" w14:textId="758CF750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2002-2025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(1 year)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F369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15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DF8B" w14:textId="35379D51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Yes, with the average of all residential SA1s in the same 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D3C4" w14:textId="0DF88BCE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Low</w:t>
            </w:r>
          </w:p>
        </w:tc>
      </w:tr>
      <w:tr w:rsidR="00216EE0" w:rsidRPr="003D039E" w14:paraId="14307038" w14:textId="77777777" w:rsidTr="00216EE0">
        <w:trPr>
          <w:trHeight w:val="1260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DB474" w14:textId="77777777" w:rsidR="00216EE0" w:rsidRDefault="00216EE0" w:rsidP="00240E9C">
            <w:pPr>
              <w:spacing w:after="0" w:line="240" w:lineRule="auto"/>
              <w:rPr>
                <w:sz w:val="20"/>
                <w:szCs w:val="20"/>
              </w:rPr>
            </w:pPr>
          </w:p>
          <w:p w14:paraId="7F7726C6" w14:textId="2B02EE53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Has strong economic resilience and diversity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2D3A41" w14:textId="4A036644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  <w:t>Industry mix (specialisation) in the local economy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520C374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 xml:space="preserve">This measure looks at the employment in a specific industry sector and compares that to the employment in other industry sectors within the same geography. This </w:t>
            </w: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lastRenderedPageBreak/>
              <w:t>entropy measure quantifies the balance of industry sectors in the local economy using a score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8197DD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lastRenderedPageBreak/>
              <w:t>ABS;</w:t>
            </w:r>
            <w:proofErr w:type="gram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DA47D41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1A50E418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44F70C16" w14:textId="5A661C19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 survey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B3DC5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proofErr w:type="gram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Australia;</w:t>
            </w:r>
            <w:proofErr w:type="gram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12D66E09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549784C1" w14:textId="2A8D893B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Partly,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City of Melbourne 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CCB502" w14:textId="67BBCD11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Destination zone,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block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4A46B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663475F5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059E3716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1B3FCDE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0F89B21" w14:textId="0741DC11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1996-2021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(5 years</w:t>
            </w:r>
            <w:proofErr w:type="gram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)</w:t>
            </w: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;</w:t>
            </w:r>
            <w:proofErr w:type="gramEnd"/>
          </w:p>
          <w:p w14:paraId="7346D184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C640998" w14:textId="22375F6F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2002-2025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(1 year)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DA60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link to the metadata </w:t>
            </w:r>
            <w:hyperlink r:id="rId16" w:history="1">
              <w:r w:rsidRPr="00C92289">
                <w:rPr>
                  <w:rStyle w:val="Hyperlink"/>
                  <w:rFonts w:ascii="Aptos Narrow" w:eastAsia="Times New Roman" w:hAnsi="Aptos Narrow" w:cs="Times New Roman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912D" w14:textId="6DB32D04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Yes, with other employment precincts/activity centres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5E74" w14:textId="41B6A065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216EE0" w:rsidRPr="003D039E" w14:paraId="718FF3B1" w14:textId="77777777" w:rsidTr="00216EE0">
        <w:trPr>
          <w:trHeight w:val="384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5AF1D49" w14:textId="66F10E7B" w:rsidR="00216EE0" w:rsidRPr="00732C37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The urban heat island effect is reduced (no hotter than Melbourne)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9E1E7EC" w14:textId="0FE1D4D8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Heat Vulnerability Index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A8B11F1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This dataset provides a composite measure of heat vulnerability for Culturally and Linguistically Diverse (CALD) populations in Australia, integrating three key indicators: heat exposure, heat sensibility, and heat adaptive capability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3C0FCA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AURIN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366591" w14:textId="75544C91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gramStart"/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Australia</w:t>
            </w:r>
            <w:proofErr w:type="gram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E33375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13650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</w:t>
            </w:r>
          </w:p>
          <w:p w14:paraId="53ED6B89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564343C1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6D8B2CE9" w14:textId="24AC9212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2001, 2011, 2016, 2021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(5 years)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D457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0EB9FCF4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1029CCF9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sz w:val="20"/>
                <w:szCs w:val="20"/>
              </w:rPr>
              <w:t xml:space="preserve">Yes, link to metadata </w:t>
            </w:r>
            <w:hyperlink r:id="rId17" w:history="1">
              <w:r w:rsidRPr="00C92289">
                <w:rPr>
                  <w:rStyle w:val="Hyperlink"/>
                  <w:rFonts w:ascii="Aptos Narrow" w:eastAsia="Times New Roman" w:hAnsi="Aptos Narrow" w:cs="Times New Roman"/>
                  <w:color w:val="auto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61237" w14:textId="0C0D02CE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with the average of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heat exposure in Melbourne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A93AC" w14:textId="3F28C946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</w:tc>
      </w:tr>
      <w:tr w:rsidR="00216EE0" w:rsidRPr="00F60DE1" w14:paraId="35D40B58" w14:textId="77777777" w:rsidTr="00216EE0">
        <w:trPr>
          <w:trHeight w:val="396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51CC72" w14:textId="77777777" w:rsidR="00216EE0" w:rsidRPr="00976590" w:rsidRDefault="00216EE0" w:rsidP="006F4E97">
            <w:pPr>
              <w:rPr>
                <w:sz w:val="20"/>
                <w:szCs w:val="20"/>
              </w:rPr>
            </w:pPr>
            <w:r w:rsidRPr="00976590">
              <w:rPr>
                <w:sz w:val="20"/>
                <w:szCs w:val="20"/>
              </w:rPr>
              <w:t>The community is resilient to the shocks and stresses of climate change</w:t>
            </w:r>
          </w:p>
          <w:p w14:paraId="06EC096F" w14:textId="77777777" w:rsidR="00216EE0" w:rsidRPr="00F60DE1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22CB61" w14:textId="4D6A6D33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Percent of streets in the flood risk zones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1E12A66" w14:textId="77777777" w:rsidR="00216EE0" w:rsidRPr="00C92289" w:rsidRDefault="00216EE0" w:rsidP="00240E9C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color w:val="C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243CBC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273ABC30" w14:textId="77777777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(GIS calculation needed)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523749" w14:textId="298D0665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Melbourne GCCSA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1FA7B0" w14:textId="59EFB8CA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SA1, 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CLUE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block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E7D74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1C4A1692" w14:textId="77777777" w:rsidR="00216EE0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  <w:p w14:paraId="2DC3E61A" w14:textId="7F002A78" w:rsidR="00216EE0" w:rsidRPr="00C92289" w:rsidRDefault="00216EE0" w:rsidP="00240E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D111" w14:textId="06B52359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Flood risk zones to be advised by DTP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B1A3" w14:textId="77777777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34467" w14:textId="04F2FF19" w:rsidR="00216EE0" w:rsidRPr="00C92289" w:rsidRDefault="00216EE0" w:rsidP="00240E9C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Medium</w:t>
            </w:r>
          </w:p>
        </w:tc>
      </w:tr>
      <w:tr w:rsidR="00216EE0" w:rsidRPr="0069476B" w14:paraId="74AECB72" w14:textId="77777777" w:rsidTr="00216EE0">
        <w:trPr>
          <w:trHeight w:val="3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5DB9CE" w14:textId="2AF80BC1" w:rsidR="00216EE0" w:rsidRPr="00732C37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Net sewage discharge reduced by 50%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8BC1279" w14:textId="3012DAB9" w:rsidR="00216EE0" w:rsidRPr="00C92289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 xml:space="preserve">Melbourne Wastewater - Daily Volume Received by Melbourne Water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521D6953" w14:textId="77777777" w:rsidR="00216EE0" w:rsidRPr="00C92289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5E65ED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790798" w14:textId="60F8BAA6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Melbourne GCCSA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52B88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27B23" w14:textId="77777777" w:rsidR="00216EE0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  <w:p w14:paraId="0D9C7E6C" w14:textId="0B28D864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Daily 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9A8A3" w14:textId="77777777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B6951" w14:textId="77777777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6C34" w14:textId="45E9AC98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sz w:val="20"/>
                <w:szCs w:val="20"/>
              </w:rPr>
              <w:t>Low</w:t>
            </w:r>
          </w:p>
        </w:tc>
      </w:tr>
      <w:tr w:rsidR="00216EE0" w:rsidRPr="0069476B" w14:paraId="2A9735B9" w14:textId="77777777" w:rsidTr="00216EE0">
        <w:trPr>
          <w:trHeight w:val="3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6BD025" w14:textId="7A78C38D" w:rsidR="00216EE0" w:rsidRPr="00732C37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Potable water demand of less than 100 litres per person per day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0BFDC55" w14:textId="7A20766B" w:rsidR="00216EE0" w:rsidRPr="00C92289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Reduction of per capita water consumption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B7495E7" w14:textId="77777777" w:rsidR="00216EE0" w:rsidRPr="00C92289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A77D7C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5CB39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D226FF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7B6BC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01D34" w14:textId="77777777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07AAB" w14:textId="77777777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D183B" w14:textId="0E16C21F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>
              <w:rPr>
                <w:rFonts w:ascii="Aptos Narrow" w:eastAsia="Times New Roman" w:hAnsi="Aptos Narrow" w:cs="Times New Roman"/>
                <w:sz w:val="20"/>
                <w:szCs w:val="20"/>
              </w:rPr>
              <w:t>Low</w:t>
            </w:r>
          </w:p>
        </w:tc>
      </w:tr>
      <w:tr w:rsidR="00216EE0" w:rsidRPr="0069476B" w14:paraId="4A2BFA40" w14:textId="77777777" w:rsidTr="00216EE0">
        <w:trPr>
          <w:trHeight w:val="641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61E03F" w14:textId="77777777" w:rsidR="00216EE0" w:rsidRPr="00976590" w:rsidRDefault="00216EE0" w:rsidP="0010133D">
            <w:pPr>
              <w:rPr>
                <w:sz w:val="20"/>
                <w:szCs w:val="20"/>
              </w:rPr>
            </w:pPr>
            <w:r w:rsidRPr="00976590">
              <w:rPr>
                <w:sz w:val="20"/>
                <w:szCs w:val="20"/>
              </w:rPr>
              <w:lastRenderedPageBreak/>
              <w:t>Greater diversity of plant species and fauna recorded compared to 2017 levels </w:t>
            </w:r>
          </w:p>
          <w:p w14:paraId="174F7B81" w14:textId="69E4C0D4" w:rsidR="00216EE0" w:rsidRPr="00732C37" w:rsidRDefault="00216EE0" w:rsidP="0010133D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green"/>
                <w14:ligatures w14:val="none"/>
              </w:rPr>
            </w:pPr>
            <w:r w:rsidRPr="00976590">
              <w:rPr>
                <w:sz w:val="20"/>
                <w:szCs w:val="20"/>
              </w:rPr>
              <w:t> 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43013F77" w14:textId="6C8722D0" w:rsidR="00216EE0" w:rsidRPr="00C92289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Share of land use for native vegetation, waterway corridors, natural wetlands and grasslands in total areas</w:t>
            </w:r>
          </w:p>
        </w:tc>
        <w:tc>
          <w:tcPr>
            <w:tcW w:w="21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21EC919F" w14:textId="77777777" w:rsidR="00216EE0" w:rsidRPr="00C92289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" w:eastAsia="Times New Roman" w:hAnsi="Aptos" w:cs="Times New Roman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9B4EFE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DataVic</w:t>
            </w:r>
            <w:proofErr w:type="spellEnd"/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60320BA9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(GIS calculation needed)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F644BB" w14:textId="6A9EC6BB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 xml:space="preserve">Yes, </w:t>
            </w:r>
            <w:r w:rsidRPr="00C92289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Melbourne GCCSA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B7C12E" w14:textId="0D3033A0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SA1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133C" w14:textId="77777777" w:rsidR="00216EE0" w:rsidRPr="00C92289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7717" w14:textId="77777777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</w:p>
          <w:p w14:paraId="36C97E34" w14:textId="77777777" w:rsidR="00216EE0" w:rsidRPr="00C92289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sz w:val="20"/>
                <w:szCs w:val="20"/>
              </w:rPr>
              <w:t xml:space="preserve">Yes, link to metadata </w:t>
            </w:r>
            <w:hyperlink r:id="rId18" w:history="1">
              <w:r w:rsidRPr="00C92289">
                <w:rPr>
                  <w:rStyle w:val="Hyperlink"/>
                  <w:rFonts w:ascii="Aptos Narrow" w:eastAsia="Times New Roman" w:hAnsi="Aptos Narrow" w:cs="Times New Roman"/>
                  <w:color w:val="auto"/>
                  <w:sz w:val="20"/>
                  <w:szCs w:val="20"/>
                </w:rPr>
                <w:t>here</w:t>
              </w:r>
            </w:hyperlink>
          </w:p>
        </w:tc>
        <w:tc>
          <w:tcPr>
            <w:tcW w:w="14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3AEF" w14:textId="6A4D298D" w:rsidR="00216EE0" w:rsidRPr="00C92289" w:rsidRDefault="00216EE0" w:rsidP="007D152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0"/>
                <w:szCs w:val="20"/>
              </w:rPr>
            </w:pP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 xml:space="preserve">Yes, with the average of </w:t>
            </w:r>
            <w:r w:rsidRPr="00C92289">
              <w:rPr>
                <w:rFonts w:ascii="Aptos Narrow" w:eastAsia="Times New Roman" w:hAnsi="Aptos Narrow" w:cs="Times New Roman"/>
                <w:color w:val="000000" w:themeColor="text1"/>
                <w:sz w:val="20"/>
                <w:szCs w:val="20"/>
              </w:rPr>
              <w:t>other precinct areas in the same city</w:t>
            </w: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6A5A" w14:textId="7920155E" w:rsidR="00216EE0" w:rsidRPr="00C92289" w:rsidRDefault="00216EE0" w:rsidP="007D1525">
            <w:pPr>
              <w:spacing w:line="240" w:lineRule="auto"/>
              <w:jc w:val="center"/>
              <w:rPr>
                <w:rFonts w:ascii="Aptos" w:eastAsia="Times New Roman" w:hAnsi="Aptos" w:cs="Times New Roman"/>
                <w:sz w:val="20"/>
                <w:szCs w:val="20"/>
              </w:rPr>
            </w:pPr>
            <w:r>
              <w:rPr>
                <w:rFonts w:ascii="Aptos" w:eastAsia="Times New Roman" w:hAnsi="Aptos" w:cs="Times New Roman"/>
                <w:sz w:val="20"/>
                <w:szCs w:val="20"/>
              </w:rPr>
              <w:t>Medium</w:t>
            </w:r>
          </w:p>
        </w:tc>
      </w:tr>
      <w:tr w:rsidR="00216EE0" w:rsidRPr="0069476B" w14:paraId="1E0AC0AE" w14:textId="77777777" w:rsidTr="00216EE0">
        <w:trPr>
          <w:trHeight w:val="167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08EF" w14:textId="77777777" w:rsidR="00216EE0" w:rsidRPr="00976590" w:rsidRDefault="00216EE0" w:rsidP="00A779DD">
            <w:pPr>
              <w:rPr>
                <w:sz w:val="20"/>
                <w:szCs w:val="20"/>
              </w:rPr>
            </w:pPr>
            <w:r w:rsidRPr="00976590">
              <w:rPr>
                <w:sz w:val="20"/>
                <w:szCs w:val="20"/>
              </w:rPr>
              <w:t>Will achieve zero net greenhouse gas emissions by 2050</w:t>
            </w:r>
          </w:p>
          <w:p w14:paraId="1C17BEA5" w14:textId="77777777" w:rsidR="00216EE0" w:rsidRPr="00732C37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BDF86" w14:textId="747DE06D" w:rsidR="00216EE0" w:rsidRPr="00732C37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732C37"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  <w:t xml:space="preserve">Total greenhouse gas emission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6AD86B" w14:textId="77777777" w:rsidR="00216EE0" w:rsidRPr="00732C37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732C37"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  <w:t>Greenhouse Gas Emissions (GHG) from activities taking place within City of Melbourne Local Government 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FD5850" w14:textId="77777777" w:rsidR="00216EE0" w:rsidRPr="00732C37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proofErr w:type="spellStart"/>
            <w:r w:rsidRPr="00732C37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>DataVic</w:t>
            </w:r>
            <w:proofErr w:type="spellEnd"/>
            <w:r w:rsidRPr="00732C37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 xml:space="preserve"> (CO2 sensors)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31CDED" w14:textId="77777777" w:rsidR="00216EE0" w:rsidRPr="00732C37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732C37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B5E746" w14:textId="77777777" w:rsidR="00216EE0" w:rsidRPr="00732C37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732C37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>LGA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8A462" w14:textId="77777777" w:rsidR="00216EE0" w:rsidRPr="00732C37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A595" w14:textId="77777777" w:rsidR="00216EE0" w:rsidRPr="00732C37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</w:p>
          <w:p w14:paraId="2CC61BB6" w14:textId="77777777" w:rsidR="00216EE0" w:rsidRPr="00732C37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  <w:r w:rsidRPr="00732C37"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  <w:t>To be advised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FBE2" w14:textId="77777777" w:rsidR="00216EE0" w:rsidRPr="00732C37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D75B" w14:textId="5C648D5C" w:rsidR="00216EE0" w:rsidRPr="00732C37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</w:p>
          <w:p w14:paraId="784F8769" w14:textId="4A529DB7" w:rsidR="00216EE0" w:rsidRPr="00732C37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  <w:r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  <w:t>Low</w:t>
            </w:r>
          </w:p>
        </w:tc>
      </w:tr>
      <w:tr w:rsidR="00216EE0" w:rsidRPr="0069476B" w14:paraId="6679DDC6" w14:textId="77777777" w:rsidTr="00216EE0">
        <w:trPr>
          <w:trHeight w:val="112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CBCF" w14:textId="7B2DEA34" w:rsidR="00216EE0" w:rsidRPr="00092F62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976590">
              <w:rPr>
                <w:sz w:val="20"/>
                <w:szCs w:val="20"/>
              </w:rPr>
              <w:t>80% of household waste is diverted from landfill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9A14" w14:textId="5016526C" w:rsidR="00216EE0" w:rsidRPr="00092F62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092F62"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  <w:t xml:space="preserve">Percent of household waste is diverted from landfill 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9DED" w14:textId="77777777" w:rsidR="00216EE0" w:rsidRPr="00092F62" w:rsidRDefault="00216EE0" w:rsidP="007D1525">
            <w:pPr>
              <w:spacing w:after="0" w:line="240" w:lineRule="auto"/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092F62">
              <w:rPr>
                <w:rFonts w:ascii="Aptos" w:eastAsia="Times New Roman" w:hAnsi="Aptos" w:cs="Times New Roman"/>
                <w:kern w:val="0"/>
                <w:sz w:val="20"/>
                <w:szCs w:val="20"/>
                <w:highlight w:val="yellow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EE4A78" w14:textId="77777777" w:rsidR="00216EE0" w:rsidRPr="00092F62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proofErr w:type="spellStart"/>
            <w:r w:rsidRPr="00092F62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>DataVic</w:t>
            </w:r>
            <w:proofErr w:type="spellEnd"/>
            <w:r w:rsidRPr="00092F62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 xml:space="preserve"> (Victorian Recycling Industry Annual Survey)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AB8801" w14:textId="77777777" w:rsidR="00216EE0" w:rsidRPr="00092F62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  <w:r w:rsidRPr="00092F62"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8D60DB" w14:textId="77777777" w:rsidR="00216EE0" w:rsidRPr="00092F62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30C0" w14:textId="77777777" w:rsidR="00216EE0" w:rsidRPr="00092F62" w:rsidRDefault="00216EE0" w:rsidP="007D152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kern w:val="0"/>
                <w:sz w:val="20"/>
                <w:szCs w:val="20"/>
                <w:highlight w:val="yellow"/>
                <w14:ligatures w14:val="none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19335" w14:textId="77777777" w:rsidR="00216EE0" w:rsidRPr="00092F62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</w:p>
          <w:p w14:paraId="186934F1" w14:textId="77777777" w:rsidR="00216EE0" w:rsidRPr="00092F62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  <w:r w:rsidRPr="00092F62"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  <w:t>To be advised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91C1C" w14:textId="77777777" w:rsidR="00216EE0" w:rsidRPr="00092F62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CF7B" w14:textId="5416167A" w:rsidR="00216EE0" w:rsidRPr="00092F62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</w:p>
          <w:p w14:paraId="60C45190" w14:textId="197B2FBA" w:rsidR="00216EE0" w:rsidRPr="00092F62" w:rsidRDefault="00216EE0" w:rsidP="007D1525">
            <w:pPr>
              <w:spacing w:line="240" w:lineRule="auto"/>
              <w:jc w:val="center"/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</w:pPr>
            <w:r>
              <w:rPr>
                <w:rFonts w:ascii="Aptos Narrow" w:eastAsia="Times New Roman" w:hAnsi="Aptos Narrow" w:cs="Times New Roman"/>
                <w:sz w:val="20"/>
                <w:szCs w:val="20"/>
                <w:highlight w:val="yellow"/>
              </w:rPr>
              <w:t>Low</w:t>
            </w:r>
          </w:p>
        </w:tc>
      </w:tr>
    </w:tbl>
    <w:p w14:paraId="21D284D1" w14:textId="77777777" w:rsidR="00732C37" w:rsidRPr="0069476B" w:rsidRDefault="00732C37" w:rsidP="00732C37">
      <w:pPr>
        <w:rPr>
          <w:sz w:val="20"/>
          <w:szCs w:val="20"/>
        </w:rPr>
      </w:pPr>
    </w:p>
    <w:p w14:paraId="243E18BA" w14:textId="77777777" w:rsidR="00732C37" w:rsidRPr="006D532C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 w:rsidRPr="006D532C">
        <w:rPr>
          <w:sz w:val="20"/>
          <w:szCs w:val="20"/>
        </w:rPr>
        <w:t>ABS - Australian Bureau of Statistics</w:t>
      </w:r>
    </w:p>
    <w:p w14:paraId="7D475708" w14:textId="77777777" w:rsidR="00732C37" w:rsidRPr="006D532C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 w:rsidRPr="006D532C">
        <w:rPr>
          <w:sz w:val="20"/>
          <w:szCs w:val="20"/>
        </w:rPr>
        <w:t>VISTA - Victoria Integrated Survey of Travel and Activity</w:t>
      </w:r>
    </w:p>
    <w:p w14:paraId="34E2C857" w14:textId="759963B5" w:rsidR="00732C37" w:rsidRPr="006D532C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>
        <w:rPr>
          <w:sz w:val="20"/>
          <w:szCs w:val="20"/>
        </w:rPr>
        <w:t>Data</w:t>
      </w:r>
      <w:r w:rsidR="0018522B">
        <w:rPr>
          <w:sz w:val="20"/>
          <w:szCs w:val="20"/>
        </w:rPr>
        <w:t xml:space="preserve"> </w:t>
      </w:r>
      <w:r>
        <w:rPr>
          <w:sz w:val="20"/>
          <w:szCs w:val="20"/>
        </w:rPr>
        <w:t>Vic</w:t>
      </w:r>
      <w:r w:rsidRPr="006D532C">
        <w:rPr>
          <w:sz w:val="20"/>
          <w:szCs w:val="20"/>
        </w:rPr>
        <w:t xml:space="preserve"> - Victorian Government open data</w:t>
      </w:r>
    </w:p>
    <w:p w14:paraId="7B2C83F3" w14:textId="77777777" w:rsidR="00732C37" w:rsidRPr="006D532C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 w:rsidRPr="006D532C">
        <w:rPr>
          <w:sz w:val="20"/>
          <w:szCs w:val="20"/>
        </w:rPr>
        <w:t>AUO - Australian Urban Observatory</w:t>
      </w:r>
    </w:p>
    <w:p w14:paraId="75CEF304" w14:textId="77777777" w:rsidR="00732C37" w:rsidRPr="006D532C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 w:rsidRPr="006D532C">
        <w:rPr>
          <w:sz w:val="20"/>
          <w:szCs w:val="20"/>
        </w:rPr>
        <w:t>CLUE - Melbourne Census of Land Use and Employment. CLUE survey is ongoing, update every two years.</w:t>
      </w:r>
    </w:p>
    <w:p w14:paraId="1F4DD678" w14:textId="77777777" w:rsidR="00732C37" w:rsidRPr="006D532C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 w:rsidRPr="006D532C">
        <w:rPr>
          <w:sz w:val="20"/>
          <w:szCs w:val="20"/>
        </w:rPr>
        <w:t>AURIN - Australian Urban Research Infrastructure Networks</w:t>
      </w:r>
    </w:p>
    <w:p w14:paraId="0829705F" w14:textId="77777777" w:rsidR="00732C37" w:rsidRDefault="00732C37" w:rsidP="00732C37">
      <w:pPr>
        <w:snapToGrid w:val="0"/>
        <w:spacing w:after="0" w:line="360" w:lineRule="auto"/>
        <w:contextualSpacing/>
        <w:rPr>
          <w:sz w:val="20"/>
          <w:szCs w:val="20"/>
        </w:rPr>
      </w:pPr>
      <w:r w:rsidRPr="006D532C">
        <w:rPr>
          <w:sz w:val="20"/>
          <w:szCs w:val="20"/>
        </w:rPr>
        <w:t>BITRE - Bureau of Infrastructure, Transport, and Regional Economics</w:t>
      </w:r>
    </w:p>
    <w:p w14:paraId="0408C086" w14:textId="77777777" w:rsidR="00513D30" w:rsidRDefault="00513D30" w:rsidP="00732C37">
      <w:pPr>
        <w:snapToGrid w:val="0"/>
        <w:spacing w:after="0" w:line="360" w:lineRule="auto"/>
        <w:contextualSpacing/>
        <w:rPr>
          <w:sz w:val="20"/>
          <w:szCs w:val="20"/>
        </w:rPr>
      </w:pPr>
    </w:p>
    <w:p w14:paraId="36BFBBE2" w14:textId="0CDB0B5C" w:rsidR="00513D30" w:rsidRPr="00513D30" w:rsidRDefault="00513D30" w:rsidP="00732C37">
      <w:pPr>
        <w:snapToGrid w:val="0"/>
        <w:spacing w:after="0" w:line="360" w:lineRule="auto"/>
        <w:contextualSpacing/>
        <w:rPr>
          <w:b/>
          <w:bCs/>
          <w:sz w:val="20"/>
          <w:szCs w:val="20"/>
        </w:rPr>
      </w:pPr>
      <w:r w:rsidRPr="00513D30">
        <w:rPr>
          <w:b/>
          <w:bCs/>
          <w:sz w:val="20"/>
          <w:szCs w:val="20"/>
        </w:rPr>
        <w:lastRenderedPageBreak/>
        <w:t>Spatial layers</w:t>
      </w:r>
      <w:r w:rsidR="00FE0489">
        <w:rPr>
          <w:b/>
          <w:bCs/>
          <w:sz w:val="20"/>
          <w:szCs w:val="20"/>
        </w:rPr>
        <w:t xml:space="preserve"> to be considered</w:t>
      </w:r>
      <w:r w:rsidRPr="00513D30">
        <w:rPr>
          <w:b/>
          <w:bCs/>
          <w:sz w:val="20"/>
          <w:szCs w:val="20"/>
        </w:rPr>
        <w:t xml:space="preserve"> </w:t>
      </w:r>
      <w:r w:rsidR="005C2744">
        <w:rPr>
          <w:b/>
          <w:bCs/>
          <w:sz w:val="20"/>
          <w:szCs w:val="20"/>
        </w:rPr>
        <w:t xml:space="preserve">for </w:t>
      </w:r>
      <w:r w:rsidRPr="00513D30">
        <w:rPr>
          <w:b/>
          <w:bCs/>
          <w:sz w:val="20"/>
          <w:szCs w:val="20"/>
        </w:rPr>
        <w:t xml:space="preserve">the visualisation platform </w:t>
      </w:r>
      <w:r w:rsidR="00BF441E">
        <w:rPr>
          <w:b/>
          <w:bCs/>
          <w:sz w:val="20"/>
          <w:szCs w:val="20"/>
        </w:rPr>
        <w:t>(from small to large spatial units)</w:t>
      </w:r>
    </w:p>
    <w:p w14:paraId="752CFC26" w14:textId="77777777" w:rsidR="00BF441E" w:rsidRDefault="00BF441E" w:rsidP="00BF441E">
      <w:pPr>
        <w:pStyle w:val="ListParagraph"/>
        <w:numPr>
          <w:ilvl w:val="0"/>
          <w:numId w:val="29"/>
        </w:numPr>
        <w:snapToGrid w:val="0"/>
        <w:spacing w:after="0" w:line="360" w:lineRule="auto"/>
        <w:rPr>
          <w:sz w:val="20"/>
          <w:szCs w:val="20"/>
        </w:rPr>
      </w:pPr>
      <w:r w:rsidRPr="00513D30">
        <w:rPr>
          <w:sz w:val="20"/>
          <w:szCs w:val="20"/>
        </w:rPr>
        <w:t>CLUE block</w:t>
      </w:r>
      <w:r>
        <w:rPr>
          <w:sz w:val="20"/>
          <w:szCs w:val="20"/>
        </w:rPr>
        <w:t xml:space="preserve"> (for City of Melbourne’s census of land use and employment survey)</w:t>
      </w:r>
    </w:p>
    <w:p w14:paraId="7F500BC8" w14:textId="08B1C43A" w:rsidR="00513D30" w:rsidRPr="00F67385" w:rsidRDefault="00513D30" w:rsidP="00F67385">
      <w:pPr>
        <w:pStyle w:val="ListParagraph"/>
        <w:numPr>
          <w:ilvl w:val="0"/>
          <w:numId w:val="29"/>
        </w:numPr>
        <w:snapToGrid w:val="0"/>
        <w:spacing w:after="0" w:line="360" w:lineRule="auto"/>
        <w:rPr>
          <w:sz w:val="20"/>
          <w:szCs w:val="20"/>
        </w:rPr>
      </w:pPr>
      <w:r w:rsidRPr="00513D30">
        <w:rPr>
          <w:sz w:val="20"/>
          <w:szCs w:val="20"/>
        </w:rPr>
        <w:t>SA1</w:t>
      </w:r>
    </w:p>
    <w:p w14:paraId="61D2E3F0" w14:textId="2A040B04" w:rsidR="00001180" w:rsidRDefault="005E6D10" w:rsidP="00513D30">
      <w:pPr>
        <w:pStyle w:val="ListParagraph"/>
        <w:numPr>
          <w:ilvl w:val="0"/>
          <w:numId w:val="29"/>
        </w:numPr>
        <w:snapToGrid w:val="0"/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ABS </w:t>
      </w:r>
      <w:r w:rsidR="00001180">
        <w:rPr>
          <w:sz w:val="20"/>
          <w:szCs w:val="20"/>
        </w:rPr>
        <w:t>Journey to work destination zone (for ABS employment data)</w:t>
      </w:r>
    </w:p>
    <w:p w14:paraId="6FB183D0" w14:textId="4450004D" w:rsidR="005E6D10" w:rsidRDefault="005E6D10" w:rsidP="00513D30">
      <w:pPr>
        <w:pStyle w:val="ListParagraph"/>
        <w:numPr>
          <w:ilvl w:val="0"/>
          <w:numId w:val="29"/>
        </w:numPr>
        <w:snapToGrid w:val="0"/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SA2</w:t>
      </w:r>
    </w:p>
    <w:p w14:paraId="169411EE" w14:textId="637822DE" w:rsidR="00DF127F" w:rsidRPr="00513D30" w:rsidRDefault="00DF127F" w:rsidP="00513D30">
      <w:pPr>
        <w:pStyle w:val="ListParagraph"/>
        <w:numPr>
          <w:ilvl w:val="0"/>
          <w:numId w:val="29"/>
        </w:numPr>
        <w:snapToGrid w:val="0"/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Precinct boundary </w:t>
      </w:r>
    </w:p>
    <w:p w14:paraId="0AE56D9F" w14:textId="77777777" w:rsidR="0037430D" w:rsidRDefault="0037430D"/>
    <w:sectPr w:rsidR="0037430D" w:rsidSect="00732C37">
      <w:footerReference w:type="default" r:id="rId19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0894A" w14:textId="77777777" w:rsidR="00CE4DDB" w:rsidRDefault="00CE4DDB" w:rsidP="00732C37">
      <w:pPr>
        <w:spacing w:after="0" w:line="240" w:lineRule="auto"/>
      </w:pPr>
      <w:r>
        <w:separator/>
      </w:r>
    </w:p>
  </w:endnote>
  <w:endnote w:type="continuationSeparator" w:id="0">
    <w:p w14:paraId="53A461B8" w14:textId="77777777" w:rsidR="00CE4DDB" w:rsidRDefault="00CE4DDB" w:rsidP="0073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08002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74B81F" w14:textId="74280A44" w:rsidR="00732C37" w:rsidRDefault="00732C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104CCE" w14:textId="77777777" w:rsidR="00732C37" w:rsidRDefault="00732C3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8CD70" w14:textId="77777777" w:rsidR="00CE4DDB" w:rsidRDefault="00CE4DDB" w:rsidP="00732C37">
      <w:pPr>
        <w:spacing w:after="0" w:line="240" w:lineRule="auto"/>
      </w:pPr>
      <w:r>
        <w:separator/>
      </w:r>
    </w:p>
  </w:footnote>
  <w:footnote w:type="continuationSeparator" w:id="0">
    <w:p w14:paraId="073CD142" w14:textId="77777777" w:rsidR="00CE4DDB" w:rsidRDefault="00CE4DDB" w:rsidP="0073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C5C6A"/>
    <w:multiLevelType w:val="hybridMultilevel"/>
    <w:tmpl w:val="4A946FB6"/>
    <w:lvl w:ilvl="0" w:tplc="2BCA2BB4">
      <w:start w:val="1"/>
      <w:numFmt w:val="decimal"/>
      <w:lvlText w:val="%1"/>
      <w:lvlJc w:val="left"/>
      <w:pPr>
        <w:ind w:left="644" w:hanging="360"/>
      </w:pPr>
      <w:rPr>
        <w:rFonts w:eastAsiaTheme="majorEastAsia"/>
        <w:color w:val="auto"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>
      <w:start w:val="1"/>
      <w:numFmt w:val="lowerRoman"/>
      <w:lvlText w:val="%3."/>
      <w:lvlJc w:val="right"/>
      <w:pPr>
        <w:ind w:left="2084" w:hanging="180"/>
      </w:pPr>
    </w:lvl>
    <w:lvl w:ilvl="3" w:tplc="0C09000F">
      <w:start w:val="1"/>
      <w:numFmt w:val="decimal"/>
      <w:lvlText w:val="%4."/>
      <w:lvlJc w:val="left"/>
      <w:pPr>
        <w:ind w:left="2804" w:hanging="360"/>
      </w:pPr>
    </w:lvl>
    <w:lvl w:ilvl="4" w:tplc="0C090019">
      <w:start w:val="1"/>
      <w:numFmt w:val="lowerLetter"/>
      <w:lvlText w:val="%5."/>
      <w:lvlJc w:val="left"/>
      <w:pPr>
        <w:ind w:left="3524" w:hanging="360"/>
      </w:pPr>
    </w:lvl>
    <w:lvl w:ilvl="5" w:tplc="0C09001B">
      <w:start w:val="1"/>
      <w:numFmt w:val="lowerRoman"/>
      <w:lvlText w:val="%6."/>
      <w:lvlJc w:val="right"/>
      <w:pPr>
        <w:ind w:left="4244" w:hanging="180"/>
      </w:pPr>
    </w:lvl>
    <w:lvl w:ilvl="6" w:tplc="0C09000F">
      <w:start w:val="1"/>
      <w:numFmt w:val="decimal"/>
      <w:lvlText w:val="%7."/>
      <w:lvlJc w:val="left"/>
      <w:pPr>
        <w:ind w:left="4964" w:hanging="360"/>
      </w:pPr>
    </w:lvl>
    <w:lvl w:ilvl="7" w:tplc="0C090019">
      <w:start w:val="1"/>
      <w:numFmt w:val="lowerLetter"/>
      <w:lvlText w:val="%8."/>
      <w:lvlJc w:val="left"/>
      <w:pPr>
        <w:ind w:left="5684" w:hanging="360"/>
      </w:pPr>
    </w:lvl>
    <w:lvl w:ilvl="8" w:tplc="0C0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11F378"/>
    <w:multiLevelType w:val="hybridMultilevel"/>
    <w:tmpl w:val="59F8E576"/>
    <w:lvl w:ilvl="0" w:tplc="965CF28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59E3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30D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C8B1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4059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0D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E16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5C75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30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539A7"/>
    <w:multiLevelType w:val="hybridMultilevel"/>
    <w:tmpl w:val="019C18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5F8"/>
    <w:multiLevelType w:val="multilevel"/>
    <w:tmpl w:val="67EC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1F531B"/>
    <w:multiLevelType w:val="hybridMultilevel"/>
    <w:tmpl w:val="E94A65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C6DF2"/>
    <w:multiLevelType w:val="hybridMultilevel"/>
    <w:tmpl w:val="7B1C56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264E2"/>
    <w:multiLevelType w:val="hybridMultilevel"/>
    <w:tmpl w:val="CA247012"/>
    <w:lvl w:ilvl="0" w:tplc="61184DD2">
      <w:start w:val="1992"/>
      <w:numFmt w:val="bullet"/>
      <w:lvlText w:val=""/>
      <w:lvlJc w:val="left"/>
      <w:pPr>
        <w:ind w:left="396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7" w15:restartNumberingAfterBreak="0">
    <w:nsid w:val="185D4B90"/>
    <w:multiLevelType w:val="multilevel"/>
    <w:tmpl w:val="0BF63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942014"/>
    <w:multiLevelType w:val="hybridMultilevel"/>
    <w:tmpl w:val="F72C0E62"/>
    <w:lvl w:ilvl="0" w:tplc="2F1EDD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74AD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B0A9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DCD6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AE8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004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83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1A8C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8E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54423E"/>
    <w:multiLevelType w:val="hybridMultilevel"/>
    <w:tmpl w:val="F948E3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7D28BA"/>
    <w:multiLevelType w:val="hybridMultilevel"/>
    <w:tmpl w:val="5A247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0E3237"/>
    <w:multiLevelType w:val="hybridMultilevel"/>
    <w:tmpl w:val="246A70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B6EFC"/>
    <w:multiLevelType w:val="multilevel"/>
    <w:tmpl w:val="16D44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CE26EA"/>
    <w:multiLevelType w:val="multilevel"/>
    <w:tmpl w:val="479A3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B4D876"/>
    <w:multiLevelType w:val="hybridMultilevel"/>
    <w:tmpl w:val="6004DF40"/>
    <w:lvl w:ilvl="0" w:tplc="2DB03A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C566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5AD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D6C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6CC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1CD7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E857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94B2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2290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05A77"/>
    <w:multiLevelType w:val="multilevel"/>
    <w:tmpl w:val="AFB8C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4B3796"/>
    <w:multiLevelType w:val="hybridMultilevel"/>
    <w:tmpl w:val="43044A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7957E5"/>
    <w:multiLevelType w:val="multilevel"/>
    <w:tmpl w:val="7114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214249"/>
    <w:multiLevelType w:val="hybridMultilevel"/>
    <w:tmpl w:val="962476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21A10"/>
    <w:multiLevelType w:val="multilevel"/>
    <w:tmpl w:val="207A5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A0009B7"/>
    <w:multiLevelType w:val="multilevel"/>
    <w:tmpl w:val="EBF25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CEA3A5A"/>
    <w:multiLevelType w:val="multilevel"/>
    <w:tmpl w:val="BCA8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6AD3BA1"/>
    <w:multiLevelType w:val="hybridMultilevel"/>
    <w:tmpl w:val="8EC242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C6B59"/>
    <w:multiLevelType w:val="multilevel"/>
    <w:tmpl w:val="F76E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AA0DB8D"/>
    <w:multiLevelType w:val="hybridMultilevel"/>
    <w:tmpl w:val="D5FE2F1E"/>
    <w:lvl w:ilvl="0" w:tplc="005040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4808B2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1AD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B67B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1E4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7EC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CAB7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F01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AF1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A43A9"/>
    <w:multiLevelType w:val="multilevel"/>
    <w:tmpl w:val="E7CE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5641269"/>
    <w:multiLevelType w:val="hybridMultilevel"/>
    <w:tmpl w:val="989290BC"/>
    <w:lvl w:ilvl="0" w:tplc="FDFA2B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60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2688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F61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6F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1AE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007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56DC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6A9E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FE1804"/>
    <w:multiLevelType w:val="hybridMultilevel"/>
    <w:tmpl w:val="AF9C7836"/>
    <w:lvl w:ilvl="0" w:tplc="0D72290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C4638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68FE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42C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1EA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E6F8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C7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C4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10E3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2E1BFE"/>
    <w:multiLevelType w:val="hybridMultilevel"/>
    <w:tmpl w:val="45FEA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089078">
    <w:abstractNumId w:val="14"/>
  </w:num>
  <w:num w:numId="2" w16cid:durableId="1432317406">
    <w:abstractNumId w:val="24"/>
  </w:num>
  <w:num w:numId="3" w16cid:durableId="1561750399">
    <w:abstractNumId w:val="27"/>
  </w:num>
  <w:num w:numId="4" w16cid:durableId="593830162">
    <w:abstractNumId w:val="8"/>
  </w:num>
  <w:num w:numId="5" w16cid:durableId="2059354995">
    <w:abstractNumId w:val="1"/>
  </w:num>
  <w:num w:numId="6" w16cid:durableId="2009015091">
    <w:abstractNumId w:val="10"/>
  </w:num>
  <w:num w:numId="7" w16cid:durableId="2095975627">
    <w:abstractNumId w:val="22"/>
  </w:num>
  <w:num w:numId="8" w16cid:durableId="887377091">
    <w:abstractNumId w:val="3"/>
  </w:num>
  <w:num w:numId="9" w16cid:durableId="1852648276">
    <w:abstractNumId w:val="17"/>
  </w:num>
  <w:num w:numId="10" w16cid:durableId="618343311">
    <w:abstractNumId w:val="15"/>
  </w:num>
  <w:num w:numId="11" w16cid:durableId="817645913">
    <w:abstractNumId w:val="5"/>
  </w:num>
  <w:num w:numId="12" w16cid:durableId="17059101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95230257">
    <w:abstractNumId w:val="28"/>
  </w:num>
  <w:num w:numId="14" w16cid:durableId="1414088978">
    <w:abstractNumId w:val="2"/>
  </w:num>
  <w:num w:numId="15" w16cid:durableId="242494901">
    <w:abstractNumId w:val="13"/>
  </w:num>
  <w:num w:numId="16" w16cid:durableId="1709455062">
    <w:abstractNumId w:val="7"/>
  </w:num>
  <w:num w:numId="17" w16cid:durableId="294334549">
    <w:abstractNumId w:val="12"/>
  </w:num>
  <w:num w:numId="18" w16cid:durableId="874538652">
    <w:abstractNumId w:val="19"/>
  </w:num>
  <w:num w:numId="19" w16cid:durableId="2064481727">
    <w:abstractNumId w:val="23"/>
  </w:num>
  <w:num w:numId="20" w16cid:durableId="1594969496">
    <w:abstractNumId w:val="25"/>
  </w:num>
  <w:num w:numId="21" w16cid:durableId="1690638693">
    <w:abstractNumId w:val="21"/>
  </w:num>
  <w:num w:numId="22" w16cid:durableId="392121488">
    <w:abstractNumId w:val="26"/>
  </w:num>
  <w:num w:numId="23" w16cid:durableId="1552114955">
    <w:abstractNumId w:val="6"/>
  </w:num>
  <w:num w:numId="24" w16cid:durableId="1957979455">
    <w:abstractNumId w:val="20"/>
  </w:num>
  <w:num w:numId="25" w16cid:durableId="2118255529">
    <w:abstractNumId w:val="0"/>
  </w:num>
  <w:num w:numId="26" w16cid:durableId="1803188997">
    <w:abstractNumId w:val="16"/>
  </w:num>
  <w:num w:numId="27" w16cid:durableId="1461416554">
    <w:abstractNumId w:val="4"/>
  </w:num>
  <w:num w:numId="28" w16cid:durableId="625506199">
    <w:abstractNumId w:val="11"/>
  </w:num>
  <w:num w:numId="29" w16cid:durableId="623731832">
    <w:abstractNumId w:val="9"/>
  </w:num>
  <w:num w:numId="30" w16cid:durableId="82924978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tDCxMDO0MDe1MDY2NzFX0lEKTi0uzszPAykwqgUAjohT2ywAAAA="/>
  </w:docVars>
  <w:rsids>
    <w:rsidRoot w:val="00732C37"/>
    <w:rsid w:val="00001180"/>
    <w:rsid w:val="00005B85"/>
    <w:rsid w:val="00005D09"/>
    <w:rsid w:val="0004001E"/>
    <w:rsid w:val="000610C1"/>
    <w:rsid w:val="00063401"/>
    <w:rsid w:val="00065D93"/>
    <w:rsid w:val="00066D6C"/>
    <w:rsid w:val="00067CBF"/>
    <w:rsid w:val="00092F62"/>
    <w:rsid w:val="000B120C"/>
    <w:rsid w:val="0010133D"/>
    <w:rsid w:val="001237D5"/>
    <w:rsid w:val="00157CF1"/>
    <w:rsid w:val="001711F7"/>
    <w:rsid w:val="0018522B"/>
    <w:rsid w:val="00191D7A"/>
    <w:rsid w:val="001B29AA"/>
    <w:rsid w:val="001E55E1"/>
    <w:rsid w:val="00216EE0"/>
    <w:rsid w:val="00240E9C"/>
    <w:rsid w:val="00293399"/>
    <w:rsid w:val="002A6137"/>
    <w:rsid w:val="002C52C6"/>
    <w:rsid w:val="003466B8"/>
    <w:rsid w:val="0037430D"/>
    <w:rsid w:val="003E686A"/>
    <w:rsid w:val="004509B3"/>
    <w:rsid w:val="00455D4A"/>
    <w:rsid w:val="00466E9B"/>
    <w:rsid w:val="00467A71"/>
    <w:rsid w:val="005070AF"/>
    <w:rsid w:val="00513D30"/>
    <w:rsid w:val="0052228F"/>
    <w:rsid w:val="00570794"/>
    <w:rsid w:val="00580766"/>
    <w:rsid w:val="005B1D80"/>
    <w:rsid w:val="005C2744"/>
    <w:rsid w:val="005E6D10"/>
    <w:rsid w:val="00616AF9"/>
    <w:rsid w:val="006E7970"/>
    <w:rsid w:val="006F0F9D"/>
    <w:rsid w:val="006F4E97"/>
    <w:rsid w:val="007004C5"/>
    <w:rsid w:val="00732C37"/>
    <w:rsid w:val="007728AE"/>
    <w:rsid w:val="007B428A"/>
    <w:rsid w:val="007B487D"/>
    <w:rsid w:val="007B7C5F"/>
    <w:rsid w:val="007C713C"/>
    <w:rsid w:val="007D0062"/>
    <w:rsid w:val="007D1525"/>
    <w:rsid w:val="007F7B3A"/>
    <w:rsid w:val="00803D17"/>
    <w:rsid w:val="008127DA"/>
    <w:rsid w:val="00820720"/>
    <w:rsid w:val="008B19A8"/>
    <w:rsid w:val="008C4C78"/>
    <w:rsid w:val="008D02DD"/>
    <w:rsid w:val="008E3FA4"/>
    <w:rsid w:val="008F075F"/>
    <w:rsid w:val="009801EC"/>
    <w:rsid w:val="0098620E"/>
    <w:rsid w:val="009873A9"/>
    <w:rsid w:val="009B203F"/>
    <w:rsid w:val="009C734E"/>
    <w:rsid w:val="009F2A35"/>
    <w:rsid w:val="009F3599"/>
    <w:rsid w:val="00A059B0"/>
    <w:rsid w:val="00A36B6B"/>
    <w:rsid w:val="00A743FC"/>
    <w:rsid w:val="00A779DD"/>
    <w:rsid w:val="00A964F0"/>
    <w:rsid w:val="00AB5425"/>
    <w:rsid w:val="00AC204B"/>
    <w:rsid w:val="00AC4792"/>
    <w:rsid w:val="00B10AC1"/>
    <w:rsid w:val="00B14B7A"/>
    <w:rsid w:val="00B209D4"/>
    <w:rsid w:val="00B430F7"/>
    <w:rsid w:val="00B45CF3"/>
    <w:rsid w:val="00B77388"/>
    <w:rsid w:val="00BD5590"/>
    <w:rsid w:val="00BD5F17"/>
    <w:rsid w:val="00BF1440"/>
    <w:rsid w:val="00BF31A5"/>
    <w:rsid w:val="00BF441E"/>
    <w:rsid w:val="00C36270"/>
    <w:rsid w:val="00C51563"/>
    <w:rsid w:val="00C67803"/>
    <w:rsid w:val="00C761CB"/>
    <w:rsid w:val="00C76F82"/>
    <w:rsid w:val="00C86BCC"/>
    <w:rsid w:val="00C92289"/>
    <w:rsid w:val="00CA5C75"/>
    <w:rsid w:val="00CD4AB4"/>
    <w:rsid w:val="00CE4DDB"/>
    <w:rsid w:val="00CE77BB"/>
    <w:rsid w:val="00CF5A0E"/>
    <w:rsid w:val="00D23177"/>
    <w:rsid w:val="00D5644F"/>
    <w:rsid w:val="00D72AC9"/>
    <w:rsid w:val="00DA7D21"/>
    <w:rsid w:val="00DD1298"/>
    <w:rsid w:val="00DD1E2A"/>
    <w:rsid w:val="00DF0CA1"/>
    <w:rsid w:val="00DF127F"/>
    <w:rsid w:val="00DF19EF"/>
    <w:rsid w:val="00E56128"/>
    <w:rsid w:val="00E85DB1"/>
    <w:rsid w:val="00E917E5"/>
    <w:rsid w:val="00F40A67"/>
    <w:rsid w:val="00F60DE1"/>
    <w:rsid w:val="00F67385"/>
    <w:rsid w:val="00FD486D"/>
    <w:rsid w:val="00FE0489"/>
    <w:rsid w:val="00FF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FF19"/>
  <w15:chartTrackingRefBased/>
  <w15:docId w15:val="{EF7C47B4-4952-4637-A5CD-EF3082AB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2C37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2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2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2C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2C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2C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2C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2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32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2C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2C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2C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2C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2C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2C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2C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2C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2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2C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C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2C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2C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2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C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2C3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32C3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32C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C3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32C3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C37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C37"/>
    <w:rPr>
      <w:lang w:eastAsia="en-US"/>
    </w:rPr>
  </w:style>
  <w:style w:type="table" w:styleId="TableGrid">
    <w:name w:val="Table Grid"/>
    <w:basedOn w:val="TableNormal"/>
    <w:uiPriority w:val="39"/>
    <w:rsid w:val="00732C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73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tabchar">
    <w:name w:val="tabchar"/>
    <w:basedOn w:val="DefaultParagraphFont"/>
    <w:rsid w:val="00732C37"/>
  </w:style>
  <w:style w:type="character" w:customStyle="1" w:styleId="normaltextrun">
    <w:name w:val="normaltextrun"/>
    <w:basedOn w:val="DefaultParagraphFont"/>
    <w:rsid w:val="00732C37"/>
  </w:style>
  <w:style w:type="character" w:customStyle="1" w:styleId="eop">
    <w:name w:val="eop"/>
    <w:basedOn w:val="DefaultParagraphFont"/>
    <w:rsid w:val="00732C37"/>
  </w:style>
  <w:style w:type="table" w:styleId="GridTable4-Accent1">
    <w:name w:val="Grid Table 4 Accent 1"/>
    <w:basedOn w:val="TableNormal"/>
    <w:uiPriority w:val="49"/>
    <w:rsid w:val="00732C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732C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732C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5Dark-Accent3">
    <w:name w:val="Grid Table 5 Dark Accent 3"/>
    <w:basedOn w:val="TableNormal"/>
    <w:uiPriority w:val="50"/>
    <w:rsid w:val="00732C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0C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6B24" w:themeFill="accent3"/>
      </w:tcPr>
    </w:tblStylePr>
    <w:tblStylePr w:type="band1Vert">
      <w:tblPr/>
      <w:tcPr>
        <w:shd w:val="clear" w:color="auto" w:fill="84E290" w:themeFill="accent3" w:themeFillTint="66"/>
      </w:tcPr>
    </w:tblStylePr>
    <w:tblStylePr w:type="band1Horz">
      <w:tblPr/>
      <w:tcPr>
        <w:shd w:val="clear" w:color="auto" w:fill="84E290" w:themeFill="accent3" w:themeFillTint="66"/>
      </w:tcPr>
    </w:tblStylePr>
  </w:style>
  <w:style w:type="table" w:styleId="GridTable4">
    <w:name w:val="Grid Table 4"/>
    <w:basedOn w:val="TableNormal"/>
    <w:uiPriority w:val="49"/>
    <w:rsid w:val="00732C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3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styleId="Revision">
    <w:name w:val="Revision"/>
    <w:hidden/>
    <w:uiPriority w:val="99"/>
    <w:semiHidden/>
    <w:rsid w:val="00732C37"/>
    <w:pPr>
      <w:spacing w:after="0" w:line="240" w:lineRule="auto"/>
    </w:pPr>
    <w:rPr>
      <w:lang w:eastAsia="en-US"/>
    </w:rPr>
  </w:style>
  <w:style w:type="table" w:styleId="GridTable1Light">
    <w:name w:val="Grid Table 1 Light"/>
    <w:basedOn w:val="TableNormal"/>
    <w:uiPriority w:val="46"/>
    <w:rsid w:val="00732C37"/>
    <w:pPr>
      <w:spacing w:after="0" w:line="240" w:lineRule="auto"/>
    </w:pPr>
    <w:rPr>
      <w:lang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3">
    <w:name w:val="toc 3"/>
    <w:basedOn w:val="Normal"/>
    <w:next w:val="Normal"/>
    <w:autoRedefine/>
    <w:uiPriority w:val="39"/>
    <w:unhideWhenUsed/>
    <w:rsid w:val="00732C37"/>
    <w:pPr>
      <w:spacing w:after="100" w:line="259" w:lineRule="auto"/>
      <w:ind w:left="440"/>
    </w:pPr>
    <w:rPr>
      <w:rFonts w:cs="Times New Roman"/>
      <w:kern w:val="0"/>
      <w:sz w:val="22"/>
      <w:szCs w:val="22"/>
      <w:lang w:val="en-US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732C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32C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32C37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2C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2C37"/>
    <w:rPr>
      <w:b/>
      <w:bCs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32C3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732C37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32C37"/>
    <w:rPr>
      <w:kern w:val="0"/>
      <w:sz w:val="22"/>
      <w:szCs w:val="22"/>
      <w:lang w:val="en-US" w:eastAsia="en-US"/>
      <w14:ligatures w14:val="none"/>
    </w:rPr>
  </w:style>
  <w:style w:type="table" w:styleId="ListTable3">
    <w:name w:val="List Table 3"/>
    <w:basedOn w:val="TableNormal"/>
    <w:uiPriority w:val="48"/>
    <w:rsid w:val="00732C37"/>
    <w:pPr>
      <w:spacing w:after="0" w:line="240" w:lineRule="auto"/>
    </w:pPr>
    <w:rPr>
      <w:rFonts w:eastAsiaTheme="minorHAnsi"/>
      <w:kern w:val="0"/>
      <w:lang w:eastAsia="en-US"/>
      <w14:ligatures w14:val="none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32C37"/>
    <w:rPr>
      <w:color w:val="96607D" w:themeColor="followedHyperlink"/>
      <w:u w:val="single"/>
    </w:rPr>
  </w:style>
  <w:style w:type="paragraph" w:customStyle="1" w:styleId="msonormal0">
    <w:name w:val="msonormal"/>
    <w:basedOn w:val="Normal"/>
    <w:rsid w:val="00732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cf01">
    <w:name w:val="cf01"/>
    <w:basedOn w:val="DefaultParagraphFont"/>
    <w:rsid w:val="00732C37"/>
    <w:rPr>
      <w:rFonts w:ascii="Segoe UI" w:hAnsi="Segoe UI" w:cs="Segoe UI" w:hint="default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32C37"/>
  </w:style>
  <w:style w:type="character" w:customStyle="1" w:styleId="DateChar">
    <w:name w:val="Date Char"/>
    <w:basedOn w:val="DefaultParagraphFont"/>
    <w:link w:val="Date"/>
    <w:uiPriority w:val="99"/>
    <w:semiHidden/>
    <w:rsid w:val="00732C3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uo.org.au/portal/metadata/social-infrastructure-mix-index/" TargetMode="External"/><Relationship Id="rId13" Type="http://schemas.openxmlformats.org/officeDocument/2006/relationships/hyperlink" Target="https://www.abs.gov.au/statistics/health/health-conditions-and-risks/physical-activity/latest-release" TargetMode="External"/><Relationship Id="rId18" Type="http://schemas.openxmlformats.org/officeDocument/2006/relationships/hyperlink" Target="https://metashare.maps.vic.gov.au/geonetwork/srv/api/records/70c2a62b-85b4-5191-8fbb-67ed43117bf1/formatters/sdm-html?root=html&amp;output=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uo.org.au/portal/metadata/housing/" TargetMode="External"/><Relationship Id="rId17" Type="http://schemas.openxmlformats.org/officeDocument/2006/relationships/hyperlink" Target="https://data.aurin.org.au/dataset/hvi_cityofgreatermelbourne_sa1_202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ata.melbourne.vic.gov.au/pages/clue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bs.gov.au/census/guide-census-data/census-dictionary/latest-releas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.melbourne.vic.gov.au/pages/clue/" TargetMode="External"/><Relationship Id="rId10" Type="http://schemas.openxmlformats.org/officeDocument/2006/relationships/hyperlink" Target="https://www.land.vic.gov.au/maps-and-spatial/spatial-data/vicmap-catalogue/vicmap-planning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uo.org.au/portal/metadata/social-infrastructure-mix-index/" TargetMode="External"/><Relationship Id="rId14" Type="http://schemas.openxmlformats.org/officeDocument/2006/relationships/hyperlink" Target="https://data.melbourne.vic.gov.au/pages/clu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346E6-FC34-49F3-997F-4FC930A88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li</dc:creator>
  <cp:keywords/>
  <dc:description/>
  <cp:lastModifiedBy>terry li</cp:lastModifiedBy>
  <cp:revision>103</cp:revision>
  <dcterms:created xsi:type="dcterms:W3CDTF">2025-08-04T04:05:00Z</dcterms:created>
  <dcterms:modified xsi:type="dcterms:W3CDTF">2025-08-04T07:16:00Z</dcterms:modified>
</cp:coreProperties>
</file>