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sz w:val="32"/>
        </w:rPr>
        <w:t>Expressão diferencial no hepatocarcinoma: o que permanece após ajustar por clínica, lote e composição celular?</w:t>
      </w:r>
    </w:p>
    <w:p>
      <w:pPr>
        <w:spacing w:after="200"/>
        <w:jc w:val="center"/>
      </w:pPr>
      <w:r>
        <w:rPr>
          <w:rFonts w:ascii="Times New Roman" w:hAnsi="Times New Roman"/>
          <w:i/>
          <w:sz w:val="24"/>
        </w:rPr>
        <w:t>Um estudo exploratório com TCGA-LIHC e GTEx em Homo sapiens</w:t>
      </w:r>
    </w:p>
    <w:p>
      <w:pPr>
        <w:spacing w:after="40"/>
        <w:jc w:val="center"/>
      </w:pPr>
      <w:r>
        <w:rPr>
          <w:rFonts w:ascii="Times New Roman" w:hAnsi="Times New Roman"/>
          <w:b/>
          <w:sz w:val="24"/>
        </w:rPr>
        <w:t>Ryan Santos</w:t>
      </w:r>
    </w:p>
    <w:p>
      <w:pPr>
        <w:spacing w:after="240"/>
        <w:jc w:val="center"/>
      </w:pPr>
      <w:r>
        <w:rPr>
          <w:rFonts w:ascii="Times New Roman" w:hAnsi="Times New Roman"/>
          <w:sz w:val="20"/>
        </w:rPr>
        <w:t>Análise de dados públicos • 26 de outubro de 2026</w:t>
      </w:r>
    </w:p>
    <w:p>
      <w:pPr>
        <w:keepNext/>
        <w:spacing w:before="280" w:after="120"/>
        <w:jc w:val="left"/>
      </w:pPr>
      <w:r>
        <w:rPr>
          <w:rFonts w:ascii="Times New Roman" w:hAnsi="Times New Roman"/>
          <w:b/>
          <w:sz w:val="26"/>
        </w:rPr>
        <w:t>BASES DE DADOS, SOFTWARE E VERSÕES</w:t>
      </w:r>
    </w:p>
    <w:p>
      <w:pPr>
        <w:spacing w:before="0" w:after="120" w:line="360" w:lineRule="auto"/>
        <w:jc w:val="both"/>
      </w:pPr>
      <w:r>
        <w:rPr>
          <w:rFonts w:ascii="Times New Roman" w:hAnsi="Times New Roman" w:eastAsia="Times New Roman"/>
          <w:b/>
          <w:i w:val="0"/>
          <w:sz w:val="24"/>
        </w:rPr>
        <w:t xml:space="preserve">Snapshots e versões. </w:t>
      </w:r>
      <w:r>
        <w:rPr>
          <w:rFonts w:ascii="Times New Roman" w:hAnsi="Times New Roman" w:eastAsia="Times New Roman"/>
          <w:b w:val="0"/>
          <w:i w:val="0"/>
          <w:sz w:val="24"/>
        </w:rPr>
        <w:t>Esta seção registra as versões usadas na análise. A reprodutibilidade completa exige os mesmos snapshots e versões, ou equivalentes compatíveis; as datas indicam o acesso aos dados públicos.</w:t>
      </w:r>
    </w:p>
    <w:p>
      <w:pPr>
        <w:keepNext/>
        <w:spacing w:before="80" w:after="160" w:line="240" w:lineRule="auto"/>
        <w:jc w:val="left"/>
      </w:pPr>
      <w:r>
        <w:rPr>
          <w:rFonts w:ascii="Times New Roman" w:hAnsi="Times New Roman"/>
          <w:b/>
          <w:sz w:val="22"/>
        </w:rPr>
        <w:t xml:space="preserve">Quadro 1. </w:t>
      </w:r>
      <w:r>
        <w:rPr>
          <w:rFonts w:ascii="Times New Roman" w:hAnsi="Times New Roman"/>
          <w:sz w:val="22"/>
        </w:rPr>
        <w:t>Bases de dados e recursos externos. O Quadro é informativo e não substitui as referências metodológicas citadas no texto.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154"/>
            <w:shd w:fill="D9E2F3"/>
          </w:tcPr>
          <w:p>
            <w:pPr>
              <w:keepNext/>
              <w:jc w:val="center"/>
            </w:pPr>
            <w:r/>
            <w:r>
              <w:rPr>
                <w:rFonts w:ascii="Times New Roman" w:hAnsi="Times New Roman"/>
                <w:b/>
                <w:sz w:val="16"/>
              </w:rPr>
              <w:t>Base / recurso</w:t>
            </w:r>
          </w:p>
        </w:tc>
        <w:tc>
          <w:tcPr>
            <w:tcW w:type="dxa" w:w="3969"/>
            <w:shd w:fill="D9E2F3"/>
          </w:tcPr>
          <w:p>
            <w:pPr>
              <w:keepNext/>
              <w:jc w:val="center"/>
            </w:pPr>
            <w:r/>
            <w:r>
              <w:rPr>
                <w:rFonts w:ascii="Times New Roman" w:hAnsi="Times New Roman"/>
                <w:b/>
                <w:sz w:val="16"/>
              </w:rPr>
              <w:t>Versão / release</w:t>
            </w:r>
          </w:p>
        </w:tc>
        <w:tc>
          <w:tcPr>
            <w:tcW w:type="dxa" w:w="3402"/>
            <w:shd w:fill="D9E2F3"/>
          </w:tcPr>
          <w:p>
            <w:pPr>
              <w:keepNext/>
              <w:jc w:val="center"/>
            </w:pPr>
            <w:r/>
            <w:r>
              <w:rPr>
                <w:rFonts w:ascii="Times New Roman" w:hAnsi="Times New Roman"/>
                <w:b/>
                <w:sz w:val="16"/>
              </w:rPr>
              <w:t>Detalhe</w:t>
            </w:r>
          </w:p>
        </w:tc>
      </w:tr>
      <w:tr>
        <w:trPr>
          <w:cantSplit/>
        </w:trPr>
        <w:tc>
          <w:tcPr>
            <w:tcW w:type="dxa" w:w="2154"/>
          </w:tcPr>
          <w:p>
            <w:pPr>
              <w:keepNext/>
              <w:jc w:val="left"/>
            </w:pPr>
            <w:r/>
            <w:r>
              <w:rPr>
                <w:rFonts w:ascii="Times New Roman" w:hAnsi="Times New Roman"/>
                <w:sz w:val="16"/>
              </w:rPr>
              <w:t>TCGA-LIHC (clínico)</w:t>
            </w:r>
          </w:p>
        </w:tc>
        <w:tc>
          <w:tcPr>
            <w:tcW w:type="dxa" w:w="3969"/>
          </w:tcPr>
          <w:p>
            <w:pPr>
              <w:keepNext/>
              <w:jc w:val="center"/>
            </w:pPr>
            <w:r/>
            <w:r>
              <w:rPr>
                <w:rFonts w:ascii="Times New Roman" w:hAnsi="Times New Roman"/>
                <w:sz w:val="16"/>
              </w:rPr>
              <w:t>Xena v2019-12-06; GDC/TCGA; snapshot de 17/10/2026</w:t>
            </w:r>
          </w:p>
        </w:tc>
        <w:tc>
          <w:tcPr>
            <w:tcW w:type="dxa" w:w="3402"/>
          </w:tcPr>
          <w:p>
            <w:pPr>
              <w:keepNext/>
              <w:jc w:val="center"/>
            </w:pPr>
            <w:r/>
            <w:r>
              <w:rPr>
                <w:rFonts w:ascii="Times New Roman" w:hAnsi="Times New Roman"/>
                <w:sz w:val="16"/>
              </w:rPr>
              <w:t>369 tumores primários e 50 tecidos adjacentes; estágio, grau, sorologia, AFP, fibrose, TSS.</w:t>
            </w:r>
          </w:p>
        </w:tc>
      </w:tr>
      <w:tr>
        <w:trPr>
          <w:cantSplit/>
        </w:trPr>
        <w:tc>
          <w:tcPr>
            <w:tcW w:type="dxa" w:w="2154"/>
          </w:tcPr>
          <w:p>
            <w:pPr>
              <w:keepNext/>
              <w:jc w:val="left"/>
            </w:pPr>
            <w:r/>
            <w:r>
              <w:rPr>
                <w:rFonts w:ascii="Times New Roman" w:hAnsi="Times New Roman"/>
                <w:sz w:val="16"/>
              </w:rPr>
              <w:t>GTEx (fenótipos)</w:t>
            </w:r>
          </w:p>
        </w:tc>
        <w:tc>
          <w:tcPr>
            <w:tcW w:type="dxa" w:w="3969"/>
          </w:tcPr>
          <w:p>
            <w:pPr>
              <w:keepNext/>
              <w:jc w:val="center"/>
            </w:pPr>
            <w:r/>
            <w:r>
              <w:rPr>
                <w:rFonts w:ascii="Times New Roman" w:hAnsi="Times New Roman"/>
                <w:sz w:val="16"/>
              </w:rPr>
              <w:t>GTEx Analysis v8 (dbGaP phs000424.v8); anotações v8</w:t>
            </w:r>
          </w:p>
        </w:tc>
        <w:tc>
          <w:tcPr>
            <w:tcW w:type="dxa" w:w="3402"/>
          </w:tcPr>
          <w:p>
            <w:pPr>
              <w:keepNext/>
              <w:jc w:val="center"/>
            </w:pPr>
            <w:r/>
            <w:r>
              <w:rPr>
                <w:rFonts w:ascii="Times New Roman" w:hAnsi="Times New Roman"/>
                <w:sz w:val="16"/>
              </w:rPr>
              <w:t>110 amostras de fígado (109 após deduplicação); sexo e faixa etária dos doadores.</w:t>
            </w:r>
          </w:p>
        </w:tc>
      </w:tr>
      <w:tr>
        <w:trPr>
          <w:cantSplit/>
        </w:trPr>
        <w:tc>
          <w:tcPr>
            <w:tcW w:type="dxa" w:w="2154"/>
          </w:tcPr>
          <w:p>
            <w:pPr>
              <w:keepNext/>
              <w:jc w:val="left"/>
            </w:pPr>
            <w:r/>
            <w:r>
              <w:rPr>
                <w:rFonts w:ascii="Times New Roman" w:hAnsi="Times New Roman"/>
                <w:sz w:val="16"/>
              </w:rPr>
              <w:t>UCSC Xena / Toil (expressão)</w:t>
            </w:r>
          </w:p>
        </w:tc>
        <w:tc>
          <w:tcPr>
            <w:tcW w:type="dxa" w:w="3969"/>
          </w:tcPr>
          <w:p>
            <w:pPr>
              <w:keepNext/>
              <w:jc w:val="center"/>
            </w:pPr>
            <w:r/>
            <w:r>
              <w:rPr>
                <w:rFonts w:ascii="Times New Roman" w:hAnsi="Times New Roman"/>
                <w:sz w:val="16"/>
              </w:rPr>
              <w:t>Toil recompute v2016-09-03; TcgaTargetGtex_rsem_gene_tpm</w:t>
            </w:r>
          </w:p>
        </w:tc>
        <w:tc>
          <w:tcPr>
            <w:tcW w:type="dxa" w:w="3402"/>
          </w:tcPr>
          <w:p>
            <w:pPr>
              <w:keepNext/>
              <w:jc w:val="center"/>
            </w:pPr>
            <w:r/>
            <w:r>
              <w:rPr>
                <w:rFonts w:ascii="Times New Roman" w:hAnsi="Times New Roman"/>
                <w:sz w:val="16"/>
              </w:rPr>
              <w:t>Matriz log2(TPM + 0,001); 12.401 genes × 529 amostras antes da deduplicação.</w:t>
            </w:r>
          </w:p>
        </w:tc>
      </w:tr>
      <w:tr>
        <w:trPr>
          <w:cantSplit/>
        </w:trPr>
        <w:tc>
          <w:tcPr>
            <w:tcW w:type="dxa" w:w="2154"/>
          </w:tcPr>
          <w:p>
            <w:pPr>
              <w:keepNext/>
              <w:jc w:val="left"/>
            </w:pPr>
            <w:r/>
            <w:r>
              <w:rPr>
                <w:rFonts w:ascii="Times New Roman" w:hAnsi="Times New Roman"/>
                <w:sz w:val="16"/>
              </w:rPr>
              <w:t>KEGG</w:t>
            </w:r>
          </w:p>
        </w:tc>
        <w:tc>
          <w:tcPr>
            <w:tcW w:type="dxa" w:w="3969"/>
          </w:tcPr>
          <w:p>
            <w:pPr>
              <w:keepNext/>
              <w:jc w:val="center"/>
            </w:pPr>
            <w:r/>
            <w:r>
              <w:rPr>
                <w:rFonts w:ascii="Times New Roman" w:hAnsi="Times New Roman"/>
                <w:sz w:val="16"/>
              </w:rPr>
              <w:t>hsa05417; KEGGREST 1.52.0; consulta em 17/10/2026</w:t>
            </w:r>
          </w:p>
        </w:tc>
        <w:tc>
          <w:tcPr>
            <w:tcW w:type="dxa" w:w="3402"/>
          </w:tcPr>
          <w:p>
            <w:pPr>
              <w:keepNext/>
              <w:jc w:val="center"/>
            </w:pPr>
            <w:r/>
            <w:r>
              <w:rPr>
                <w:rFonts w:ascii="Times New Roman" w:hAnsi="Times New Roman"/>
                <w:sz w:val="16"/>
              </w:rPr>
              <w:t>213 genes da via Lipídios e Aterosclerose (LA) no snapshot local.</w:t>
            </w:r>
          </w:p>
        </w:tc>
      </w:tr>
      <w:tr>
        <w:trPr>
          <w:cantSplit/>
        </w:trPr>
        <w:tc>
          <w:tcPr>
            <w:tcW w:type="dxa" w:w="2154"/>
          </w:tcPr>
          <w:p>
            <w:pPr>
              <w:jc w:val="left"/>
            </w:pPr>
            <w:r/>
            <w:r>
              <w:rPr>
                <w:rFonts w:ascii="Times New Roman" w:hAnsi="Times New Roman"/>
                <w:sz w:val="16"/>
              </w:rPr>
              <w:t>Nomenclatura gênica</w:t>
            </w:r>
          </w:p>
        </w:tc>
        <w:tc>
          <w:tcPr>
            <w:tcW w:type="dxa" w:w="3969"/>
          </w:tcPr>
          <w:p>
            <w:pPr>
              <w:jc w:val="center"/>
            </w:pPr>
            <w:r/>
            <w:r>
              <w:rPr>
                <w:rFonts w:ascii="Times New Roman" w:hAnsi="Times New Roman"/>
                <w:sz w:val="16"/>
              </w:rPr>
              <w:t>org.Hs.eg.db 3.23.1; AnnotationDbi 1.74.0</w:t>
            </w:r>
          </w:p>
        </w:tc>
        <w:tc>
          <w:tcPr>
            <w:tcW w:type="dxa" w:w="3402"/>
          </w:tcPr>
          <w:p>
            <w:pPr>
              <w:jc w:val="center"/>
            </w:pPr>
            <w:r/>
            <w:r>
              <w:rPr>
                <w:rFonts w:ascii="Times New Roman" w:hAnsi="Times New Roman"/>
                <w:sz w:val="16"/>
              </w:rPr>
              <w:t>Mapeamento Ensembl → símbolo HUGO.</w:t>
            </w:r>
          </w:p>
        </w:tc>
      </w:tr>
    </w:tbl>
    <w:p>
      <w:pPr>
        <w:keepNext/>
        <w:spacing w:before="200" w:after="80"/>
        <w:jc w:val="left"/>
      </w:pPr>
      <w:r>
        <w:rPr>
          <w:rFonts w:ascii="Times New Roman" w:hAnsi="Times New Roman"/>
          <w:b/>
          <w:sz w:val="24"/>
        </w:rPr>
        <w:t>Ambiente computacional</w:t>
      </w:r>
    </w:p>
    <w:p>
      <w:pPr>
        <w:spacing w:before="0" w:after="60" w:line="312" w:lineRule="auto"/>
        <w:jc w:val="both"/>
      </w:pPr>
      <w:r>
        <w:rPr>
          <w:rFonts w:ascii="Times New Roman" w:hAnsi="Times New Roman" w:eastAsia="Times New Roman"/>
          <w:b/>
          <w:i w:val="0"/>
          <w:sz w:val="24"/>
        </w:rPr>
        <w:t xml:space="preserve">Sistema e R. </w:t>
      </w:r>
      <w:r>
        <w:rPr>
          <w:rFonts w:ascii="Times New Roman" w:hAnsi="Times New Roman" w:eastAsia="Times New Roman"/>
          <w:b w:val="0"/>
          <w:i w:val="0"/>
          <w:sz w:val="24"/>
        </w:rPr>
        <w:t>Windows 11 x64 (build 26340); R 4.6.1 (2026-06-24); LAPACK 3.12.1; Bioconductor 3.23; sementes fixadas com set.seed(2026).</w:t>
      </w:r>
    </w:p>
    <w:p>
      <w:pPr>
        <w:spacing w:before="0" w:after="60" w:line="312" w:lineRule="auto"/>
        <w:jc w:val="both"/>
      </w:pPr>
      <w:r>
        <w:rPr>
          <w:rFonts w:ascii="Times New Roman" w:hAnsi="Times New Roman" w:eastAsia="Times New Roman"/>
          <w:b/>
          <w:i w:val="0"/>
          <w:sz w:val="24"/>
        </w:rPr>
        <w:t xml:space="preserve">Pacotes Bioconductor. </w:t>
      </w:r>
      <w:r>
        <w:rPr>
          <w:rFonts w:ascii="Times New Roman" w:hAnsi="Times New Roman" w:eastAsia="Times New Roman"/>
          <w:b w:val="0"/>
          <w:i w:val="0"/>
          <w:sz w:val="24"/>
        </w:rPr>
        <w:t>limma 3.68.0; sva 3.60.0; edgeR 4.10.6; EPIC 1.1.7; quantiseqr 1.20.0; xCell 1.1.0; GSVA 2.6.12; org.Hs.eg.db 3.23.1; AnnotationDbi 1.74.0; Biobase 2.72.0; KEGGREST 1.52.0.</w:t>
      </w:r>
    </w:p>
    <w:p>
      <w:pPr>
        <w:spacing w:before="0" w:after="60" w:line="312" w:lineRule="auto"/>
        <w:jc w:val="both"/>
      </w:pPr>
      <w:r>
        <w:rPr>
          <w:rFonts w:ascii="Times New Roman" w:hAnsi="Times New Roman" w:eastAsia="Times New Roman"/>
          <w:b/>
          <w:i w:val="0"/>
          <w:sz w:val="24"/>
        </w:rPr>
        <w:t xml:space="preserve">Pacotes CRAN. </w:t>
      </w:r>
      <w:r>
        <w:rPr>
          <w:rFonts w:ascii="Times New Roman" w:hAnsi="Times New Roman" w:eastAsia="Times New Roman"/>
          <w:b w:val="0"/>
          <w:i w:val="0"/>
          <w:sz w:val="24"/>
        </w:rPr>
        <w:t>data.table 1.18.4; ggplot2 4.0.3; ggrepel 0.9.8; pheatmap 1.0.13; dplyr 1.2.1; tidyr 1.3.2; scales 1.4.0; RColorBrewer 1.1-3; matrixStats 1.5.0; uwot 0.2.4; survival 3.8-6; survminer 0.5.2; broom 1.0.13; patchwork 1.3.2; knitr 1.52; png 0.1-9; vegan 2.7-3; car 3.1-5.</w:t>
      </w:r>
    </w:p>
    <w:p>
      <w:pPr>
        <w:spacing w:before="0" w:after="160" w:line="312" w:lineRule="auto"/>
        <w:jc w:val="both"/>
      </w:pPr>
      <w:r>
        <w:rPr>
          <w:rFonts w:ascii="Times New Roman" w:hAnsi="Times New Roman" w:eastAsia="Times New Roman"/>
          <w:b/>
          <w:i w:val="0"/>
          <w:sz w:val="24"/>
        </w:rPr>
        <w:t xml:space="preserve">Python. </w:t>
      </w:r>
      <w:r>
        <w:rPr>
          <w:rFonts w:ascii="Times New Roman" w:hAnsi="Times New Roman" w:eastAsia="Times New Roman"/>
          <w:b w:val="0"/>
          <w:i w:val="0"/>
          <w:sz w:val="24"/>
        </w:rPr>
        <w:t>Python 3.14.5; python-docx 1.2.0 (geração do DOCX); pandas 2.3.3; NumPy 2.4.6; Matplotlib 3.11.0; Seaborn 0.13.2 (figuras e conferência dos resultados).</w:t>
      </w:r>
    </w:p>
    <w:p>
      <w:pPr>
        <w:spacing w:before="0" w:after="120" w:line="312" w:lineRule="auto"/>
        <w:jc w:val="both"/>
      </w:pPr>
      <w:r>
        <w:rPr>
          <w:rFonts w:ascii="Times New Roman" w:hAnsi="Times New Roman" w:eastAsia="Times New Roman"/>
          <w:b w:val="0"/>
          <w:i w:val="0"/>
          <w:sz w:val="24"/>
        </w:rPr>
        <w:t>A sessão R completa está em docs/sessionInfo_analises_avancadas.txt e a versão do Python em docs/versoes_python_analises_avancadas.txt. A Tabela 2, adiante, associa os pacotes às funções centrais.</w:t>
      </w:r>
    </w:p>
    <w:p>
      <w:pPr>
        <w:keepNext/>
        <w:spacing w:before="280" w:after="120"/>
        <w:jc w:val="left"/>
      </w:pPr>
      <w:r>
        <w:rPr>
          <w:rFonts w:ascii="Times New Roman" w:hAnsi="Times New Roman"/>
          <w:b/>
          <w:sz w:val="26"/>
        </w:rPr>
        <w:t>MATERIAIS, PROCEDIMENTOS E MÉTODOS</w:t>
      </w:r>
    </w:p>
    <w:p>
      <w:pPr>
        <w:keepNext/>
        <w:spacing w:before="200" w:after="80"/>
        <w:jc w:val="left"/>
      </w:pPr>
      <w:r>
        <w:rPr>
          <w:rFonts w:ascii="Times New Roman" w:hAnsi="Times New Roman"/>
          <w:b/>
          <w:sz w:val="24"/>
        </w:rPr>
        <w:t>Delineamento, espécie e fontes de dados</w:t>
      </w:r>
    </w:p>
    <w:p>
      <w:pPr>
        <w:spacing w:before="0" w:after="120" w:line="360" w:lineRule="auto"/>
        <w:ind w:firstLine="709"/>
        <w:jc w:val="both"/>
      </w:pPr>
      <w:r>
        <w:rPr>
          <w:rFonts w:ascii="Times New Roman" w:hAnsi="Times New Roman" w:eastAsia="Times New Roman"/>
          <w:b w:val="0"/>
          <w:i w:val="0"/>
          <w:sz w:val="24"/>
        </w:rPr>
        <w:t>Trata-se de estudo observacional, exploratório e in silico, em amostras humanas de fígado (Homo sapiens). O LIHC é a neoplasia hepática primária mais frequente [1] e molecularmente heterogênea [3]. Foram utilizados dados públicos de RNA-seq de TCGA-LIHC e GTEx, obtidos pela plataforma UCSC Xena (TcgaTargetGtex_rsem_gene_tpm, Toil recompute v2016-09-03), com valores em log2(TPM + 0,001) [20,21,22]. Os fenótipos GTEx (sexo e faixa etária) vieram das anotações v8 (dbGaP phs000424.v8). Os dados foram acessados em 17 de outubro de 2026. A lista de genes da via LA (KEGG hsa05417) foi obtida da KEGG e cruzada com a matriz de expressão. A matriz completa tem 12.401 genes e 529 amostras; após excluir um doador GTEx com dois fragmentos de fígado (GTEX-WYVS), a análise principal usou 528 amostras.</w:t>
      </w:r>
    </w:p>
    <w:p>
      <w:pPr>
        <w:keepNext/>
        <w:spacing w:before="200" w:after="80"/>
        <w:jc w:val="left"/>
      </w:pPr>
      <w:r>
        <w:rPr>
          <w:rFonts w:ascii="Times New Roman" w:hAnsi="Times New Roman"/>
          <w:b/>
          <w:sz w:val="24"/>
        </w:rPr>
        <w:t>Critérios de inclusão e exclusão</w:t>
      </w:r>
    </w:p>
    <w:p>
      <w:pPr>
        <w:spacing w:before="0" w:after="40" w:line="360" w:lineRule="auto"/>
        <w:jc w:val="both"/>
      </w:pPr>
      <w:r>
        <w:rPr>
          <w:rFonts w:ascii="Times New Roman" w:hAnsi="Times New Roman" w:eastAsia="Times New Roman"/>
          <w:b w:val="0"/>
          <w:i w:val="0"/>
          <w:sz w:val="24"/>
        </w:rPr>
        <w:t>Foram incluídas:</w:t>
      </w:r>
    </w:p>
    <w:p>
      <w:pPr>
        <w:pStyle w:val="ListBullet"/>
        <w:spacing w:line="312" w:lineRule="auto" w:after="40"/>
        <w:jc w:val="both"/>
      </w:pPr>
      <w:r>
        <w:rPr>
          <w:rFonts w:ascii="Times New Roman" w:hAnsi="Times New Roman"/>
          <w:sz w:val="24"/>
        </w:rPr>
        <w:t>amostras de fígado humano com transcriptoma RNA-seq disponível na matriz Toil/UCSC Xena;</w:t>
      </w:r>
    </w:p>
    <w:p>
      <w:pPr>
        <w:pStyle w:val="ListBullet"/>
        <w:spacing w:line="312" w:lineRule="auto" w:after="40"/>
        <w:jc w:val="both"/>
      </w:pPr>
      <w:r>
        <w:rPr>
          <w:rFonts w:ascii="Times New Roman" w:hAnsi="Times New Roman"/>
          <w:sz w:val="24"/>
        </w:rPr>
        <w:t>tumores primários TCGA-LIHC (código de amostra -01), tecido adjacente não tumoral TCGA-LIHC (-11) e fígado normal GTEx;</w:t>
      </w:r>
    </w:p>
    <w:p>
      <w:pPr>
        <w:pStyle w:val="ListBullet"/>
        <w:spacing w:line="312" w:lineRule="auto" w:after="40"/>
        <w:jc w:val="both"/>
      </w:pPr>
      <w:r>
        <w:rPr>
          <w:rFonts w:ascii="Times New Roman" w:hAnsi="Times New Roman"/>
          <w:sz w:val="24"/>
        </w:rPr>
        <w:t>amostras com metadados de sexo e idade;</w:t>
      </w:r>
    </w:p>
    <w:p>
      <w:pPr>
        <w:pStyle w:val="ListBullet"/>
        <w:spacing w:line="312" w:lineRule="auto" w:after="40"/>
        <w:jc w:val="both"/>
      </w:pPr>
      <w:r>
        <w:rPr>
          <w:rFonts w:ascii="Times New Roman" w:hAnsi="Times New Roman"/>
          <w:sz w:val="24"/>
        </w:rPr>
        <w:t>genes com expressão ≥ 1 em ≥ 20% das amostras e variância &gt; 0.</w:t>
      </w:r>
    </w:p>
    <w:p>
      <w:pPr>
        <w:spacing w:before="0" w:after="40" w:line="360" w:lineRule="auto"/>
        <w:jc w:val="both"/>
      </w:pPr>
      <w:r>
        <w:rPr>
          <w:rFonts w:ascii="Times New Roman" w:hAnsi="Times New Roman" w:eastAsia="Times New Roman"/>
          <w:b w:val="0"/>
          <w:i w:val="0"/>
          <w:sz w:val="24"/>
        </w:rPr>
        <w:t>Foram excluídos:</w:t>
      </w:r>
    </w:p>
    <w:p>
      <w:pPr>
        <w:pStyle w:val="ListBullet"/>
        <w:spacing w:line="312" w:lineRule="auto" w:after="40"/>
        <w:jc w:val="both"/>
      </w:pPr>
      <w:r>
        <w:rPr>
          <w:rFonts w:ascii="Times New Roman" w:hAnsi="Times New Roman"/>
          <w:sz w:val="24"/>
        </w:rPr>
        <w:t>tumores recorrentes TCGA (-02; n = 2), por representarem biologia distinta e n insuficiente;</w:t>
      </w:r>
    </w:p>
    <w:p>
      <w:pPr>
        <w:pStyle w:val="ListBullet"/>
        <w:spacing w:line="312" w:lineRule="auto" w:after="40"/>
        <w:jc w:val="both"/>
      </w:pPr>
      <w:r>
        <w:rPr>
          <w:rFonts w:ascii="Times New Roman" w:hAnsi="Times New Roman"/>
          <w:sz w:val="24"/>
        </w:rPr>
        <w:t>a segunda amostra do doador GTEX-WYVS, para evitar pseudorreplicação;</w:t>
      </w:r>
    </w:p>
    <w:p>
      <w:pPr>
        <w:pStyle w:val="ListBullet"/>
        <w:spacing w:line="312" w:lineRule="auto" w:after="40"/>
        <w:jc w:val="both"/>
      </w:pPr>
      <w:r>
        <w:rPr>
          <w:rFonts w:ascii="Times New Roman" w:hAnsi="Times New Roman"/>
          <w:sz w:val="24"/>
        </w:rPr>
        <w:t>tecidos não hepáticos e amostras com classificação ambígua;</w:t>
      </w:r>
    </w:p>
    <w:p>
      <w:pPr>
        <w:pStyle w:val="ListBullet"/>
        <w:spacing w:line="312" w:lineRule="auto" w:after="40"/>
        <w:jc w:val="both"/>
      </w:pPr>
      <w:r>
        <w:rPr>
          <w:rFonts w:ascii="Times New Roman" w:hAnsi="Times New Roman"/>
          <w:sz w:val="24"/>
        </w:rPr>
        <w:t>genes com variância zero e genes não detectados na matriz;</w:t>
      </w:r>
    </w:p>
    <w:p>
      <w:pPr>
        <w:pStyle w:val="ListBullet"/>
        <w:spacing w:line="312" w:lineRule="auto" w:after="40"/>
        <w:jc w:val="both"/>
      </w:pPr>
      <w:r>
        <w:rPr>
          <w:rFonts w:ascii="Times New Roman" w:hAnsi="Times New Roman"/>
          <w:sz w:val="24"/>
        </w:rPr>
        <w:t>casos com covariáveis ausentes apenas nos modelos que exigiam aquela covariável (análise de casos completos).</w:t>
      </w:r>
    </w:p>
    <w:p>
      <w:pPr>
        <w:spacing w:before="0" w:after="120" w:line="360" w:lineRule="auto"/>
        <w:ind w:firstLine="709"/>
        <w:jc w:val="both"/>
      </w:pPr>
      <w:r>
        <w:rPr>
          <w:rFonts w:ascii="Times New Roman" w:hAnsi="Times New Roman" w:eastAsia="Times New Roman"/>
          <w:b w:val="0"/>
          <w:i w:val="0"/>
          <w:sz w:val="24"/>
        </w:rPr>
        <w:t>A análise de casos completos não é um critério de exclusão do estudo, mas um efeito dos modelos: à medida que mais covariáveis são adicionadas, o número de amostras diminui. Esse fluxo é reportado explicitamente nos resultados e na Tabela 1.</w:t>
      </w:r>
    </w:p>
    <w:p>
      <w:pPr>
        <w:keepNext/>
        <w:spacing w:before="200" w:after="80"/>
        <w:jc w:val="left"/>
      </w:pPr>
      <w:r>
        <w:rPr>
          <w:rFonts w:ascii="Times New Roman" w:hAnsi="Times New Roman"/>
          <w:b/>
          <w:sz w:val="24"/>
        </w:rPr>
        <w:t>TPM: definição e implicações</w:t>
      </w:r>
    </w:p>
    <w:p>
      <w:pPr>
        <w:spacing w:before="0" w:after="120" w:line="360" w:lineRule="auto"/>
        <w:ind w:firstLine="709"/>
        <w:jc w:val="both"/>
      </w:pPr>
      <w:r>
        <w:rPr>
          <w:rFonts w:ascii="Times New Roman" w:hAnsi="Times New Roman" w:eastAsia="Times New Roman"/>
          <w:b w:val="0"/>
          <w:i w:val="0"/>
          <w:sz w:val="24"/>
        </w:rPr>
        <w:t>TPM significa transcripts per million. É uma medida relativa: primeiro normaliza o número de reads pelo comprimento do transcrito e depois pelo total de transcritos da amostra, de modo que a soma dos TPM de uma amostra seja 1 milhão. TPM não é contagem bruta, não mede número absoluto de moléculas e não deve ser comparado entre genes dentro da mesma amostra como se fosse uma concentração. Os dados do UCSC Xena já vêm em log2(TPM + 0,001); o valor 0,001 evita logaritmo de zero. O log2 comprime a escala e estabiliza a variância. Para EPIC e quanTIseq, que esperam TPM linear, a matriz foi convertida por TPM = 2^x − 0,001, com truncamento em zero. Para limma, foi usada a escala log2 diretamente; não foi aplicado voom, porque voom foi desenhado para contagens brutas. Essa escolha é uma limitação, discutida ao final.</w:t>
      </w:r>
    </w:p>
    <w:p>
      <w:pPr>
        <w:keepNext/>
        <w:spacing w:before="200" w:after="80"/>
        <w:jc w:val="left"/>
      </w:pPr>
      <w:r>
        <w:rPr>
          <w:rFonts w:ascii="Times New Roman" w:hAnsi="Times New Roman"/>
          <w:b/>
          <w:sz w:val="24"/>
        </w:rPr>
        <w:t>Variáveis clínicas e correção do Child-Pugh</w:t>
      </w:r>
    </w:p>
    <w:p>
      <w:pPr>
        <w:spacing w:before="0" w:after="120" w:line="360" w:lineRule="auto"/>
        <w:ind w:firstLine="709"/>
        <w:jc w:val="both"/>
      </w:pPr>
      <w:r>
        <w:rPr>
          <w:rFonts w:ascii="Times New Roman" w:hAnsi="Times New Roman" w:eastAsia="Times New Roman"/>
          <w:b w:val="0"/>
          <w:i w:val="0"/>
          <w:sz w:val="24"/>
        </w:rPr>
        <w:t>As variáveis clínicas foram sexo, idade, estágio AJCC, grau histológico, sorologia viral, Child-Pugh, histologia, AFP, fibrose (Ishak), invasão vascular e centro TCGA (TSS). O estagiamento foi agrupado em I–II vs. III–IV e o grau em G1–G2 vs. G3–G4, porque os subgrupos extremos (estágio IV, n = 5; grau G4, n = 11) têm poder limitado. A histologia foi dicotomizada em carcinoma hepatocelular clássico (HCC) vs. outros (misto e fibrolamelar), conforme classificação descrita na literatura [2]. A sorologia foi mantida como HBV, HCV, HBV+HCV ou Unknown; não existe grupo negativo conhecido, e Unknown não foi tratado como ausência de infecção. O Child-Pugh foi corrigido: string vazia foi considerada ausência, não categoria B-C. Na versão antiga, 132 tumores sem Child-Pugh eram indevidamente classificados como B-C; após a correção, B-C passou de 154 para 22 casos. Essa correção é um dos achados de auditoria deste artigo.</w:t>
      </w:r>
    </w:p>
    <w:p>
      <w:pPr>
        <w:spacing w:before="0" w:after="120" w:line="360" w:lineRule="auto"/>
        <w:ind w:firstLine="709"/>
        <w:jc w:val="both"/>
      </w:pPr>
      <w:r>
        <w:rPr>
          <w:rFonts w:ascii="Times New Roman" w:hAnsi="Times New Roman" w:eastAsia="Times New Roman"/>
          <w:b w:val="0"/>
          <w:i w:val="0"/>
          <w:sz w:val="24"/>
        </w:rPr>
        <w:t>O TSS foi usado como proxy de centro/lote. Para evitar soluções singulares, centros com menos de 10 amostras foram agrupados como 'Outros'. Nos modelos de tumor vs. adjacente, o TSS é parcialmente confundido com o grupo, porque o tecido adjacente só existe em alguns centros; por isso, o modelo com TSS foi tratado como sensibilidade, não como modelo principal.</w:t>
      </w:r>
    </w:p>
    <w:p>
      <w:pPr>
        <w:keepNext/>
        <w:spacing w:before="200" w:after="80"/>
        <w:jc w:val="left"/>
      </w:pPr>
      <w:r>
        <w:rPr>
          <w:rFonts w:ascii="Times New Roman" w:hAnsi="Times New Roman"/>
          <w:b/>
          <w:sz w:val="24"/>
        </w:rPr>
        <w:t>Expressão diferencial com limma</w:t>
      </w:r>
    </w:p>
    <w:p>
      <w:pPr>
        <w:spacing w:before="0" w:after="120" w:line="360" w:lineRule="auto"/>
        <w:ind w:firstLine="709"/>
        <w:jc w:val="both"/>
      </w:pPr>
      <w:r>
        <w:rPr>
          <w:rFonts w:ascii="Times New Roman" w:hAnsi="Times New Roman" w:eastAsia="Times New Roman"/>
          <w:b w:val="0"/>
          <w:i w:val="0"/>
          <w:sz w:val="24"/>
        </w:rPr>
        <w:t>A expressão diferencial foi estimada com limma (lmFit, contrasts.fit, eBayes com trend = TRUE e robust = TRUE, topTable) [17]. O modelo geral foi log2(TPM) ~ grupo + covariáveis, com contraste explícito entre os níveis de interesse. Foram considerados DEGs os genes com FDR &lt; 0,05 (Benjamini-Hochberg) e |logFC| &gt; 1 [17,28]. Para tumor vs. adjacente, além do modelo não pareado, foi feito modelo pareado com efeitos fixos de paciente, equivalente a um teste pareado e livre de diferenças fixas de paciente (sexo, idade, genética). Foram ajustados 48 modelos, cobrindo: tumor vs. adjacente (basal, estágio/grau, clínico completo, TSS e pareado), tumor vs. GTEx, estágio, grau, sorologia, Child-Pugh, histologia, sexo, AFP, fibrose, invasão vascular e interação estágio × grau. A Tabela 3 resume os modelos principais; a lista completa está em resultados/analises_avancadas/tabelas/expressao_diferencial_covariaveis/.</w:t>
      </w:r>
    </w:p>
    <w:p>
      <w:pPr>
        <w:spacing w:before="0" w:after="120" w:line="360" w:lineRule="auto"/>
        <w:ind w:firstLine="709"/>
        <w:jc w:val="both"/>
      </w:pPr>
      <w:r>
        <w:rPr>
          <w:rFonts w:ascii="Times New Roman" w:hAnsi="Times New Roman" w:eastAsia="Times New Roman"/>
          <w:b w:val="0"/>
          <w:i w:val="0"/>
          <w:sz w:val="24"/>
        </w:rPr>
        <w:t>O número de amostras varia entre modelos porque as covariáveis têm missingness diferente. Para cada modelo, foram verificados posto da matriz de desenho, colinearidade e número de casos completos. Modelos com posto incompleto ou n insuficiente foram registrados como não executados, não foram forçados. A comparação entre modelos usou Jaccard (interseção/união dos DEGs) e correlação de Spearman dos logFC de todos os genes.</w:t>
      </w:r>
    </w:p>
    <w:p>
      <w:pPr>
        <w:keepNext/>
        <w:spacing w:before="200" w:after="80"/>
        <w:jc w:val="left"/>
      </w:pPr>
      <w:r>
        <w:rPr>
          <w:rFonts w:ascii="Times New Roman" w:hAnsi="Times New Roman"/>
          <w:b/>
          <w:sz w:val="24"/>
        </w:rPr>
        <w:t>ComBat: 17 cenários</w:t>
      </w:r>
    </w:p>
    <w:p>
      <w:pPr>
        <w:spacing w:before="0" w:after="120" w:line="360" w:lineRule="auto"/>
        <w:ind w:firstLine="709"/>
        <w:jc w:val="both"/>
      </w:pPr>
      <w:r>
        <w:rPr>
          <w:rFonts w:ascii="Times New Roman" w:hAnsi="Times New Roman" w:eastAsia="Times New Roman"/>
          <w:b w:val="0"/>
          <w:i w:val="0"/>
          <w:sz w:val="24"/>
        </w:rPr>
        <w:t>ComBat foi aplicado com o pacote sva [18]. O método estima efeitos aditivos e multiplicativos por gene e por lote e os remove, usando o argumento mod para proteger a biologia que se deseja preservar. Foram testados 17 cenários: (i) TCGA vs. GTEx com batch = estudo, mod = ~grupo + sexo + idade (esperado falhar por confundimento); (ii) mod = ~sexo + idade; (iii) mod = NULL; (iv) mean.only = TRUE; (v) ref.batch = GTEX; (vi) TCGA tumor com batch = TSS, preservando grau, estágio ou ambos; (vii) mean.only e ref.batch = DD; (viii) tumor + adjacente com batch = TSS. Para cada cenário, foram medidos DEGs antes/depois, Jaccard, Spearman, R² do lote em componentes principais (top 2.000 genes variáveis), PERMANOVA (adonis2) e preservação de genes marcadores. ComBat-seq não foi usado porque a matriz é log2(TPM), não contagem bruta; a versão para contagens é citada como alternativa [19].</w:t>
      </w:r>
    </w:p>
    <w:p>
      <w:pPr>
        <w:spacing w:before="0" w:after="120" w:line="360" w:lineRule="auto"/>
        <w:ind w:firstLine="709"/>
        <w:jc w:val="both"/>
      </w:pPr>
      <w:r>
        <w:rPr>
          <w:rFonts w:ascii="Times New Roman" w:hAnsi="Times New Roman" w:eastAsia="Times New Roman"/>
          <w:b w:val="0"/>
          <w:i w:val="0"/>
          <w:sz w:val="24"/>
        </w:rPr>
        <w:t>A comparação TCGA vs. GTEx não foi corrigida por ComBat na análise principal. O motivo é conceitual: grupo e estudo são perfeitamente confundidos (Cramér's V = 1,0). Remover o lote sem remover o grupo é impossível; remover o lote sem proteger o grupo apaga o tumor vs. normal. O ComBat foi usado como experimento de sensibilidade e para avaliar o efeito do TSS dentro do TCGA, onde a correção é identificável.</w:t>
      </w:r>
    </w:p>
    <w:p>
      <w:pPr>
        <w:keepNext/>
        <w:spacing w:before="200" w:after="80"/>
        <w:jc w:val="left"/>
      </w:pPr>
      <w:r>
        <w:rPr>
          <w:rFonts w:ascii="Times New Roman" w:hAnsi="Times New Roman"/>
          <w:b/>
          <w:sz w:val="24"/>
        </w:rPr>
        <w:t>Deconvolução celular</w:t>
      </w:r>
    </w:p>
    <w:p>
      <w:pPr>
        <w:spacing w:before="0" w:after="120" w:line="360" w:lineRule="auto"/>
        <w:ind w:firstLine="709"/>
        <w:jc w:val="both"/>
      </w:pPr>
      <w:r>
        <w:rPr>
          <w:rFonts w:ascii="Times New Roman" w:hAnsi="Times New Roman" w:eastAsia="Times New Roman"/>
          <w:b w:val="0"/>
          <w:i w:val="0"/>
          <w:sz w:val="24"/>
        </w:rPr>
        <w:t>Foram aplicados três métodos complementares. EPIC estima frações de células imunes, CAFs, endotélio e otherCells a partir de TPM linear [24]. quanTIseq estima 10 tipos imunes e other a partir de TPM linear, com assinatura TIL10 [25]. xCell calcula escores de enriquecimento por ssGSEA para 64 tipos celulares, incluindo Hepatocytes, Endothelial cells, Fibroblasts e subtipos imunes [23]. xCell não retorna frações; seus escores são relativos e não somam 1. Por isso, os resultados foram tratados como escores de enriquecimento, não como proporções absolutas.</w:t>
      </w:r>
    </w:p>
    <w:p>
      <w:pPr>
        <w:spacing w:before="0" w:after="120" w:line="360" w:lineRule="auto"/>
        <w:ind w:firstLine="709"/>
        <w:jc w:val="both"/>
      </w:pPr>
      <w:r>
        <w:rPr>
          <w:rFonts w:ascii="Times New Roman" w:hAnsi="Times New Roman" w:eastAsia="Times New Roman"/>
          <w:b w:val="0"/>
          <w:i w:val="0"/>
          <w:sz w:val="24"/>
        </w:rPr>
        <w:t>O controle de qualidade da deconvolução usou correlação de Spearman entre cada estimativa e marcadores clássicos: ALB, APOA1, HP, TTR e CYP3A4 para hepatócitos; KRT19, EPCAM, KRT7 e SOX9 para colangiócitos; PECAM1, CDH5, VWF e KDR para endotélio; COL1A1, COL1A2, ACTA2 e PDGFRB para fibroblastos; CD68, CD14, CSF1R e AIF1 para macrófagos; CD3D, CD3E, CD2 e TRAC para linfócitos T; CD19, MS4A1 e CD79A para B; NKG7, GNLY e KLRD1 para NK; FCGR3B, S100A8 e S100A9 para neutrófilos. A concordância entre métodos foi medida por Spearman entre estimativas análogas. Nenhum método foi assumido como verdade; a interpretação priorizou o método cuja estimativa concordou com os marcadores esperados.</w:t>
      </w:r>
    </w:p>
    <w:p>
      <w:pPr>
        <w:keepNext/>
        <w:spacing w:before="200" w:after="80"/>
        <w:jc w:val="left"/>
      </w:pPr>
      <w:r>
        <w:rPr>
          <w:rFonts w:ascii="Times New Roman" w:hAnsi="Times New Roman"/>
          <w:b/>
          <w:sz w:val="24"/>
        </w:rPr>
        <w:t>Integração composição × expressão</w:t>
      </w:r>
    </w:p>
    <w:p>
      <w:pPr>
        <w:spacing w:before="0" w:after="120" w:line="360" w:lineRule="auto"/>
        <w:ind w:firstLine="709"/>
        <w:jc w:val="both"/>
      </w:pPr>
      <w:r>
        <w:rPr>
          <w:rFonts w:ascii="Times New Roman" w:hAnsi="Times New Roman" w:eastAsia="Times New Roman"/>
          <w:b w:val="0"/>
          <w:i w:val="0"/>
          <w:sz w:val="24"/>
        </w:rPr>
        <w:t>Para estimar quanto do sinal de expressão é atribuível à composição, os modelos de DE foram repetidos com xCell Hepatocytes, xCell ImmuneScore e xCell StromaScore padronizados (z-score) como covariáveis adicionais. Esses três escores tiveram VIF de 1,36, 1,05 e 1,38, sem colinearidade importante. A atenuação foi definida como 1 − |logFC_ajustado|/|logFC_base| para os DEGs do modelo base; valores próximos de 1 indicam que o ajuste removeu o efeito, e valores próximos de 0 indicam que o efeito persistiu. Essa análise é descritiva: a composição é estimada a partir da própria expressão e pode ser mediadora ou consequência do grupo, de modo que o ajuste pode ser sobreajuste. Por isso, os modelos com composição não substituem os modelos principais.</w:t>
      </w:r>
    </w:p>
    <w:p>
      <w:pPr>
        <w:keepNext/>
        <w:spacing w:before="200" w:after="80"/>
        <w:jc w:val="left"/>
      </w:pPr>
      <w:r>
        <w:rPr>
          <w:rFonts w:ascii="Times New Roman" w:hAnsi="Times New Roman"/>
          <w:b/>
          <w:sz w:val="24"/>
        </w:rPr>
        <w:t>Sobrevida</w:t>
      </w:r>
    </w:p>
    <w:p>
      <w:pPr>
        <w:spacing w:before="0" w:after="120" w:line="360" w:lineRule="auto"/>
        <w:ind w:firstLine="709"/>
        <w:jc w:val="both"/>
      </w:pPr>
      <w:r>
        <w:rPr>
          <w:rFonts w:ascii="Times New Roman" w:hAnsi="Times New Roman" w:eastAsia="Times New Roman"/>
          <w:b w:val="0"/>
          <w:i w:val="0"/>
          <w:sz w:val="24"/>
        </w:rPr>
        <w:t>A sobrevida global (OS) foi analisada apenas nos tumores, com Kaplan-Meier, log-rank e regressão de Cox. O modelo clínico incluiu estágio, grau, sexo e idade; um segundo modelo incluiu AFP ≥ 400 e fibrose avançada. Para células, foi ajustado um Cox por escore celular (por 1 desvio-padrão) + idade + sexo + estágio + grau. Foram reportados HR, IC 95%, p e FDR. A suposição de riscos proporcionais foi verificada com cox.zph nos modelos principais. A análise é associativa e não causal.</w:t>
      </w:r>
    </w:p>
    <w:p>
      <w:pPr>
        <w:keepNext/>
        <w:spacing w:before="200" w:after="80"/>
        <w:jc w:val="left"/>
      </w:pPr>
      <w:r>
        <w:rPr>
          <w:rFonts w:ascii="Times New Roman" w:hAnsi="Times New Roman"/>
          <w:b/>
          <w:sz w:val="24"/>
        </w:rPr>
        <w:t>Múltiplos testes, software e reprodutibilidade</w:t>
      </w:r>
    </w:p>
    <w:p>
      <w:pPr>
        <w:spacing w:before="0" w:after="120" w:line="360" w:lineRule="auto"/>
        <w:ind w:firstLine="709"/>
        <w:jc w:val="both"/>
      </w:pPr>
      <w:r>
        <w:rPr>
          <w:rFonts w:ascii="Times New Roman" w:hAnsi="Times New Roman" w:eastAsia="Times New Roman"/>
          <w:b w:val="0"/>
          <w:i w:val="0"/>
          <w:sz w:val="24"/>
        </w:rPr>
        <w:t>Todos os p-valores de DE foram corrigidos por Benjamini-Hochberg. Nas análises clínicas e de composição, o FDR foi calculado dentro de cada família de testes (por variável ou por conjunto de células). O nível de significância foi 0,05. As análises foram feitas em R 4.6.1 (2026-06-24) com Bioconductor 3.23: limma 3.68.0, sva 3.60.0, EPIC 1.1.7, quantiseqr 1.20.0, xCell 1.1.0, survival 3.8-6, vegan 2.7-3 e ggplot2 4.0.3; a sessão completa está em docs/sessionInfo_analises_avancadas.txt. A geração do DOCX e a conferência de resultados usaram Python 3.14.5, python-docx 1.2.0, pandas 2.3.3 e NumPy 2.4.6. Sementes foram fixadas (set.seed(2026)). Todos os scripts, tabelas, figuras, auditorias e benchmarks estão no repositório. O pipeline foi auditado em três camadas: (i) auditoria de dados e confundimento; (ii) benchmarks de tempo, memória e concordância; (iii) compliance de reprodutibilidade, ética, IA e disponibilidade. Os resultados negativos (zero DEGs) foram mantidos, não omitidos.</w:t>
      </w:r>
    </w:p>
    <w:p>
      <w:pPr>
        <w:keepNext/>
        <w:spacing w:before="200" w:after="80"/>
        <w:jc w:val="left"/>
      </w:pPr>
      <w:r>
        <w:rPr>
          <w:rFonts w:ascii="Times New Roman" w:hAnsi="Times New Roman"/>
          <w:b/>
          <w:sz w:val="24"/>
        </w:rPr>
        <w:t>Uso de inteligência artificial</w:t>
      </w:r>
    </w:p>
    <w:p>
      <w:pPr>
        <w:spacing w:before="0" w:after="120" w:line="360" w:lineRule="auto"/>
        <w:ind w:firstLine="709"/>
        <w:jc w:val="both"/>
      </w:pPr>
      <w:r>
        <w:rPr>
          <w:rFonts w:ascii="Times New Roman" w:hAnsi="Times New Roman" w:eastAsia="Times New Roman"/>
          <w:b w:val="0"/>
          <w:i w:val="0"/>
          <w:sz w:val="24"/>
        </w:rPr>
        <w:t>Em conformidade com a Portaria CNPq n° 2.664/2026, que dispõe sobre o uso de inteligência artificial na pesquisa científica e enfatiza transparência, rastreabilidade, responsabilidade autoral e supervisão humana [30], declara-se que ferramentas de IA generativa foram utilizadas como assistentes de programação, organização do pipeline, revisão de código e redação técnica. Todas as rotinas foram executadas, conferidas e validadas contra os arquivos de saída; a interpretação dos resultados, a definição do desenho analítico e a responsabilidade intelectual pelo conteúdo permanecem sob responsabilidade do autor. Nenhum dado identificável de paciente foi usado, e nenhuma conclusão foi baseada apenas em texto gerado por IA.</w:t>
      </w:r>
    </w:p>
    <w:p>
      <w:pPr>
        <w:keepNext/>
        <w:spacing w:before="200" w:after="80"/>
        <w:jc w:val="left"/>
      </w:pPr>
      <w:r>
        <w:rPr>
          <w:rFonts w:ascii="Times New Roman" w:hAnsi="Times New Roman"/>
          <w:b/>
          <w:sz w:val="24"/>
        </w:rPr>
        <w:t>Pacotes e funções utilizadas</w:t>
      </w:r>
    </w:p>
    <w:p>
      <w:pPr>
        <w:spacing w:before="0" w:after="120" w:line="360" w:lineRule="auto"/>
        <w:ind w:firstLine="709"/>
        <w:jc w:val="both"/>
      </w:pPr>
      <w:r>
        <w:rPr>
          <w:rFonts w:ascii="Times New Roman" w:hAnsi="Times New Roman" w:eastAsia="Times New Roman"/>
          <w:b w:val="0"/>
          <w:i w:val="0"/>
          <w:sz w:val="24"/>
        </w:rPr>
        <w:t>A Tabela 2 lista os pacotes e as funções centrais. As versões completas estão em docs/sessionInfo_analises_avancadas.txt.</w:t>
      </w:r>
    </w:p>
    <w:p>
      <w:pPr>
        <w:keepNext/>
        <w:spacing w:before="80" w:after="160" w:line="240" w:lineRule="auto"/>
        <w:jc w:val="left"/>
      </w:pPr>
      <w:r>
        <w:rPr>
          <w:rFonts w:ascii="Times New Roman" w:hAnsi="Times New Roman"/>
          <w:b/>
          <w:sz w:val="22"/>
        </w:rPr>
        <w:t xml:space="preserve">Tabela 2. </w:t>
      </w:r>
      <w:r>
        <w:rPr>
          <w:rFonts w:ascii="Times New Roman" w:hAnsi="Times New Roman"/>
          <w:sz w:val="22"/>
        </w:rPr>
        <w:t>Pacotes e funções utilizadas nas análises. Versões exatas em docs/sessionInfo_analises_avancadas.txt.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608"/>
            <w:shd w:fill="D9E2F3"/>
          </w:tcPr>
          <w:p>
            <w:pPr>
              <w:keepNext/>
              <w:jc w:val="center"/>
            </w:pPr>
            <w:r/>
            <w:r>
              <w:rPr>
                <w:rFonts w:ascii="Times New Roman" w:hAnsi="Times New Roman"/>
                <w:b/>
                <w:sz w:val="16"/>
              </w:rPr>
              <w:t>Pacote (versão)</w:t>
            </w:r>
          </w:p>
        </w:tc>
        <w:tc>
          <w:tcPr>
            <w:tcW w:type="dxa" w:w="3515"/>
            <w:shd w:fill="D9E2F3"/>
          </w:tcPr>
          <w:p>
            <w:pPr>
              <w:keepNext/>
              <w:jc w:val="center"/>
            </w:pPr>
            <w:r/>
            <w:r>
              <w:rPr>
                <w:rFonts w:ascii="Times New Roman" w:hAnsi="Times New Roman"/>
                <w:b/>
                <w:sz w:val="16"/>
              </w:rPr>
              <w:t>Funções principais</w:t>
            </w:r>
          </w:p>
        </w:tc>
        <w:tc>
          <w:tcPr>
            <w:tcW w:type="dxa" w:w="3402"/>
            <w:shd w:fill="D9E2F3"/>
          </w:tcPr>
          <w:p>
            <w:pPr>
              <w:keepNext/>
              <w:jc w:val="center"/>
            </w:pPr>
            <w:r/>
            <w:r>
              <w:rPr>
                <w:rFonts w:ascii="Times New Roman" w:hAnsi="Times New Roman"/>
                <w:b/>
                <w:sz w:val="16"/>
              </w:rPr>
              <w:t>Uso no estudo</w:t>
            </w:r>
          </w:p>
        </w:tc>
      </w:tr>
      <w:tr>
        <w:trPr>
          <w:cantSplit/>
        </w:trPr>
        <w:tc>
          <w:tcPr>
            <w:tcW w:type="dxa" w:w="2608"/>
          </w:tcPr>
          <w:p>
            <w:pPr>
              <w:keepNext/>
              <w:jc w:val="left"/>
            </w:pPr>
            <w:r/>
            <w:r>
              <w:rPr>
                <w:rFonts w:ascii="Times New Roman" w:hAnsi="Times New Roman"/>
                <w:sz w:val="16"/>
              </w:rPr>
              <w:t>limma 3.68.0</w:t>
            </w:r>
          </w:p>
        </w:tc>
        <w:tc>
          <w:tcPr>
            <w:tcW w:type="dxa" w:w="3515"/>
          </w:tcPr>
          <w:p>
            <w:pPr>
              <w:keepNext/>
              <w:jc w:val="center"/>
            </w:pPr>
            <w:r/>
            <w:r>
              <w:rPr>
                <w:rFonts w:ascii="Times New Roman" w:hAnsi="Times New Roman"/>
                <w:sz w:val="16"/>
              </w:rPr>
              <w:t>lmFit, contrasts.fit, eBayes, topTable</w:t>
            </w:r>
          </w:p>
        </w:tc>
        <w:tc>
          <w:tcPr>
            <w:tcW w:type="dxa" w:w="3402"/>
          </w:tcPr>
          <w:p>
            <w:pPr>
              <w:keepNext/>
              <w:jc w:val="center"/>
            </w:pPr>
            <w:r/>
            <w:r>
              <w:rPr>
                <w:rFonts w:ascii="Times New Roman" w:hAnsi="Times New Roman"/>
                <w:sz w:val="16"/>
              </w:rPr>
              <w:t>Modelos lineares gene a gene, t moderado, logFC e FDR</w:t>
            </w:r>
          </w:p>
        </w:tc>
      </w:tr>
      <w:tr>
        <w:trPr>
          <w:cantSplit/>
        </w:trPr>
        <w:tc>
          <w:tcPr>
            <w:tcW w:type="dxa" w:w="2608"/>
          </w:tcPr>
          <w:p>
            <w:pPr>
              <w:keepNext/>
              <w:jc w:val="left"/>
            </w:pPr>
            <w:r/>
            <w:r>
              <w:rPr>
                <w:rFonts w:ascii="Times New Roman" w:hAnsi="Times New Roman"/>
                <w:sz w:val="16"/>
              </w:rPr>
              <w:t>sva 3.60.0</w:t>
            </w:r>
          </w:p>
        </w:tc>
        <w:tc>
          <w:tcPr>
            <w:tcW w:type="dxa" w:w="3515"/>
          </w:tcPr>
          <w:p>
            <w:pPr>
              <w:keepNext/>
              <w:jc w:val="center"/>
            </w:pPr>
            <w:r/>
            <w:r>
              <w:rPr>
                <w:rFonts w:ascii="Times New Roman" w:hAnsi="Times New Roman"/>
                <w:sz w:val="16"/>
              </w:rPr>
              <w:t>ComBat</w:t>
            </w:r>
          </w:p>
        </w:tc>
        <w:tc>
          <w:tcPr>
            <w:tcW w:type="dxa" w:w="3402"/>
          </w:tcPr>
          <w:p>
            <w:pPr>
              <w:keepNext/>
              <w:jc w:val="center"/>
            </w:pPr>
            <w:r/>
            <w:r>
              <w:rPr>
                <w:rFonts w:ascii="Times New Roman" w:hAnsi="Times New Roman"/>
                <w:sz w:val="16"/>
              </w:rPr>
              <w:t>Correção de lote aditiva/multiplicativa</w:t>
            </w:r>
          </w:p>
        </w:tc>
      </w:tr>
      <w:tr>
        <w:trPr>
          <w:cantSplit/>
        </w:trPr>
        <w:tc>
          <w:tcPr>
            <w:tcW w:type="dxa" w:w="2608"/>
          </w:tcPr>
          <w:p>
            <w:pPr>
              <w:keepNext/>
              <w:jc w:val="left"/>
            </w:pPr>
            <w:r/>
            <w:r>
              <w:rPr>
                <w:rFonts w:ascii="Times New Roman" w:hAnsi="Times New Roman"/>
                <w:sz w:val="16"/>
              </w:rPr>
              <w:t>edgeR 4.10.6</w:t>
            </w:r>
          </w:p>
        </w:tc>
        <w:tc>
          <w:tcPr>
            <w:tcW w:type="dxa" w:w="3515"/>
          </w:tcPr>
          <w:p>
            <w:pPr>
              <w:keepNext/>
              <w:jc w:val="center"/>
            </w:pPr>
            <w:r/>
            <w:r>
              <w:rPr>
                <w:rFonts w:ascii="Times New Roman" w:hAnsi="Times New Roman"/>
                <w:sz w:val="16"/>
              </w:rPr>
              <w:t>voom (alternativa)</w:t>
            </w:r>
          </w:p>
        </w:tc>
        <w:tc>
          <w:tcPr>
            <w:tcW w:type="dxa" w:w="3402"/>
          </w:tcPr>
          <w:p>
            <w:pPr>
              <w:keepNext/>
              <w:jc w:val="center"/>
            </w:pPr>
            <w:r/>
            <w:r>
              <w:rPr>
                <w:rFonts w:ascii="Times New Roman" w:hAnsi="Times New Roman"/>
                <w:sz w:val="16"/>
              </w:rPr>
              <w:t>Referência para contagens; não aplicado aos TPM</w:t>
            </w:r>
          </w:p>
        </w:tc>
      </w:tr>
      <w:tr>
        <w:trPr>
          <w:cantSplit/>
        </w:trPr>
        <w:tc>
          <w:tcPr>
            <w:tcW w:type="dxa" w:w="2608"/>
          </w:tcPr>
          <w:p>
            <w:pPr>
              <w:keepNext/>
              <w:jc w:val="left"/>
            </w:pPr>
            <w:r/>
            <w:r>
              <w:rPr>
                <w:rFonts w:ascii="Times New Roman" w:hAnsi="Times New Roman"/>
                <w:sz w:val="16"/>
              </w:rPr>
              <w:t>EPIC 1.1.7</w:t>
            </w:r>
          </w:p>
        </w:tc>
        <w:tc>
          <w:tcPr>
            <w:tcW w:type="dxa" w:w="3515"/>
          </w:tcPr>
          <w:p>
            <w:pPr>
              <w:keepNext/>
              <w:jc w:val="center"/>
            </w:pPr>
            <w:r/>
            <w:r>
              <w:rPr>
                <w:rFonts w:ascii="Times New Roman" w:hAnsi="Times New Roman"/>
                <w:sz w:val="16"/>
              </w:rPr>
              <w:t>EPIC</w:t>
            </w:r>
          </w:p>
        </w:tc>
        <w:tc>
          <w:tcPr>
            <w:tcW w:type="dxa" w:w="3402"/>
          </w:tcPr>
          <w:p>
            <w:pPr>
              <w:keepNext/>
              <w:jc w:val="center"/>
            </w:pPr>
            <w:r/>
            <w:r>
              <w:rPr>
                <w:rFonts w:ascii="Times New Roman" w:hAnsi="Times New Roman"/>
                <w:sz w:val="16"/>
              </w:rPr>
              <w:t>Frações celulares a partir de TPM</w:t>
            </w:r>
          </w:p>
        </w:tc>
      </w:tr>
      <w:tr>
        <w:trPr>
          <w:cantSplit/>
        </w:trPr>
        <w:tc>
          <w:tcPr>
            <w:tcW w:type="dxa" w:w="2608"/>
          </w:tcPr>
          <w:p>
            <w:pPr>
              <w:keepNext/>
              <w:jc w:val="left"/>
            </w:pPr>
            <w:r/>
            <w:r>
              <w:rPr>
                <w:rFonts w:ascii="Times New Roman" w:hAnsi="Times New Roman"/>
                <w:sz w:val="16"/>
              </w:rPr>
              <w:t>quantiseqr 1.20.0</w:t>
            </w:r>
          </w:p>
        </w:tc>
        <w:tc>
          <w:tcPr>
            <w:tcW w:type="dxa" w:w="3515"/>
          </w:tcPr>
          <w:p>
            <w:pPr>
              <w:keepNext/>
              <w:jc w:val="center"/>
            </w:pPr>
            <w:r/>
            <w:r>
              <w:rPr>
                <w:rFonts w:ascii="Times New Roman" w:hAnsi="Times New Roman"/>
                <w:sz w:val="16"/>
              </w:rPr>
              <w:t>run_quantiseq</w:t>
            </w:r>
          </w:p>
        </w:tc>
        <w:tc>
          <w:tcPr>
            <w:tcW w:type="dxa" w:w="3402"/>
          </w:tcPr>
          <w:p>
            <w:pPr>
              <w:keepNext/>
              <w:jc w:val="center"/>
            </w:pPr>
            <w:r/>
            <w:r>
              <w:rPr>
                <w:rFonts w:ascii="Times New Roman" w:hAnsi="Times New Roman"/>
                <w:sz w:val="16"/>
              </w:rPr>
              <w:t>Frações imunes (TIL10)</w:t>
            </w:r>
          </w:p>
        </w:tc>
      </w:tr>
      <w:tr>
        <w:trPr>
          <w:cantSplit/>
        </w:trPr>
        <w:tc>
          <w:tcPr>
            <w:tcW w:type="dxa" w:w="2608"/>
          </w:tcPr>
          <w:p>
            <w:pPr>
              <w:keepNext/>
              <w:jc w:val="left"/>
            </w:pPr>
            <w:r/>
            <w:r>
              <w:rPr>
                <w:rFonts w:ascii="Times New Roman" w:hAnsi="Times New Roman"/>
                <w:sz w:val="16"/>
              </w:rPr>
              <w:t>xCell 1.1.0</w:t>
            </w:r>
          </w:p>
        </w:tc>
        <w:tc>
          <w:tcPr>
            <w:tcW w:type="dxa" w:w="3515"/>
          </w:tcPr>
          <w:p>
            <w:pPr>
              <w:keepNext/>
              <w:jc w:val="center"/>
            </w:pPr>
            <w:r/>
            <w:r>
              <w:rPr>
                <w:rFonts w:ascii="Times New Roman" w:hAnsi="Times New Roman"/>
                <w:sz w:val="16"/>
              </w:rPr>
              <w:t>xCellAnalysis</w:t>
            </w:r>
          </w:p>
        </w:tc>
        <w:tc>
          <w:tcPr>
            <w:tcW w:type="dxa" w:w="3402"/>
          </w:tcPr>
          <w:p>
            <w:pPr>
              <w:keepNext/>
              <w:jc w:val="center"/>
            </w:pPr>
            <w:r/>
            <w:r>
              <w:rPr>
                <w:rFonts w:ascii="Times New Roman" w:hAnsi="Times New Roman"/>
                <w:sz w:val="16"/>
              </w:rPr>
              <w:t>Escores de enriquecimento de 64 tipos</w:t>
            </w:r>
          </w:p>
        </w:tc>
      </w:tr>
      <w:tr>
        <w:trPr>
          <w:cantSplit/>
        </w:trPr>
        <w:tc>
          <w:tcPr>
            <w:tcW w:type="dxa" w:w="2608"/>
          </w:tcPr>
          <w:p>
            <w:pPr>
              <w:keepNext/>
              <w:jc w:val="left"/>
            </w:pPr>
            <w:r/>
            <w:r>
              <w:rPr>
                <w:rFonts w:ascii="Times New Roman" w:hAnsi="Times New Roman"/>
                <w:sz w:val="16"/>
              </w:rPr>
              <w:t>GSVA 2.6.12</w:t>
            </w:r>
          </w:p>
        </w:tc>
        <w:tc>
          <w:tcPr>
            <w:tcW w:type="dxa" w:w="3515"/>
          </w:tcPr>
          <w:p>
            <w:pPr>
              <w:keepNext/>
              <w:jc w:val="center"/>
            </w:pPr>
            <w:r/>
            <w:r>
              <w:rPr>
                <w:rFonts w:ascii="Times New Roman" w:hAnsi="Times New Roman"/>
                <w:sz w:val="16"/>
              </w:rPr>
              <w:t>gsva/ssgsea</w:t>
            </w:r>
          </w:p>
        </w:tc>
        <w:tc>
          <w:tcPr>
            <w:tcW w:type="dxa" w:w="3402"/>
          </w:tcPr>
          <w:p>
            <w:pPr>
              <w:keepNext/>
              <w:jc w:val="center"/>
            </w:pPr>
            <w:r/>
            <w:r>
              <w:rPr>
                <w:rFonts w:ascii="Times New Roman" w:hAnsi="Times New Roman"/>
                <w:sz w:val="16"/>
              </w:rPr>
              <w:t>Base do xCell; escores por amostra</w:t>
            </w:r>
          </w:p>
        </w:tc>
      </w:tr>
      <w:tr>
        <w:trPr>
          <w:cantSplit/>
        </w:trPr>
        <w:tc>
          <w:tcPr>
            <w:tcW w:type="dxa" w:w="2608"/>
          </w:tcPr>
          <w:p>
            <w:pPr>
              <w:keepNext/>
              <w:jc w:val="left"/>
            </w:pPr>
            <w:r/>
            <w:r>
              <w:rPr>
                <w:rFonts w:ascii="Times New Roman" w:hAnsi="Times New Roman"/>
                <w:sz w:val="16"/>
              </w:rPr>
              <w:t>survival 3.8-6</w:t>
            </w:r>
          </w:p>
        </w:tc>
        <w:tc>
          <w:tcPr>
            <w:tcW w:type="dxa" w:w="3515"/>
          </w:tcPr>
          <w:p>
            <w:pPr>
              <w:keepNext/>
              <w:jc w:val="center"/>
            </w:pPr>
            <w:r/>
            <w:r>
              <w:rPr>
                <w:rFonts w:ascii="Times New Roman" w:hAnsi="Times New Roman"/>
                <w:sz w:val="16"/>
              </w:rPr>
              <w:t>coxph, survfit, survdiff, cox.zph</w:t>
            </w:r>
          </w:p>
        </w:tc>
        <w:tc>
          <w:tcPr>
            <w:tcW w:type="dxa" w:w="3402"/>
          </w:tcPr>
          <w:p>
            <w:pPr>
              <w:keepNext/>
              <w:jc w:val="center"/>
            </w:pPr>
            <w:r/>
            <w:r>
              <w:rPr>
                <w:rFonts w:ascii="Times New Roman" w:hAnsi="Times New Roman"/>
                <w:sz w:val="16"/>
              </w:rPr>
              <w:t>Cox, Kaplan-Meier, log-rank, riscos proporcionais</w:t>
            </w:r>
          </w:p>
        </w:tc>
      </w:tr>
      <w:tr>
        <w:trPr>
          <w:cantSplit/>
        </w:trPr>
        <w:tc>
          <w:tcPr>
            <w:tcW w:type="dxa" w:w="2608"/>
          </w:tcPr>
          <w:p>
            <w:pPr>
              <w:keepNext/>
              <w:jc w:val="left"/>
            </w:pPr>
            <w:r/>
            <w:r>
              <w:rPr>
                <w:rFonts w:ascii="Times New Roman" w:hAnsi="Times New Roman"/>
                <w:sz w:val="16"/>
              </w:rPr>
              <w:t>survminer 0.5.2</w:t>
            </w:r>
          </w:p>
        </w:tc>
        <w:tc>
          <w:tcPr>
            <w:tcW w:type="dxa" w:w="3515"/>
          </w:tcPr>
          <w:p>
            <w:pPr>
              <w:keepNext/>
              <w:jc w:val="center"/>
            </w:pPr>
            <w:r/>
            <w:r>
              <w:rPr>
                <w:rFonts w:ascii="Times New Roman" w:hAnsi="Times New Roman"/>
                <w:sz w:val="16"/>
              </w:rPr>
              <w:t>ggsurvplot</w:t>
            </w:r>
          </w:p>
        </w:tc>
        <w:tc>
          <w:tcPr>
            <w:tcW w:type="dxa" w:w="3402"/>
          </w:tcPr>
          <w:p>
            <w:pPr>
              <w:keepNext/>
              <w:jc w:val="center"/>
            </w:pPr>
            <w:r/>
            <w:r>
              <w:rPr>
                <w:rFonts w:ascii="Times New Roman" w:hAnsi="Times New Roman"/>
                <w:sz w:val="16"/>
              </w:rPr>
              <w:t>Curvas de sobrevida</w:t>
            </w:r>
          </w:p>
        </w:tc>
      </w:tr>
      <w:tr>
        <w:trPr>
          <w:cantSplit/>
        </w:trPr>
        <w:tc>
          <w:tcPr>
            <w:tcW w:type="dxa" w:w="2608"/>
          </w:tcPr>
          <w:p>
            <w:pPr>
              <w:keepNext/>
              <w:jc w:val="left"/>
            </w:pPr>
            <w:r/>
            <w:r>
              <w:rPr>
                <w:rFonts w:ascii="Times New Roman" w:hAnsi="Times New Roman"/>
                <w:sz w:val="16"/>
              </w:rPr>
              <w:t>vegan 2.7-3</w:t>
            </w:r>
          </w:p>
        </w:tc>
        <w:tc>
          <w:tcPr>
            <w:tcW w:type="dxa" w:w="3515"/>
          </w:tcPr>
          <w:p>
            <w:pPr>
              <w:keepNext/>
              <w:jc w:val="center"/>
            </w:pPr>
            <w:r/>
            <w:r>
              <w:rPr>
                <w:rFonts w:ascii="Times New Roman" w:hAnsi="Times New Roman"/>
                <w:sz w:val="16"/>
              </w:rPr>
              <w:t>adonis2, vegdist</w:t>
            </w:r>
          </w:p>
        </w:tc>
        <w:tc>
          <w:tcPr>
            <w:tcW w:type="dxa" w:w="3402"/>
          </w:tcPr>
          <w:p>
            <w:pPr>
              <w:keepNext/>
              <w:jc w:val="center"/>
            </w:pPr>
            <w:r/>
            <w:r>
              <w:rPr>
                <w:rFonts w:ascii="Times New Roman" w:hAnsi="Times New Roman"/>
                <w:sz w:val="16"/>
              </w:rPr>
              <w:t>PERMANOVA do lote</w:t>
            </w:r>
          </w:p>
        </w:tc>
      </w:tr>
      <w:tr>
        <w:trPr>
          <w:cantSplit/>
        </w:trPr>
        <w:tc>
          <w:tcPr>
            <w:tcW w:type="dxa" w:w="2608"/>
          </w:tcPr>
          <w:p>
            <w:pPr>
              <w:keepNext/>
              <w:jc w:val="left"/>
            </w:pPr>
            <w:r/>
            <w:r>
              <w:rPr>
                <w:rFonts w:ascii="Times New Roman" w:hAnsi="Times New Roman"/>
                <w:sz w:val="16"/>
              </w:rPr>
              <w:t>matrixStats 1.5.0</w:t>
            </w:r>
          </w:p>
        </w:tc>
        <w:tc>
          <w:tcPr>
            <w:tcW w:type="dxa" w:w="3515"/>
          </w:tcPr>
          <w:p>
            <w:pPr>
              <w:keepNext/>
              <w:jc w:val="center"/>
            </w:pPr>
            <w:r/>
            <w:r>
              <w:rPr>
                <w:rFonts w:ascii="Times New Roman" w:hAnsi="Times New Roman"/>
                <w:sz w:val="16"/>
              </w:rPr>
              <w:t>rowVars</w:t>
            </w:r>
          </w:p>
        </w:tc>
        <w:tc>
          <w:tcPr>
            <w:tcW w:type="dxa" w:w="3402"/>
          </w:tcPr>
          <w:p>
            <w:pPr>
              <w:keepNext/>
              <w:jc w:val="center"/>
            </w:pPr>
            <w:r/>
            <w:r>
              <w:rPr>
                <w:rFonts w:ascii="Times New Roman" w:hAnsi="Times New Roman"/>
                <w:sz w:val="16"/>
              </w:rPr>
              <w:t>Seleção de genes variáveis</w:t>
            </w:r>
          </w:p>
        </w:tc>
      </w:tr>
      <w:tr>
        <w:trPr>
          <w:cantSplit/>
        </w:trPr>
        <w:tc>
          <w:tcPr>
            <w:tcW w:type="dxa" w:w="2608"/>
          </w:tcPr>
          <w:p>
            <w:pPr>
              <w:keepNext/>
              <w:jc w:val="left"/>
            </w:pPr>
            <w:r/>
            <w:r>
              <w:rPr>
                <w:rFonts w:ascii="Times New Roman" w:hAnsi="Times New Roman"/>
                <w:sz w:val="16"/>
              </w:rPr>
              <w:t>car 3.1-5</w:t>
            </w:r>
          </w:p>
        </w:tc>
        <w:tc>
          <w:tcPr>
            <w:tcW w:type="dxa" w:w="3515"/>
          </w:tcPr>
          <w:p>
            <w:pPr>
              <w:keepNext/>
              <w:jc w:val="center"/>
            </w:pPr>
            <w:r/>
            <w:r>
              <w:rPr>
                <w:rFonts w:ascii="Times New Roman" w:hAnsi="Times New Roman"/>
                <w:sz w:val="16"/>
              </w:rPr>
              <w:t>vif</w:t>
            </w:r>
          </w:p>
        </w:tc>
        <w:tc>
          <w:tcPr>
            <w:tcW w:type="dxa" w:w="3402"/>
          </w:tcPr>
          <w:p>
            <w:pPr>
              <w:keepNext/>
              <w:jc w:val="center"/>
            </w:pPr>
            <w:r/>
            <w:r>
              <w:rPr>
                <w:rFonts w:ascii="Times New Roman" w:hAnsi="Times New Roman"/>
                <w:sz w:val="16"/>
              </w:rPr>
              <w:t>Colinearidade</w:t>
            </w:r>
          </w:p>
        </w:tc>
      </w:tr>
      <w:tr>
        <w:trPr>
          <w:cantSplit/>
        </w:trPr>
        <w:tc>
          <w:tcPr>
            <w:tcW w:type="dxa" w:w="2608"/>
          </w:tcPr>
          <w:p>
            <w:pPr>
              <w:keepNext/>
              <w:jc w:val="left"/>
            </w:pPr>
            <w:r/>
            <w:r>
              <w:rPr>
                <w:rFonts w:ascii="Times New Roman" w:hAnsi="Times New Roman"/>
                <w:sz w:val="16"/>
              </w:rPr>
              <w:t>data.table 1.18.4</w:t>
            </w:r>
          </w:p>
        </w:tc>
        <w:tc>
          <w:tcPr>
            <w:tcW w:type="dxa" w:w="3515"/>
          </w:tcPr>
          <w:p>
            <w:pPr>
              <w:keepNext/>
              <w:jc w:val="center"/>
            </w:pPr>
            <w:r/>
            <w:r>
              <w:rPr>
                <w:rFonts w:ascii="Times New Roman" w:hAnsi="Times New Roman"/>
                <w:sz w:val="16"/>
              </w:rPr>
              <w:t>fread, fwrite</w:t>
            </w:r>
          </w:p>
        </w:tc>
        <w:tc>
          <w:tcPr>
            <w:tcW w:type="dxa" w:w="3402"/>
          </w:tcPr>
          <w:p>
            <w:pPr>
              <w:keepNext/>
              <w:jc w:val="center"/>
            </w:pPr>
            <w:r/>
            <w:r>
              <w:rPr>
                <w:rFonts w:ascii="Times New Roman" w:hAnsi="Times New Roman"/>
                <w:sz w:val="16"/>
              </w:rPr>
              <w:t>Leitura/escrita</w:t>
            </w:r>
          </w:p>
        </w:tc>
      </w:tr>
      <w:tr>
        <w:trPr>
          <w:cantSplit/>
        </w:trPr>
        <w:tc>
          <w:tcPr>
            <w:tcW w:type="dxa" w:w="2608"/>
          </w:tcPr>
          <w:p>
            <w:pPr>
              <w:keepNext/>
              <w:jc w:val="left"/>
            </w:pPr>
            <w:r/>
            <w:r>
              <w:rPr>
                <w:rFonts w:ascii="Times New Roman" w:hAnsi="Times New Roman"/>
                <w:sz w:val="16"/>
              </w:rPr>
              <w:t>dplyr 1.2.1; tidyr 1.3.2</w:t>
            </w:r>
          </w:p>
        </w:tc>
        <w:tc>
          <w:tcPr>
            <w:tcW w:type="dxa" w:w="3515"/>
          </w:tcPr>
          <w:p>
            <w:pPr>
              <w:keepNext/>
              <w:jc w:val="center"/>
            </w:pPr>
            <w:r/>
            <w:r>
              <w:rPr>
                <w:rFonts w:ascii="Times New Roman" w:hAnsi="Times New Roman"/>
                <w:sz w:val="16"/>
              </w:rPr>
              <w:t>manipulação</w:t>
            </w:r>
          </w:p>
        </w:tc>
        <w:tc>
          <w:tcPr>
            <w:tcW w:type="dxa" w:w="3402"/>
          </w:tcPr>
          <w:p>
            <w:pPr>
              <w:keepNext/>
              <w:jc w:val="center"/>
            </w:pPr>
            <w:r/>
            <w:r>
              <w:rPr>
                <w:rFonts w:ascii="Times New Roman" w:hAnsi="Times New Roman"/>
                <w:sz w:val="16"/>
              </w:rPr>
              <w:t>Organização de tabelas</w:t>
            </w:r>
          </w:p>
        </w:tc>
      </w:tr>
      <w:tr>
        <w:trPr>
          <w:cantSplit/>
        </w:trPr>
        <w:tc>
          <w:tcPr>
            <w:tcW w:type="dxa" w:w="2608"/>
          </w:tcPr>
          <w:p>
            <w:pPr>
              <w:keepNext/>
              <w:jc w:val="left"/>
            </w:pPr>
            <w:r/>
            <w:r>
              <w:rPr>
                <w:rFonts w:ascii="Times New Roman" w:hAnsi="Times New Roman"/>
                <w:sz w:val="16"/>
              </w:rPr>
              <w:t>ggrepel 0.9.8</w:t>
            </w:r>
          </w:p>
        </w:tc>
        <w:tc>
          <w:tcPr>
            <w:tcW w:type="dxa" w:w="3515"/>
          </w:tcPr>
          <w:p>
            <w:pPr>
              <w:keepNext/>
              <w:jc w:val="center"/>
            </w:pPr>
            <w:r/>
            <w:r>
              <w:rPr>
                <w:rFonts w:ascii="Times New Roman" w:hAnsi="Times New Roman"/>
                <w:sz w:val="16"/>
              </w:rPr>
              <w:t>geom_text_repel</w:t>
            </w:r>
          </w:p>
        </w:tc>
        <w:tc>
          <w:tcPr>
            <w:tcW w:type="dxa" w:w="3402"/>
          </w:tcPr>
          <w:p>
            <w:pPr>
              <w:keepNext/>
              <w:jc w:val="center"/>
            </w:pPr>
            <w:r/>
            <w:r>
              <w:rPr>
                <w:rFonts w:ascii="Times New Roman" w:hAnsi="Times New Roman"/>
                <w:sz w:val="16"/>
              </w:rPr>
              <w:t>Rótulos de genes nos volcanos</w:t>
            </w:r>
          </w:p>
        </w:tc>
      </w:tr>
      <w:tr>
        <w:trPr>
          <w:cantSplit/>
        </w:trPr>
        <w:tc>
          <w:tcPr>
            <w:tcW w:type="dxa" w:w="2608"/>
          </w:tcPr>
          <w:p>
            <w:pPr>
              <w:keepNext/>
              <w:jc w:val="left"/>
            </w:pPr>
            <w:r/>
            <w:r>
              <w:rPr>
                <w:rFonts w:ascii="Times New Roman" w:hAnsi="Times New Roman"/>
                <w:sz w:val="16"/>
              </w:rPr>
              <w:t>RColorBrewer 1.1-3</w:t>
            </w:r>
          </w:p>
        </w:tc>
        <w:tc>
          <w:tcPr>
            <w:tcW w:type="dxa" w:w="3515"/>
          </w:tcPr>
          <w:p>
            <w:pPr>
              <w:keepNext/>
              <w:jc w:val="center"/>
            </w:pPr>
            <w:r/>
            <w:r>
              <w:rPr>
                <w:rFonts w:ascii="Times New Roman" w:hAnsi="Times New Roman"/>
                <w:sz w:val="16"/>
              </w:rPr>
              <w:t>brewer.pal</w:t>
            </w:r>
          </w:p>
        </w:tc>
        <w:tc>
          <w:tcPr>
            <w:tcW w:type="dxa" w:w="3402"/>
          </w:tcPr>
          <w:p>
            <w:pPr>
              <w:keepNext/>
              <w:jc w:val="center"/>
            </w:pPr>
            <w:r/>
            <w:r>
              <w:rPr>
                <w:rFonts w:ascii="Times New Roman" w:hAnsi="Times New Roman"/>
                <w:sz w:val="16"/>
              </w:rPr>
              <w:t>Paletas de cores</w:t>
            </w:r>
          </w:p>
        </w:tc>
      </w:tr>
      <w:tr>
        <w:trPr>
          <w:cantSplit/>
        </w:trPr>
        <w:tc>
          <w:tcPr>
            <w:tcW w:type="dxa" w:w="2608"/>
          </w:tcPr>
          <w:p>
            <w:pPr>
              <w:keepNext/>
              <w:jc w:val="left"/>
            </w:pPr>
            <w:r/>
            <w:r>
              <w:rPr>
                <w:rFonts w:ascii="Times New Roman" w:hAnsi="Times New Roman"/>
                <w:sz w:val="16"/>
              </w:rPr>
              <w:t>scales 1.4.0</w:t>
            </w:r>
          </w:p>
        </w:tc>
        <w:tc>
          <w:tcPr>
            <w:tcW w:type="dxa" w:w="3515"/>
          </w:tcPr>
          <w:p>
            <w:pPr>
              <w:keepNext/>
              <w:jc w:val="center"/>
            </w:pPr>
            <w:r/>
            <w:r>
              <w:rPr>
                <w:rFonts w:ascii="Times New Roman" w:hAnsi="Times New Roman"/>
                <w:sz w:val="16"/>
              </w:rPr>
              <w:t>label_number</w:t>
            </w:r>
          </w:p>
        </w:tc>
        <w:tc>
          <w:tcPr>
            <w:tcW w:type="dxa" w:w="3402"/>
          </w:tcPr>
          <w:p>
            <w:pPr>
              <w:keepNext/>
              <w:jc w:val="center"/>
            </w:pPr>
            <w:r/>
            <w:r>
              <w:rPr>
                <w:rFonts w:ascii="Times New Roman" w:hAnsi="Times New Roman"/>
                <w:sz w:val="16"/>
              </w:rPr>
              <w:t>Formatação de eixos</w:t>
            </w:r>
          </w:p>
        </w:tc>
      </w:tr>
      <w:tr>
        <w:trPr>
          <w:cantSplit/>
        </w:trPr>
        <w:tc>
          <w:tcPr>
            <w:tcW w:type="dxa" w:w="2608"/>
          </w:tcPr>
          <w:p>
            <w:pPr>
              <w:keepNext/>
              <w:jc w:val="left"/>
            </w:pPr>
            <w:r/>
            <w:r>
              <w:rPr>
                <w:rFonts w:ascii="Times New Roman" w:hAnsi="Times New Roman"/>
                <w:sz w:val="16"/>
              </w:rPr>
              <w:t>png 0.1-9</w:t>
            </w:r>
          </w:p>
        </w:tc>
        <w:tc>
          <w:tcPr>
            <w:tcW w:type="dxa" w:w="3515"/>
          </w:tcPr>
          <w:p>
            <w:pPr>
              <w:keepNext/>
              <w:jc w:val="center"/>
            </w:pPr>
            <w:r/>
            <w:r>
              <w:rPr>
                <w:rFonts w:ascii="Times New Roman" w:hAnsi="Times New Roman"/>
                <w:sz w:val="16"/>
              </w:rPr>
              <w:t>readPNG</w:t>
            </w:r>
          </w:p>
        </w:tc>
        <w:tc>
          <w:tcPr>
            <w:tcW w:type="dxa" w:w="3402"/>
          </w:tcPr>
          <w:p>
            <w:pPr>
              <w:keepNext/>
              <w:jc w:val="center"/>
            </w:pPr>
            <w:r/>
            <w:r>
              <w:rPr>
                <w:rFonts w:ascii="Times New Roman" w:hAnsi="Times New Roman"/>
                <w:sz w:val="16"/>
              </w:rPr>
              <w:t>Auditoria de figuras</w:t>
            </w:r>
          </w:p>
        </w:tc>
      </w:tr>
      <w:tr>
        <w:trPr>
          <w:cantSplit/>
        </w:trPr>
        <w:tc>
          <w:tcPr>
            <w:tcW w:type="dxa" w:w="2608"/>
          </w:tcPr>
          <w:p>
            <w:pPr>
              <w:keepNext/>
              <w:jc w:val="left"/>
            </w:pPr>
            <w:r/>
            <w:r>
              <w:rPr>
                <w:rFonts w:ascii="Times New Roman" w:hAnsi="Times New Roman"/>
                <w:sz w:val="16"/>
              </w:rPr>
              <w:t>broom 1.0.13</w:t>
            </w:r>
          </w:p>
        </w:tc>
        <w:tc>
          <w:tcPr>
            <w:tcW w:type="dxa" w:w="3515"/>
          </w:tcPr>
          <w:p>
            <w:pPr>
              <w:keepNext/>
              <w:jc w:val="center"/>
            </w:pPr>
            <w:r/>
            <w:r>
              <w:rPr>
                <w:rFonts w:ascii="Times New Roman" w:hAnsi="Times New Roman"/>
                <w:sz w:val="16"/>
              </w:rPr>
              <w:t>tidy</w:t>
            </w:r>
          </w:p>
        </w:tc>
        <w:tc>
          <w:tcPr>
            <w:tcW w:type="dxa" w:w="3402"/>
          </w:tcPr>
          <w:p>
            <w:pPr>
              <w:keepNext/>
              <w:jc w:val="center"/>
            </w:pPr>
            <w:r/>
            <w:r>
              <w:rPr>
                <w:rFonts w:ascii="Times New Roman" w:hAnsi="Times New Roman"/>
                <w:sz w:val="16"/>
              </w:rPr>
              <w:t>Tabelas de Cox</w:t>
            </w:r>
          </w:p>
        </w:tc>
      </w:tr>
      <w:tr>
        <w:trPr>
          <w:cantSplit/>
        </w:trPr>
        <w:tc>
          <w:tcPr>
            <w:tcW w:type="dxa" w:w="2608"/>
          </w:tcPr>
          <w:p>
            <w:pPr>
              <w:keepNext/>
              <w:jc w:val="left"/>
            </w:pPr>
            <w:r/>
            <w:r>
              <w:rPr>
                <w:rFonts w:ascii="Times New Roman" w:hAnsi="Times New Roman"/>
                <w:sz w:val="16"/>
              </w:rPr>
              <w:t>ggplot2 4.0.3; pheatmap 1.0.13</w:t>
            </w:r>
          </w:p>
        </w:tc>
        <w:tc>
          <w:tcPr>
            <w:tcW w:type="dxa" w:w="3515"/>
          </w:tcPr>
          <w:p>
            <w:pPr>
              <w:keepNext/>
              <w:jc w:val="center"/>
            </w:pPr>
            <w:r/>
            <w:r>
              <w:rPr>
                <w:rFonts w:ascii="Times New Roman" w:hAnsi="Times New Roman"/>
                <w:sz w:val="16"/>
              </w:rPr>
              <w:t>gráficos</w:t>
            </w:r>
          </w:p>
        </w:tc>
        <w:tc>
          <w:tcPr>
            <w:tcW w:type="dxa" w:w="3402"/>
          </w:tcPr>
          <w:p>
            <w:pPr>
              <w:keepNext/>
              <w:jc w:val="center"/>
            </w:pPr>
            <w:r/>
            <w:r>
              <w:rPr>
                <w:rFonts w:ascii="Times New Roman" w:hAnsi="Times New Roman"/>
                <w:sz w:val="16"/>
              </w:rPr>
              <w:t>Figuras e heatmaps</w:t>
            </w:r>
          </w:p>
        </w:tc>
      </w:tr>
      <w:tr>
        <w:trPr>
          <w:cantSplit/>
        </w:trPr>
        <w:tc>
          <w:tcPr>
            <w:tcW w:type="dxa" w:w="2608"/>
          </w:tcPr>
          <w:p>
            <w:pPr>
              <w:keepNext/>
              <w:jc w:val="left"/>
            </w:pPr>
            <w:r/>
            <w:r>
              <w:rPr>
                <w:rFonts w:ascii="Times New Roman" w:hAnsi="Times New Roman"/>
                <w:sz w:val="16"/>
              </w:rPr>
              <w:t>org.Hs.eg.db 3.23.1; AnnotationDbi 1.74.0</w:t>
            </w:r>
          </w:p>
        </w:tc>
        <w:tc>
          <w:tcPr>
            <w:tcW w:type="dxa" w:w="3515"/>
          </w:tcPr>
          <w:p>
            <w:pPr>
              <w:keepNext/>
              <w:jc w:val="center"/>
            </w:pPr>
            <w:r/>
            <w:r>
              <w:rPr>
                <w:rFonts w:ascii="Times New Roman" w:hAnsi="Times New Roman"/>
                <w:sz w:val="16"/>
              </w:rPr>
              <w:t>mapeamento</w:t>
            </w:r>
          </w:p>
        </w:tc>
        <w:tc>
          <w:tcPr>
            <w:tcW w:type="dxa" w:w="3402"/>
          </w:tcPr>
          <w:p>
            <w:pPr>
              <w:keepNext/>
              <w:jc w:val="center"/>
            </w:pPr>
            <w:r/>
            <w:r>
              <w:rPr>
                <w:rFonts w:ascii="Times New Roman" w:hAnsi="Times New Roman"/>
                <w:sz w:val="16"/>
              </w:rPr>
              <w:t>Ensembl → símbolo HUGO</w:t>
            </w:r>
          </w:p>
        </w:tc>
      </w:tr>
      <w:tr>
        <w:trPr>
          <w:cantSplit/>
        </w:trPr>
        <w:tc>
          <w:tcPr>
            <w:tcW w:type="dxa" w:w="2608"/>
          </w:tcPr>
          <w:p>
            <w:pPr>
              <w:keepNext/>
              <w:jc w:val="left"/>
            </w:pPr>
            <w:r/>
            <w:r>
              <w:rPr>
                <w:rFonts w:ascii="Times New Roman" w:hAnsi="Times New Roman"/>
                <w:sz w:val="16"/>
              </w:rPr>
              <w:t>KEGGREST 1.52.0</w:t>
            </w:r>
          </w:p>
        </w:tc>
        <w:tc>
          <w:tcPr>
            <w:tcW w:type="dxa" w:w="3515"/>
          </w:tcPr>
          <w:p>
            <w:pPr>
              <w:keepNext/>
              <w:jc w:val="center"/>
            </w:pPr>
            <w:r/>
            <w:r>
              <w:rPr>
                <w:rFonts w:ascii="Times New Roman" w:hAnsi="Times New Roman"/>
                <w:sz w:val="16"/>
              </w:rPr>
              <w:t>keggGet, keggLink</w:t>
            </w:r>
          </w:p>
        </w:tc>
        <w:tc>
          <w:tcPr>
            <w:tcW w:type="dxa" w:w="3402"/>
          </w:tcPr>
          <w:p>
            <w:pPr>
              <w:keepNext/>
              <w:jc w:val="center"/>
            </w:pPr>
            <w:r/>
            <w:r>
              <w:rPr>
                <w:rFonts w:ascii="Times New Roman" w:hAnsi="Times New Roman"/>
                <w:sz w:val="16"/>
              </w:rPr>
              <w:t>Extração e validação da via KEGG hsa05417</w:t>
            </w:r>
          </w:p>
        </w:tc>
      </w:tr>
      <w:tr>
        <w:trPr>
          <w:cantSplit/>
        </w:trPr>
        <w:tc>
          <w:tcPr>
            <w:tcW w:type="dxa" w:w="2608"/>
          </w:tcPr>
          <w:p>
            <w:pPr>
              <w:keepNext/>
              <w:jc w:val="left"/>
            </w:pPr>
            <w:r/>
            <w:r>
              <w:rPr>
                <w:rFonts w:ascii="Times New Roman" w:hAnsi="Times New Roman"/>
                <w:sz w:val="16"/>
              </w:rPr>
              <w:t>Biobase 2.72.0; BiocGenerics 0.58.1</w:t>
            </w:r>
          </w:p>
        </w:tc>
        <w:tc>
          <w:tcPr>
            <w:tcW w:type="dxa" w:w="3515"/>
          </w:tcPr>
          <w:p>
            <w:pPr>
              <w:keepNext/>
              <w:jc w:val="center"/>
            </w:pPr>
            <w:r/>
            <w:r>
              <w:rPr>
                <w:rFonts w:ascii="Times New Roman" w:hAnsi="Times New Roman"/>
                <w:sz w:val="16"/>
              </w:rPr>
              <w:t>infraestrutura</w:t>
            </w:r>
          </w:p>
        </w:tc>
        <w:tc>
          <w:tcPr>
            <w:tcW w:type="dxa" w:w="3402"/>
          </w:tcPr>
          <w:p>
            <w:pPr>
              <w:keepNext/>
              <w:jc w:val="center"/>
            </w:pPr>
            <w:r/>
            <w:r>
              <w:rPr>
                <w:rFonts w:ascii="Times New Roman" w:hAnsi="Times New Roman"/>
                <w:sz w:val="16"/>
              </w:rPr>
              <w:t>Classes e métodos Bioconductor</w:t>
            </w:r>
          </w:p>
        </w:tc>
      </w:tr>
      <w:tr>
        <w:trPr>
          <w:cantSplit/>
        </w:trPr>
        <w:tc>
          <w:tcPr>
            <w:tcW w:type="dxa" w:w="2608"/>
          </w:tcPr>
          <w:p>
            <w:pPr>
              <w:keepNext/>
              <w:jc w:val="left"/>
            </w:pPr>
            <w:r/>
            <w:r>
              <w:rPr>
                <w:rFonts w:ascii="Times New Roman" w:hAnsi="Times New Roman"/>
                <w:sz w:val="16"/>
              </w:rPr>
              <w:t>patchwork 1.3.2; knitr 1.52</w:t>
            </w:r>
          </w:p>
        </w:tc>
        <w:tc>
          <w:tcPr>
            <w:tcW w:type="dxa" w:w="3515"/>
          </w:tcPr>
          <w:p>
            <w:pPr>
              <w:keepNext/>
              <w:jc w:val="center"/>
            </w:pPr>
            <w:r/>
            <w:r>
              <w:rPr>
                <w:rFonts w:ascii="Times New Roman" w:hAnsi="Times New Roman"/>
                <w:sz w:val="16"/>
              </w:rPr>
              <w:t>composição de figuras; kable</w:t>
            </w:r>
          </w:p>
        </w:tc>
        <w:tc>
          <w:tcPr>
            <w:tcW w:type="dxa" w:w="3402"/>
          </w:tcPr>
          <w:p>
            <w:pPr>
              <w:keepNext/>
              <w:jc w:val="center"/>
            </w:pPr>
            <w:r/>
            <w:r>
              <w:rPr>
                <w:rFonts w:ascii="Times New Roman" w:hAnsi="Times New Roman"/>
                <w:sz w:val="16"/>
              </w:rPr>
              <w:t>Painéis de figuras e tabelas de auditoria</w:t>
            </w:r>
          </w:p>
        </w:tc>
      </w:tr>
      <w:tr>
        <w:trPr>
          <w:cantSplit/>
        </w:trPr>
        <w:tc>
          <w:tcPr>
            <w:tcW w:type="dxa" w:w="2608"/>
          </w:tcPr>
          <w:p>
            <w:pPr>
              <w:jc w:val="left"/>
            </w:pPr>
            <w:r/>
            <w:r>
              <w:rPr>
                <w:rFonts w:ascii="Times New Roman" w:hAnsi="Times New Roman"/>
                <w:sz w:val="16"/>
              </w:rPr>
              <w:t>uwot 0.2.4</w:t>
            </w:r>
          </w:p>
        </w:tc>
        <w:tc>
          <w:tcPr>
            <w:tcW w:type="dxa" w:w="3515"/>
          </w:tcPr>
          <w:p>
            <w:pPr>
              <w:jc w:val="center"/>
            </w:pPr>
            <w:r/>
            <w:r>
              <w:rPr>
                <w:rFonts w:ascii="Times New Roman" w:hAnsi="Times New Roman"/>
                <w:sz w:val="16"/>
              </w:rPr>
              <w:t>umap</w:t>
            </w:r>
          </w:p>
        </w:tc>
        <w:tc>
          <w:tcPr>
            <w:tcW w:type="dxa" w:w="3402"/>
          </w:tcPr>
          <w:p>
            <w:pPr>
              <w:jc w:val="center"/>
            </w:pPr>
            <w:r/>
            <w:r>
              <w:rPr>
                <w:rFonts w:ascii="Times New Roman" w:hAnsi="Times New Roman"/>
                <w:sz w:val="16"/>
              </w:rPr>
              <w:t>UMAP das análises exploratórias</w:t>
            </w:r>
          </w:p>
        </w:tc>
      </w:tr>
    </w:tbl>
    <w:p>
      <w:pPr>
        <w:keepNext/>
        <w:spacing w:before="280" w:after="120"/>
        <w:jc w:val="left"/>
      </w:pPr>
      <w:r>
        <w:rPr>
          <w:rFonts w:ascii="Times New Roman" w:hAnsi="Times New Roman"/>
          <w:b/>
          <w:sz w:val="26"/>
        </w:rPr>
        <w:t>RESULTADOS</w:t>
      </w:r>
    </w:p>
    <w:p>
      <w:pPr>
        <w:keepNext/>
        <w:spacing w:before="200" w:after="80"/>
        <w:jc w:val="left"/>
      </w:pPr>
      <w:r>
        <w:rPr>
          <w:rFonts w:ascii="Times New Roman" w:hAnsi="Times New Roman"/>
          <w:b/>
          <w:sz w:val="24"/>
        </w:rPr>
        <w:t>Coorte, qualidade dos dados e missingness</w:t>
      </w:r>
    </w:p>
    <w:p>
      <w:pPr>
        <w:spacing w:before="0" w:after="120" w:line="360" w:lineRule="auto"/>
        <w:ind w:firstLine="709"/>
        <w:jc w:val="both"/>
      </w:pPr>
      <w:r>
        <w:rPr>
          <w:rFonts w:ascii="Times New Roman" w:hAnsi="Times New Roman" w:eastAsia="Times New Roman"/>
          <w:b w:val="0"/>
          <w:i w:val="0"/>
          <w:sz w:val="24"/>
        </w:rPr>
        <w:t>A Tabela 1 descreve a coorte. Após deduplicação, foram analisadas 528 amostras: 369 tumores primários, 50 tecidos adjacentes e 109 fígados normais GTEx. A distribuição por sexo foi semelhante entre os grupos (tumor: 120 mulheres/249 homens; adjacente: 22/28; GTEx: 32/77). A idade média foi 59,4 ± 13,5 anos no tumor, 61,7 ± 16,1 no adjacente e 53,8 ± 11,1 no GTEx. A maioria dos tumores era estágio I–II (69,1%) e grau G2–G3 (80,8%). A sorologia era desconhecida em 206/369 tumores (55,8%), e não havia grupo negativo conhecido. O Child-Pugh estava ausente em 132/369 (35,8%) após a correção; B-C correspondeu a 22 casos, não 154.</w:t>
      </w:r>
    </w:p>
    <w:p>
      <w:pPr>
        <w:keepNext/>
        <w:spacing w:before="80" w:after="160" w:line="240" w:lineRule="auto"/>
        <w:jc w:val="left"/>
      </w:pPr>
      <w:r>
        <w:rPr>
          <w:rFonts w:ascii="Times New Roman" w:hAnsi="Times New Roman"/>
          <w:b/>
          <w:sz w:val="22"/>
        </w:rPr>
        <w:t xml:space="preserve">Tabela 1. </w:t>
      </w:r>
      <w:r>
        <w:rPr>
          <w:rFonts w:ascii="Times New Roman" w:hAnsi="Times New Roman"/>
          <w:sz w:val="22"/>
        </w:rPr>
        <w:t>Características da coorte. Valores são n (%) ou média ± desvio-padrão. O adjacente herda variáveis clínicas do paciente; o GTEx tem apenas sexo e idade. Child-Pugh corrigido: ausente não é B-C.</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3969"/>
            <w:shd w:fill="D9E2F3"/>
          </w:tcPr>
          <w:p>
            <w:pPr>
              <w:keepNext/>
              <w:jc w:val="center"/>
            </w:pPr>
            <w:r/>
            <w:r>
              <w:rPr>
                <w:rFonts w:ascii="Times New Roman" w:hAnsi="Times New Roman"/>
                <w:b/>
                <w:sz w:val="16"/>
              </w:rPr>
              <w:t>Variável</w:t>
            </w:r>
          </w:p>
        </w:tc>
        <w:tc>
          <w:tcPr>
            <w:tcW w:type="dxa" w:w="2041"/>
            <w:shd w:fill="D9E2F3"/>
          </w:tcPr>
          <w:p>
            <w:pPr>
              <w:keepNext/>
              <w:jc w:val="center"/>
            </w:pPr>
            <w:r/>
            <w:r>
              <w:rPr>
                <w:rFonts w:ascii="Times New Roman" w:hAnsi="Times New Roman"/>
                <w:b/>
                <w:sz w:val="16"/>
              </w:rPr>
              <w:t>Tumor (n = 369)</w:t>
            </w:r>
          </w:p>
        </w:tc>
        <w:tc>
          <w:tcPr>
            <w:tcW w:type="dxa" w:w="1814"/>
            <w:shd w:fill="D9E2F3"/>
          </w:tcPr>
          <w:p>
            <w:pPr>
              <w:keepNext/>
              <w:jc w:val="center"/>
            </w:pPr>
            <w:r/>
            <w:r>
              <w:rPr>
                <w:rFonts w:ascii="Times New Roman" w:hAnsi="Times New Roman"/>
                <w:b/>
                <w:sz w:val="16"/>
              </w:rPr>
              <w:t>Adjacente (n = 50)</w:t>
            </w:r>
          </w:p>
        </w:tc>
        <w:tc>
          <w:tcPr>
            <w:tcW w:type="dxa" w:w="1644"/>
            <w:shd w:fill="D9E2F3"/>
          </w:tcPr>
          <w:p>
            <w:pPr>
              <w:keepNext/>
              <w:jc w:val="center"/>
            </w:pPr>
            <w:r/>
            <w:r>
              <w:rPr>
                <w:rFonts w:ascii="Times New Roman" w:hAnsi="Times New Roman"/>
                <w:b/>
                <w:sz w:val="16"/>
              </w:rPr>
              <w:t>GTEx (n = 109)</w:t>
            </w:r>
          </w:p>
        </w:tc>
      </w:tr>
      <w:tr>
        <w:trPr>
          <w:cantSplit/>
        </w:trPr>
        <w:tc>
          <w:tcPr>
            <w:tcW w:type="dxa" w:w="3969"/>
          </w:tcPr>
          <w:p>
            <w:pPr>
              <w:keepNext/>
              <w:jc w:val="left"/>
            </w:pPr>
            <w:r/>
            <w:r>
              <w:rPr>
                <w:rFonts w:ascii="Times New Roman" w:hAnsi="Times New Roman"/>
                <w:sz w:val="16"/>
              </w:rPr>
              <w:t>Amostras</w:t>
            </w:r>
          </w:p>
        </w:tc>
        <w:tc>
          <w:tcPr>
            <w:tcW w:type="dxa" w:w="2041"/>
          </w:tcPr>
          <w:p>
            <w:pPr>
              <w:keepNext/>
              <w:jc w:val="center"/>
            </w:pPr>
            <w:r/>
            <w:r>
              <w:rPr>
                <w:rFonts w:ascii="Times New Roman" w:hAnsi="Times New Roman"/>
                <w:sz w:val="16"/>
              </w:rPr>
              <w:t>369</w:t>
            </w:r>
          </w:p>
        </w:tc>
        <w:tc>
          <w:tcPr>
            <w:tcW w:type="dxa" w:w="1814"/>
          </w:tcPr>
          <w:p>
            <w:pPr>
              <w:keepNext/>
              <w:jc w:val="center"/>
            </w:pPr>
            <w:r/>
            <w:r>
              <w:rPr>
                <w:rFonts w:ascii="Times New Roman" w:hAnsi="Times New Roman"/>
                <w:sz w:val="16"/>
              </w:rPr>
              <w:t>50</w:t>
            </w:r>
          </w:p>
        </w:tc>
        <w:tc>
          <w:tcPr>
            <w:tcW w:type="dxa" w:w="1644"/>
          </w:tcPr>
          <w:p>
            <w:pPr>
              <w:keepNext/>
              <w:jc w:val="center"/>
            </w:pPr>
            <w:r/>
            <w:r>
              <w:rPr>
                <w:rFonts w:ascii="Times New Roman" w:hAnsi="Times New Roman"/>
                <w:sz w:val="16"/>
              </w:rPr>
              <w:t>109</w:t>
            </w:r>
          </w:p>
        </w:tc>
      </w:tr>
      <w:tr>
        <w:trPr>
          <w:cantSplit/>
        </w:trPr>
        <w:tc>
          <w:tcPr>
            <w:tcW w:type="dxa" w:w="3969"/>
          </w:tcPr>
          <w:p>
            <w:pPr>
              <w:keepNext/>
              <w:jc w:val="left"/>
            </w:pPr>
            <w:r/>
            <w:r>
              <w:rPr>
                <w:rFonts w:ascii="Times New Roman" w:hAnsi="Times New Roman"/>
                <w:sz w:val="16"/>
              </w:rPr>
              <w:t>Sexo feminino</w:t>
            </w:r>
          </w:p>
        </w:tc>
        <w:tc>
          <w:tcPr>
            <w:tcW w:type="dxa" w:w="2041"/>
          </w:tcPr>
          <w:p>
            <w:pPr>
              <w:keepNext/>
              <w:jc w:val="center"/>
            </w:pPr>
            <w:r/>
            <w:r>
              <w:rPr>
                <w:rFonts w:ascii="Times New Roman" w:hAnsi="Times New Roman"/>
                <w:sz w:val="16"/>
              </w:rPr>
              <w:t>120 (32,5%)</w:t>
            </w:r>
          </w:p>
        </w:tc>
        <w:tc>
          <w:tcPr>
            <w:tcW w:type="dxa" w:w="1814"/>
          </w:tcPr>
          <w:p>
            <w:pPr>
              <w:keepNext/>
              <w:jc w:val="center"/>
            </w:pPr>
            <w:r/>
            <w:r>
              <w:rPr>
                <w:rFonts w:ascii="Times New Roman" w:hAnsi="Times New Roman"/>
                <w:sz w:val="16"/>
              </w:rPr>
              <w:t>22 (44,0%)</w:t>
            </w:r>
          </w:p>
        </w:tc>
        <w:tc>
          <w:tcPr>
            <w:tcW w:type="dxa" w:w="1644"/>
          </w:tcPr>
          <w:p>
            <w:pPr>
              <w:keepNext/>
              <w:jc w:val="center"/>
            </w:pPr>
            <w:r/>
            <w:r>
              <w:rPr>
                <w:rFonts w:ascii="Times New Roman" w:hAnsi="Times New Roman"/>
                <w:sz w:val="16"/>
              </w:rPr>
              <w:t>32 (29,4%)</w:t>
            </w:r>
          </w:p>
        </w:tc>
      </w:tr>
      <w:tr>
        <w:trPr>
          <w:cantSplit/>
        </w:trPr>
        <w:tc>
          <w:tcPr>
            <w:tcW w:type="dxa" w:w="3969"/>
          </w:tcPr>
          <w:p>
            <w:pPr>
              <w:keepNext/>
              <w:jc w:val="left"/>
            </w:pPr>
            <w:r/>
            <w:r>
              <w:rPr>
                <w:rFonts w:ascii="Times New Roman" w:hAnsi="Times New Roman"/>
                <w:sz w:val="16"/>
              </w:rPr>
              <w:t>Sexo masculino</w:t>
            </w:r>
          </w:p>
        </w:tc>
        <w:tc>
          <w:tcPr>
            <w:tcW w:type="dxa" w:w="2041"/>
          </w:tcPr>
          <w:p>
            <w:pPr>
              <w:keepNext/>
              <w:jc w:val="center"/>
            </w:pPr>
            <w:r/>
            <w:r>
              <w:rPr>
                <w:rFonts w:ascii="Times New Roman" w:hAnsi="Times New Roman"/>
                <w:sz w:val="16"/>
              </w:rPr>
              <w:t>249 (67,5%)</w:t>
            </w:r>
          </w:p>
        </w:tc>
        <w:tc>
          <w:tcPr>
            <w:tcW w:type="dxa" w:w="1814"/>
          </w:tcPr>
          <w:p>
            <w:pPr>
              <w:keepNext/>
              <w:jc w:val="center"/>
            </w:pPr>
            <w:r/>
            <w:r>
              <w:rPr>
                <w:rFonts w:ascii="Times New Roman" w:hAnsi="Times New Roman"/>
                <w:sz w:val="16"/>
              </w:rPr>
              <w:t>28 (56,0%)</w:t>
            </w:r>
          </w:p>
        </w:tc>
        <w:tc>
          <w:tcPr>
            <w:tcW w:type="dxa" w:w="1644"/>
          </w:tcPr>
          <w:p>
            <w:pPr>
              <w:keepNext/>
              <w:jc w:val="center"/>
            </w:pPr>
            <w:r/>
            <w:r>
              <w:rPr>
                <w:rFonts w:ascii="Times New Roman" w:hAnsi="Times New Roman"/>
                <w:sz w:val="16"/>
              </w:rPr>
              <w:t>77 (70,6%)</w:t>
            </w:r>
          </w:p>
        </w:tc>
      </w:tr>
      <w:tr>
        <w:trPr>
          <w:cantSplit/>
        </w:trPr>
        <w:tc>
          <w:tcPr>
            <w:tcW w:type="dxa" w:w="3969"/>
          </w:tcPr>
          <w:p>
            <w:pPr>
              <w:keepNext/>
              <w:jc w:val="left"/>
            </w:pPr>
            <w:r/>
            <w:r>
              <w:rPr>
                <w:rFonts w:ascii="Times New Roman" w:hAnsi="Times New Roman"/>
                <w:sz w:val="16"/>
              </w:rPr>
              <w:t>Idade (anos), média ± DP</w:t>
            </w:r>
          </w:p>
        </w:tc>
        <w:tc>
          <w:tcPr>
            <w:tcW w:type="dxa" w:w="2041"/>
          </w:tcPr>
          <w:p>
            <w:pPr>
              <w:keepNext/>
              <w:jc w:val="center"/>
            </w:pPr>
            <w:r/>
            <w:r>
              <w:rPr>
                <w:rFonts w:ascii="Times New Roman" w:hAnsi="Times New Roman"/>
                <w:sz w:val="16"/>
              </w:rPr>
              <w:t>59,4 ± 13,5</w:t>
            </w:r>
          </w:p>
        </w:tc>
        <w:tc>
          <w:tcPr>
            <w:tcW w:type="dxa" w:w="1814"/>
          </w:tcPr>
          <w:p>
            <w:pPr>
              <w:keepNext/>
              <w:jc w:val="center"/>
            </w:pPr>
            <w:r/>
            <w:r>
              <w:rPr>
                <w:rFonts w:ascii="Times New Roman" w:hAnsi="Times New Roman"/>
                <w:sz w:val="16"/>
              </w:rPr>
              <w:t>61,7 ± 16,1</w:t>
            </w:r>
          </w:p>
        </w:tc>
        <w:tc>
          <w:tcPr>
            <w:tcW w:type="dxa" w:w="1644"/>
          </w:tcPr>
          <w:p>
            <w:pPr>
              <w:keepNext/>
              <w:jc w:val="center"/>
            </w:pPr>
            <w:r/>
            <w:r>
              <w:rPr>
                <w:rFonts w:ascii="Times New Roman" w:hAnsi="Times New Roman"/>
                <w:sz w:val="16"/>
              </w:rPr>
              <w:t>53,8 ± 11,1</w:t>
            </w:r>
          </w:p>
        </w:tc>
      </w:tr>
      <w:tr>
        <w:trPr>
          <w:cantSplit/>
        </w:trPr>
        <w:tc>
          <w:tcPr>
            <w:tcW w:type="dxa" w:w="3969"/>
          </w:tcPr>
          <w:p>
            <w:pPr>
              <w:keepNext/>
              <w:jc w:val="left"/>
            </w:pPr>
            <w:r/>
            <w:r>
              <w:rPr>
                <w:rFonts w:ascii="Times New Roman" w:hAnsi="Times New Roman"/>
                <w:sz w:val="16"/>
              </w:rPr>
              <w:t>Estágio I / II / III / IV</w:t>
            </w:r>
          </w:p>
        </w:tc>
        <w:tc>
          <w:tcPr>
            <w:tcW w:type="dxa" w:w="2041"/>
          </w:tcPr>
          <w:p>
            <w:pPr>
              <w:keepNext/>
              <w:jc w:val="center"/>
            </w:pPr>
            <w:r/>
            <w:r>
              <w:rPr>
                <w:rFonts w:ascii="Times New Roman" w:hAnsi="Times New Roman"/>
                <w:sz w:val="16"/>
              </w:rPr>
              <w:t>169 / 86 / 85 / 5</w:t>
            </w:r>
          </w:p>
        </w:tc>
        <w:tc>
          <w:tcPr>
            <w:tcW w:type="dxa" w:w="1814"/>
          </w:tcPr>
          <w:p>
            <w:pPr>
              <w:keepNext/>
              <w:jc w:val="center"/>
            </w:pPr>
            <w:r/>
            <w:r>
              <w:rPr>
                <w:rFonts w:ascii="Times New Roman" w:hAnsi="Times New Roman"/>
                <w:sz w:val="16"/>
              </w:rPr>
              <w:t>18 / 11 / 12 / 1</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Estágio ausente</w:t>
            </w:r>
          </w:p>
        </w:tc>
        <w:tc>
          <w:tcPr>
            <w:tcW w:type="dxa" w:w="2041"/>
          </w:tcPr>
          <w:p>
            <w:pPr>
              <w:keepNext/>
              <w:jc w:val="center"/>
            </w:pPr>
            <w:r/>
            <w:r>
              <w:rPr>
                <w:rFonts w:ascii="Times New Roman" w:hAnsi="Times New Roman"/>
                <w:sz w:val="16"/>
              </w:rPr>
              <w:t>24 (6,5%)</w:t>
            </w:r>
          </w:p>
        </w:tc>
        <w:tc>
          <w:tcPr>
            <w:tcW w:type="dxa" w:w="1814"/>
          </w:tcPr>
          <w:p>
            <w:pPr>
              <w:keepNext/>
              <w:jc w:val="center"/>
            </w:pPr>
            <w:r/>
            <w:r>
              <w:rPr>
                <w:rFonts w:ascii="Times New Roman" w:hAnsi="Times New Roman"/>
                <w:sz w:val="16"/>
              </w:rPr>
              <w:t>8 (16,0%)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Grau G1 / G2 / G3 / G4</w:t>
            </w:r>
          </w:p>
        </w:tc>
        <w:tc>
          <w:tcPr>
            <w:tcW w:type="dxa" w:w="2041"/>
          </w:tcPr>
          <w:p>
            <w:pPr>
              <w:keepNext/>
              <w:jc w:val="center"/>
            </w:pPr>
            <w:r/>
            <w:r>
              <w:rPr>
                <w:rFonts w:ascii="Times New Roman" w:hAnsi="Times New Roman"/>
                <w:sz w:val="16"/>
              </w:rPr>
              <w:t>55 / 177 / 121 / 11</w:t>
            </w:r>
          </w:p>
        </w:tc>
        <w:tc>
          <w:tcPr>
            <w:tcW w:type="dxa" w:w="1814"/>
          </w:tcPr>
          <w:p>
            <w:pPr>
              <w:keepNext/>
              <w:jc w:val="center"/>
            </w:pPr>
            <w:r/>
            <w:r>
              <w:rPr>
                <w:rFonts w:ascii="Times New Roman" w:hAnsi="Times New Roman"/>
                <w:sz w:val="16"/>
              </w:rPr>
              <w:t>5 / 27 / 15 / 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Grau ausente</w:t>
            </w:r>
          </w:p>
        </w:tc>
        <w:tc>
          <w:tcPr>
            <w:tcW w:type="dxa" w:w="2041"/>
          </w:tcPr>
          <w:p>
            <w:pPr>
              <w:keepNext/>
              <w:jc w:val="center"/>
            </w:pPr>
            <w:r/>
            <w:r>
              <w:rPr>
                <w:rFonts w:ascii="Times New Roman" w:hAnsi="Times New Roman"/>
                <w:sz w:val="16"/>
              </w:rPr>
              <w:t>5 (1,4%)</w:t>
            </w:r>
          </w:p>
        </w:tc>
        <w:tc>
          <w:tcPr>
            <w:tcW w:type="dxa" w:w="1814"/>
          </w:tcPr>
          <w:p>
            <w:pPr>
              <w:keepNext/>
              <w:jc w:val="center"/>
            </w:pPr>
            <w:r/>
            <w:r>
              <w:rPr>
                <w:rFonts w:ascii="Times New Roman" w:hAnsi="Times New Roman"/>
                <w:sz w:val="16"/>
              </w:rPr>
              <w:t>3 (6,0%)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Vírus HBV / HCV / HBV+HCV</w:t>
            </w:r>
          </w:p>
        </w:tc>
        <w:tc>
          <w:tcPr>
            <w:tcW w:type="dxa" w:w="2041"/>
          </w:tcPr>
          <w:p>
            <w:pPr>
              <w:keepNext/>
              <w:jc w:val="center"/>
            </w:pPr>
            <w:r/>
            <w:r>
              <w:rPr>
                <w:rFonts w:ascii="Times New Roman" w:hAnsi="Times New Roman"/>
                <w:sz w:val="16"/>
              </w:rPr>
              <w:t>59 / 19 / 85</w:t>
            </w:r>
          </w:p>
        </w:tc>
        <w:tc>
          <w:tcPr>
            <w:tcW w:type="dxa" w:w="1814"/>
          </w:tcPr>
          <w:p>
            <w:pPr>
              <w:keepNext/>
              <w:jc w:val="center"/>
            </w:pPr>
            <w:r/>
            <w:r>
              <w:rPr>
                <w:rFonts w:ascii="Times New Roman" w:hAnsi="Times New Roman"/>
                <w:sz w:val="16"/>
              </w:rPr>
              <w:t>18 / 0 / 4</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Sorologia desconhecida</w:t>
            </w:r>
          </w:p>
        </w:tc>
        <w:tc>
          <w:tcPr>
            <w:tcW w:type="dxa" w:w="2041"/>
          </w:tcPr>
          <w:p>
            <w:pPr>
              <w:keepNext/>
              <w:jc w:val="center"/>
            </w:pPr>
            <w:r/>
            <w:r>
              <w:rPr>
                <w:rFonts w:ascii="Times New Roman" w:hAnsi="Times New Roman"/>
                <w:sz w:val="16"/>
              </w:rPr>
              <w:t>206 (55,8%)</w:t>
            </w:r>
          </w:p>
        </w:tc>
        <w:tc>
          <w:tcPr>
            <w:tcW w:type="dxa" w:w="1814"/>
          </w:tcPr>
          <w:p>
            <w:pPr>
              <w:keepNext/>
              <w:jc w:val="center"/>
            </w:pPr>
            <w:r/>
            <w:r>
              <w:rPr>
                <w:rFonts w:ascii="Times New Roman" w:hAnsi="Times New Roman"/>
                <w:sz w:val="16"/>
              </w:rPr>
              <w:t>28 (56,0%)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Child-Pugh A / B-C</w:t>
            </w:r>
          </w:p>
        </w:tc>
        <w:tc>
          <w:tcPr>
            <w:tcW w:type="dxa" w:w="2041"/>
          </w:tcPr>
          <w:p>
            <w:pPr>
              <w:keepNext/>
              <w:jc w:val="center"/>
            </w:pPr>
            <w:r/>
            <w:r>
              <w:rPr>
                <w:rFonts w:ascii="Times New Roman" w:hAnsi="Times New Roman"/>
                <w:sz w:val="16"/>
              </w:rPr>
              <w:t>215 / 22</w:t>
            </w:r>
          </w:p>
        </w:tc>
        <w:tc>
          <w:tcPr>
            <w:tcW w:type="dxa" w:w="1814"/>
          </w:tcPr>
          <w:p>
            <w:pPr>
              <w:keepNext/>
              <w:jc w:val="center"/>
            </w:pPr>
            <w:r/>
            <w:r>
              <w:rPr>
                <w:rFonts w:ascii="Times New Roman" w:hAnsi="Times New Roman"/>
                <w:sz w:val="16"/>
              </w:rPr>
              <w:t>23 / 9</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Child-Pugh ausente</w:t>
            </w:r>
          </w:p>
        </w:tc>
        <w:tc>
          <w:tcPr>
            <w:tcW w:type="dxa" w:w="2041"/>
          </w:tcPr>
          <w:p>
            <w:pPr>
              <w:keepNext/>
              <w:jc w:val="center"/>
            </w:pPr>
            <w:r/>
            <w:r>
              <w:rPr>
                <w:rFonts w:ascii="Times New Roman" w:hAnsi="Times New Roman"/>
                <w:sz w:val="16"/>
              </w:rPr>
              <w:t>132 (35,8%)</w:t>
            </w:r>
          </w:p>
        </w:tc>
        <w:tc>
          <w:tcPr>
            <w:tcW w:type="dxa" w:w="1814"/>
          </w:tcPr>
          <w:p>
            <w:pPr>
              <w:keepNext/>
              <w:jc w:val="center"/>
            </w:pPr>
            <w:r/>
            <w:r>
              <w:rPr>
                <w:rFonts w:ascii="Times New Roman" w:hAnsi="Times New Roman"/>
                <w:sz w:val="16"/>
              </w:rPr>
              <w:t>18 (36,0%)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Histologia HCC / outros</w:t>
            </w:r>
          </w:p>
        </w:tc>
        <w:tc>
          <w:tcPr>
            <w:tcW w:type="dxa" w:w="2041"/>
          </w:tcPr>
          <w:p>
            <w:pPr>
              <w:keepNext/>
              <w:jc w:val="center"/>
            </w:pPr>
            <w:r/>
            <w:r>
              <w:rPr>
                <w:rFonts w:ascii="Times New Roman" w:hAnsi="Times New Roman"/>
                <w:sz w:val="16"/>
              </w:rPr>
              <w:t>359 / 10</w:t>
            </w:r>
          </w:p>
        </w:tc>
        <w:tc>
          <w:tcPr>
            <w:tcW w:type="dxa" w:w="1814"/>
          </w:tcPr>
          <w:p>
            <w:pPr>
              <w:keepNext/>
              <w:jc w:val="center"/>
            </w:pPr>
            <w:r/>
            <w:r>
              <w:rPr>
                <w:rFonts w:ascii="Times New Roman" w:hAnsi="Times New Roman"/>
                <w:sz w:val="16"/>
              </w:rPr>
              <w:t>49 / 1</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AFP &lt;20 / 20–399 / ≥400</w:t>
            </w:r>
          </w:p>
        </w:tc>
        <w:tc>
          <w:tcPr>
            <w:tcW w:type="dxa" w:w="2041"/>
          </w:tcPr>
          <w:p>
            <w:pPr>
              <w:keepNext/>
              <w:jc w:val="center"/>
            </w:pPr>
            <w:r/>
            <w:r>
              <w:rPr>
                <w:rFonts w:ascii="Times New Roman" w:hAnsi="Times New Roman"/>
                <w:sz w:val="16"/>
              </w:rPr>
              <w:t>146 / 66 / 64</w:t>
            </w:r>
          </w:p>
        </w:tc>
        <w:tc>
          <w:tcPr>
            <w:tcW w:type="dxa" w:w="1814"/>
          </w:tcPr>
          <w:p>
            <w:pPr>
              <w:keepNext/>
              <w:jc w:val="center"/>
            </w:pPr>
            <w:r/>
            <w:r>
              <w:rPr>
                <w:rFonts w:ascii="Times New Roman" w:hAnsi="Times New Roman"/>
                <w:sz w:val="16"/>
              </w:rPr>
              <w:t>15 / 12 / 7</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AFP ausente</w:t>
            </w:r>
          </w:p>
        </w:tc>
        <w:tc>
          <w:tcPr>
            <w:tcW w:type="dxa" w:w="2041"/>
          </w:tcPr>
          <w:p>
            <w:pPr>
              <w:keepNext/>
              <w:jc w:val="center"/>
            </w:pPr>
            <w:r/>
            <w:r>
              <w:rPr>
                <w:rFonts w:ascii="Times New Roman" w:hAnsi="Times New Roman"/>
                <w:sz w:val="16"/>
              </w:rPr>
              <w:t>93 (25,2%)</w:t>
            </w:r>
          </w:p>
        </w:tc>
        <w:tc>
          <w:tcPr>
            <w:tcW w:type="dxa" w:w="1814"/>
          </w:tcPr>
          <w:p>
            <w:pPr>
              <w:keepNext/>
              <w:jc w:val="center"/>
            </w:pPr>
            <w:r/>
            <w:r>
              <w:rPr>
                <w:rFonts w:ascii="Times New Roman" w:hAnsi="Times New Roman"/>
                <w:sz w:val="16"/>
              </w:rPr>
              <w:t>16 (32,0%)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Fibrose Ishak &lt;5 / ≥5</w:t>
            </w:r>
          </w:p>
        </w:tc>
        <w:tc>
          <w:tcPr>
            <w:tcW w:type="dxa" w:w="2041"/>
          </w:tcPr>
          <w:p>
            <w:pPr>
              <w:keepNext/>
              <w:jc w:val="center"/>
            </w:pPr>
            <w:r/>
            <w:r>
              <w:rPr>
                <w:rFonts w:ascii="Times New Roman" w:hAnsi="Times New Roman"/>
                <w:sz w:val="16"/>
              </w:rPr>
              <w:t>132 / 78</w:t>
            </w:r>
          </w:p>
        </w:tc>
        <w:tc>
          <w:tcPr>
            <w:tcW w:type="dxa" w:w="1814"/>
          </w:tcPr>
          <w:p>
            <w:pPr>
              <w:keepNext/>
              <w:jc w:val="center"/>
            </w:pPr>
            <w:r/>
            <w:r>
              <w:rPr>
                <w:rFonts w:ascii="Times New Roman" w:hAnsi="Times New Roman"/>
                <w:sz w:val="16"/>
              </w:rPr>
              <w:t>29 / 6</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Fibrose ausente</w:t>
            </w:r>
          </w:p>
        </w:tc>
        <w:tc>
          <w:tcPr>
            <w:tcW w:type="dxa" w:w="2041"/>
          </w:tcPr>
          <w:p>
            <w:pPr>
              <w:keepNext/>
              <w:jc w:val="center"/>
            </w:pPr>
            <w:r/>
            <w:r>
              <w:rPr>
                <w:rFonts w:ascii="Times New Roman" w:hAnsi="Times New Roman"/>
                <w:sz w:val="16"/>
              </w:rPr>
              <w:t>159 (43,1%)</w:t>
            </w:r>
          </w:p>
        </w:tc>
        <w:tc>
          <w:tcPr>
            <w:tcW w:type="dxa" w:w="1814"/>
          </w:tcPr>
          <w:p>
            <w:pPr>
              <w:keepNext/>
              <w:jc w:val="center"/>
            </w:pPr>
            <w:r/>
            <w:r>
              <w:rPr>
                <w:rFonts w:ascii="Times New Roman" w:hAnsi="Times New Roman"/>
                <w:sz w:val="16"/>
              </w:rPr>
              <w:t>15 (30,0%)</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Invasão vascular micro / macro</w:t>
            </w:r>
          </w:p>
        </w:tc>
        <w:tc>
          <w:tcPr>
            <w:tcW w:type="dxa" w:w="2041"/>
          </w:tcPr>
          <w:p>
            <w:pPr>
              <w:keepNext/>
              <w:jc w:val="center"/>
            </w:pPr>
            <w:r/>
            <w:r>
              <w:rPr>
                <w:rFonts w:ascii="Times New Roman" w:hAnsi="Times New Roman"/>
                <w:sz w:val="16"/>
              </w:rPr>
              <w:t>92 / 16</w:t>
            </w:r>
          </w:p>
        </w:tc>
        <w:tc>
          <w:tcPr>
            <w:tcW w:type="dxa" w:w="1814"/>
          </w:tcPr>
          <w:p>
            <w:pPr>
              <w:keepNext/>
              <w:jc w:val="center"/>
            </w:pPr>
            <w:r/>
            <w:r>
              <w:rPr>
                <w:rFonts w:ascii="Times New Roman" w:hAnsi="Times New Roman"/>
                <w:sz w:val="16"/>
              </w:rPr>
              <w:t>10 / 3</w:t>
            </w:r>
          </w:p>
        </w:tc>
        <w:tc>
          <w:tcPr>
            <w:tcW w:type="dxa" w:w="1644"/>
          </w:tcPr>
          <w:p>
            <w:pPr>
              <w:keepNext/>
              <w:jc w:val="center"/>
            </w:pPr>
            <w:r/>
            <w:r>
              <w:rPr>
                <w:rFonts w:ascii="Times New Roman" w:hAnsi="Times New Roman"/>
                <w:sz w:val="16"/>
              </w:rPr>
              <w:t>—</w:t>
            </w:r>
          </w:p>
        </w:tc>
      </w:tr>
      <w:tr>
        <w:trPr>
          <w:cantSplit/>
        </w:trPr>
        <w:tc>
          <w:tcPr>
            <w:tcW w:type="dxa" w:w="3969"/>
          </w:tcPr>
          <w:p>
            <w:pPr>
              <w:keepNext/>
              <w:jc w:val="left"/>
            </w:pPr>
            <w:r/>
            <w:r>
              <w:rPr>
                <w:rFonts w:ascii="Times New Roman" w:hAnsi="Times New Roman"/>
                <w:sz w:val="16"/>
              </w:rPr>
              <w:t>Invasão vascular ausente</w:t>
            </w:r>
          </w:p>
        </w:tc>
        <w:tc>
          <w:tcPr>
            <w:tcW w:type="dxa" w:w="2041"/>
          </w:tcPr>
          <w:p>
            <w:pPr>
              <w:keepNext/>
              <w:jc w:val="center"/>
            </w:pPr>
            <w:r/>
            <w:r>
              <w:rPr>
                <w:rFonts w:ascii="Times New Roman" w:hAnsi="Times New Roman"/>
                <w:sz w:val="16"/>
              </w:rPr>
              <w:t>261 (70,7%)</w:t>
            </w:r>
          </w:p>
        </w:tc>
        <w:tc>
          <w:tcPr>
            <w:tcW w:type="dxa" w:w="1814"/>
          </w:tcPr>
          <w:p>
            <w:pPr>
              <w:keepNext/>
              <w:jc w:val="center"/>
            </w:pPr>
            <w:r/>
            <w:r>
              <w:rPr>
                <w:rFonts w:ascii="Times New Roman" w:hAnsi="Times New Roman"/>
                <w:sz w:val="16"/>
              </w:rPr>
              <w:t>37 (74,0%)</w:t>
            </w:r>
          </w:p>
        </w:tc>
        <w:tc>
          <w:tcPr>
            <w:tcW w:type="dxa" w:w="1644"/>
          </w:tcPr>
          <w:p>
            <w:pPr>
              <w:keepNext/>
              <w:jc w:val="center"/>
            </w:pPr>
            <w:r/>
            <w:r>
              <w:rPr>
                <w:rFonts w:ascii="Times New Roman" w:hAnsi="Times New Roman"/>
                <w:sz w:val="16"/>
              </w:rPr>
              <w:t>—</w:t>
            </w:r>
          </w:p>
        </w:tc>
      </w:tr>
      <w:tr>
        <w:trPr>
          <w:cantSplit/>
        </w:trPr>
        <w:tc>
          <w:tcPr>
            <w:tcW w:type="dxa" w:w="3969"/>
          </w:tcPr>
          <w:p>
            <w:pPr>
              <w:jc w:val="left"/>
            </w:pPr>
            <w:r/>
            <w:r>
              <w:rPr>
                <w:rFonts w:ascii="Times New Roman" w:hAnsi="Times New Roman"/>
                <w:sz w:val="16"/>
              </w:rPr>
              <w:t>Centros TCGA (TSS)</w:t>
            </w:r>
          </w:p>
        </w:tc>
        <w:tc>
          <w:tcPr>
            <w:tcW w:type="dxa" w:w="2041"/>
          </w:tcPr>
          <w:p>
            <w:pPr>
              <w:jc w:val="center"/>
            </w:pPr>
            <w:r/>
            <w:r>
              <w:rPr>
                <w:rFonts w:ascii="Times New Roman" w:hAnsi="Times New Roman"/>
                <w:sz w:val="16"/>
              </w:rPr>
              <w:t>38</w:t>
            </w:r>
          </w:p>
        </w:tc>
        <w:tc>
          <w:tcPr>
            <w:tcW w:type="dxa" w:w="1814"/>
          </w:tcPr>
          <w:p>
            <w:pPr>
              <w:jc w:val="center"/>
            </w:pPr>
            <w:r/>
            <w:r>
              <w:rPr>
                <w:rFonts w:ascii="Times New Roman" w:hAnsi="Times New Roman"/>
                <w:sz w:val="16"/>
              </w:rPr>
              <w:t>7</w:t>
            </w:r>
          </w:p>
        </w:tc>
        <w:tc>
          <w:tcPr>
            <w:tcW w:type="dxa" w:w="1644"/>
          </w:tcPr>
          <w:p>
            <w:pPr>
              <w:jc w:val="center"/>
            </w:pPr>
            <w:r/>
            <w:r>
              <w:rPr>
                <w:rFonts w:ascii="Times New Roman" w:hAnsi="Times New Roman"/>
                <w:sz w:val="16"/>
              </w:rPr>
              <w:t>—</w:t>
            </w:r>
          </w:p>
        </w:tc>
      </w:tr>
    </w:tbl>
    <w:p>
      <w:pPr>
        <w:spacing w:before="0" w:after="120" w:line="360" w:lineRule="auto"/>
        <w:ind w:firstLine="709"/>
        <w:jc w:val="both"/>
      </w:pPr>
      <w:r>
        <w:rPr>
          <w:rFonts w:ascii="Times New Roman" w:hAnsi="Times New Roman" w:eastAsia="Times New Roman"/>
          <w:b w:val="0"/>
          <w:i w:val="0"/>
          <w:sz w:val="24"/>
        </w:rPr>
        <w:t>A Figura 1 resume o desenho. A Figura 2 mostra a distribuição das amostras, o missingness e o efeito da restrição a casos completos. O fluxo cai de 418 amostras (tumor + adjacente, sexo e idade) para 382 (+ estágio e grau) e 257 (+ sorologia, Child-Pugh, histologia). Para estágio e grau no tumor, a coorte cai de 344 e 363 para 226 em todos os modelos clínicos. Essa perda não é aleatória: os casos excluídos diferem em centro, estágio e sorologia.</w:t>
      </w:r>
    </w:p>
    <w:p>
      <w:pPr>
        <w:keepNext/>
        <w:spacing w:before="120" w:after="40"/>
        <w:jc w:val="center"/>
      </w:pPr>
      <w:r>
        <w:drawing>
          <wp:inline xmlns:a="http://schemas.openxmlformats.org/drawingml/2006/main" xmlns:pic="http://schemas.openxmlformats.org/drawingml/2006/picture">
            <wp:extent cx="5940000" cy="4625801"/>
            <wp:docPr id="1" name="Picture 1"/>
            <wp:cNvGraphicFramePr>
              <a:graphicFrameLocks noChangeAspect="1"/>
            </wp:cNvGraphicFramePr>
            <a:graphic>
              <a:graphicData uri="http://schemas.openxmlformats.org/drawingml/2006/picture">
                <pic:pic>
                  <pic:nvPicPr>
                    <pic:cNvPr id="0" name="figura_01_desenho_estudo.png"/>
                    <pic:cNvPicPr/>
                  </pic:nvPicPr>
                  <pic:blipFill>
                    <a:blip r:embed="rId9"/>
                    <a:stretch>
                      <a:fillRect/>
                    </a:stretch>
                  </pic:blipFill>
                  <pic:spPr>
                    <a:xfrm>
                      <a:off x="0" y="0"/>
                      <a:ext cx="5940000" cy="4625801"/>
                    </a:xfrm>
                    <a:prstGeom prst="rect"/>
                  </pic:spPr>
                </pic:pic>
              </a:graphicData>
            </a:graphic>
          </wp:inline>
        </w:drawing>
      </w:r>
    </w:p>
    <w:p>
      <w:pPr>
        <w:spacing w:before="80" w:after="160" w:line="240" w:lineRule="auto"/>
        <w:jc w:val="left"/>
      </w:pPr>
      <w:r>
        <w:rPr>
          <w:rFonts w:ascii="Times New Roman" w:hAnsi="Times New Roman"/>
          <w:b/>
          <w:sz w:val="22"/>
        </w:rPr>
        <w:t xml:space="preserve">Figura 1. </w:t>
      </w:r>
      <w:r>
        <w:rPr>
          <w:rFonts w:ascii="Times New Roman" w:hAnsi="Times New Roman"/>
          <w:sz w:val="22"/>
        </w:rPr>
        <w:t>Desenho do estudo e fluxo analítico. Dados públicos de TCGA-LIHC e GTEx foram processados em log2(TPM + 0,001), analisados por limma, ComBat e três métodos de deconvolução, com auditoria e benchmarks.</w:t>
      </w:r>
    </w:p>
    <w:p>
      <w:pPr>
        <w:keepNext/>
        <w:spacing w:before="120" w:after="40"/>
        <w:jc w:val="center"/>
      </w:pPr>
      <w:r>
        <w:drawing>
          <wp:inline xmlns:a="http://schemas.openxmlformats.org/drawingml/2006/main" xmlns:pic="http://schemas.openxmlformats.org/drawingml/2006/picture">
            <wp:extent cx="5940000" cy="2090255"/>
            <wp:docPr id="2" name="Picture 2"/>
            <wp:cNvGraphicFramePr>
              <a:graphicFrameLocks noChangeAspect="1"/>
            </wp:cNvGraphicFramePr>
            <a:graphic>
              <a:graphicData uri="http://schemas.openxmlformats.org/drawingml/2006/picture">
                <pic:pic>
                  <pic:nvPicPr>
                    <pic:cNvPr id="0" name="figura_02_coorte_missingness_fluxo.png"/>
                    <pic:cNvPicPr/>
                  </pic:nvPicPr>
                  <pic:blipFill>
                    <a:blip r:embed="rId10"/>
                    <a:stretch>
                      <a:fillRect/>
                    </a:stretch>
                  </pic:blipFill>
                  <pic:spPr>
                    <a:xfrm>
                      <a:off x="0" y="0"/>
                      <a:ext cx="5940000" cy="2090255"/>
                    </a:xfrm>
                    <a:prstGeom prst="rect"/>
                  </pic:spPr>
                </pic:pic>
              </a:graphicData>
            </a:graphic>
          </wp:inline>
        </w:drawing>
      </w:r>
    </w:p>
    <w:p>
      <w:pPr>
        <w:spacing w:before="80" w:after="160" w:line="240" w:lineRule="auto"/>
        <w:jc w:val="left"/>
      </w:pPr>
      <w:r>
        <w:rPr>
          <w:rFonts w:ascii="Times New Roman" w:hAnsi="Times New Roman"/>
          <w:b/>
          <w:sz w:val="22"/>
        </w:rPr>
        <w:t xml:space="preserve">Figura 2. </w:t>
      </w:r>
      <w:r>
        <w:rPr>
          <w:rFonts w:ascii="Times New Roman" w:hAnsi="Times New Roman"/>
          <w:sz w:val="22"/>
        </w:rPr>
        <w:t>Coorte, missingness e restrição a casos completos. (A) Amostras por grupo. (B) Percentual de ausência/desconhecimento nas variáveis clínicas do tumor. (C) Número de amostras com dados completos em modelos progressivamente ajustados.</w:t>
      </w:r>
    </w:p>
    <w:p>
      <w:pPr>
        <w:keepNext/>
        <w:spacing w:before="200" w:after="80"/>
        <w:jc w:val="left"/>
      </w:pPr>
      <w:r>
        <w:rPr>
          <w:rFonts w:ascii="Times New Roman" w:hAnsi="Times New Roman"/>
          <w:b/>
          <w:sz w:val="24"/>
        </w:rPr>
        <w:t>Confundimento: estágio, centro TCGA e missingness</w:t>
      </w:r>
    </w:p>
    <w:p>
      <w:pPr>
        <w:spacing w:before="0" w:after="120" w:line="360" w:lineRule="auto"/>
        <w:ind w:firstLine="709"/>
        <w:jc w:val="both"/>
      </w:pPr>
      <w:r>
        <w:rPr>
          <w:rFonts w:ascii="Times New Roman" w:hAnsi="Times New Roman" w:eastAsia="Times New Roman"/>
          <w:b w:val="0"/>
          <w:i w:val="0"/>
          <w:sz w:val="24"/>
        </w:rPr>
        <w:t>A Figura 3 mostra o problema central. Grupo e estudo têm Cramér's V = 1,0: todo tumor é TCGA e todo normal é GTEx. Estágio e TSS têm Cramér's V = 0,52; grau e TSS, 0,43; histologia e TSS, 0,41. O centro CC concentra 32 tumores, dos quais 26 (81,2%) são estágio III–IV, e todos os 32 estão sem Child-Pugh. O centro ED tem 7/15 III–IV e todos sem Child-Pugh. Em contraste, o centro DD, com 144 tumores, tem 17,4% III–IV e apenas 8 sem Child-Pugh. Assim, a comparação estágio III–IV vs. I–II é, em parte, uma comparação CC/ED vs. DD.</w:t>
      </w:r>
    </w:p>
    <w:p>
      <w:pPr>
        <w:keepNext/>
        <w:spacing w:before="120" w:after="40"/>
        <w:jc w:val="center"/>
      </w:pPr>
      <w:r>
        <w:drawing>
          <wp:inline xmlns:a="http://schemas.openxmlformats.org/drawingml/2006/main" xmlns:pic="http://schemas.openxmlformats.org/drawingml/2006/picture">
            <wp:extent cx="5940000" cy="2041517"/>
            <wp:docPr id="3" name="Picture 3"/>
            <wp:cNvGraphicFramePr>
              <a:graphicFrameLocks noChangeAspect="1"/>
            </wp:cNvGraphicFramePr>
            <a:graphic>
              <a:graphicData uri="http://schemas.openxmlformats.org/drawingml/2006/picture">
                <pic:pic>
                  <pic:nvPicPr>
                    <pic:cNvPr id="0" name="figura_03_confundimento_TSS.png"/>
                    <pic:cNvPicPr/>
                  </pic:nvPicPr>
                  <pic:blipFill>
                    <a:blip r:embed="rId11"/>
                    <a:stretch>
                      <a:fillRect/>
                    </a:stretch>
                  </pic:blipFill>
                  <pic:spPr>
                    <a:xfrm>
                      <a:off x="0" y="0"/>
                      <a:ext cx="5940000" cy="2041517"/>
                    </a:xfrm>
                    <a:prstGeom prst="rect"/>
                  </pic:spPr>
                </pic:pic>
              </a:graphicData>
            </a:graphic>
          </wp:inline>
        </w:drawing>
      </w:r>
    </w:p>
    <w:p>
      <w:pPr>
        <w:spacing w:before="80" w:after="160" w:line="240" w:lineRule="auto"/>
        <w:jc w:val="left"/>
      </w:pPr>
      <w:r>
        <w:rPr>
          <w:rFonts w:ascii="Times New Roman" w:hAnsi="Times New Roman"/>
          <w:b/>
          <w:sz w:val="22"/>
        </w:rPr>
        <w:t xml:space="preserve">Figura 3. </w:t>
      </w:r>
      <w:r>
        <w:rPr>
          <w:rFonts w:ascii="Times New Roman" w:hAnsi="Times New Roman"/>
          <w:sz w:val="22"/>
        </w:rPr>
        <w:t>Confundimento estrutural. (A) Cramér's V entre variáveis. (B) Proporção de estágio III–IV por centro TCGA; o tamanho do ponto indica Child-Pugh ausente. (C) Percentual de Child-Pugh ausente por centro. CC e ED concentram estágio avançado e missingness de Child-Pugh.</w:t>
      </w:r>
    </w:p>
    <w:p>
      <w:pPr>
        <w:keepNext/>
        <w:spacing w:before="200" w:after="80"/>
        <w:jc w:val="left"/>
      </w:pPr>
      <w:r>
        <w:rPr>
          <w:rFonts w:ascii="Times New Roman" w:hAnsi="Times New Roman"/>
          <w:b/>
          <w:sz w:val="24"/>
        </w:rPr>
        <w:t>Expressão diferencial: o que é robusto e o que não é</w:t>
      </w:r>
    </w:p>
    <w:p>
      <w:pPr>
        <w:spacing w:before="0" w:after="120" w:line="360" w:lineRule="auto"/>
        <w:ind w:firstLine="709"/>
        <w:jc w:val="both"/>
      </w:pPr>
      <w:r>
        <w:rPr>
          <w:rFonts w:ascii="Times New Roman" w:hAnsi="Times New Roman" w:eastAsia="Times New Roman"/>
          <w:b w:val="0"/>
          <w:i w:val="0"/>
          <w:sz w:val="24"/>
        </w:rPr>
        <w:t>A Tabela 3 e a Figura 4 resumem os modelos. O contraste tumor vs. adjacente foi o mais estável: 4.130 DEGs no modelo basal (3.322 up/808 down), 3.710 no pareado (2.934/776), 3.740 no clínico (2.992/748) e 3.736 com TSS (2.986/750). O Jaccard entre basal e clínico foi 0,83; entre basal e pareado, 0,76; a correlação de Spearman dos logFC foi 0,97–0,99. A Figura 5 mostra os volcanos. Os genes mais alterados incluem perda de identidade hepática (CLEC4M, CLEC4G, CLEC1B, FCN2/3, CYP1A2, GDF2, MARCO, CRHBP, ADAMTS13), proliferação (BIRC5, UBE2T, CDC25C, AURKB, CCNB1, CDC20, NUF2, KIF2C), remodelamento vascular/matricial (PLVAP, CD34, MMP9, MMP1, VIM, SPP1, COL1A1, VCAM1) e hipóxia (CA9, MIR210HG, SLC6A8).</w:t>
      </w:r>
    </w:p>
    <w:p>
      <w:pPr>
        <w:spacing w:before="0" w:after="120" w:line="360" w:lineRule="auto"/>
        <w:ind w:firstLine="709"/>
        <w:jc w:val="both"/>
      </w:pPr>
      <w:r>
        <w:rPr>
          <w:rFonts w:ascii="Times New Roman" w:hAnsi="Times New Roman" w:eastAsia="Times New Roman"/>
          <w:b w:val="0"/>
          <w:i w:val="0"/>
          <w:sz w:val="24"/>
        </w:rPr>
        <w:t>A via LA manteve o padrão: 49 DEGs no tumor vs. adjacente basal, 46 no clínico e 21 após ajuste por composição. Os genes mais significativos incluíram IRAK1, TRAF2, MAPK3, HSPA4, HRAS, IRF3, BAX e HSP90AB1 (up) e genes de metabolismo de xenobióticos (CYP2C8, CYP2C9, CYP2A6, CYP2A7) e CAMK2B (down no grau). Isso é consistente com o seminário original e com a literatura de reprogramação lipídica e inflamatória [4,9,12].</w:t>
      </w:r>
    </w:p>
    <w:p>
      <w:pPr>
        <w:spacing w:before="0" w:after="120" w:line="360" w:lineRule="auto"/>
        <w:ind w:firstLine="709"/>
        <w:jc w:val="both"/>
      </w:pPr>
      <w:r>
        <w:rPr>
          <w:rFonts w:ascii="Times New Roman" w:hAnsi="Times New Roman" w:eastAsia="Times New Roman"/>
          <w:b w:val="0"/>
          <w:i w:val="0"/>
          <w:sz w:val="24"/>
        </w:rPr>
        <w:t>O estágio foi o contraste mais frágil. Na coorte completa, o modelo basal encontrou 46 DEGs (3 up/43 down), incluindo CA9, MIR210HG e SLC6A8 up, e CYP7A1, SLC10A1, SDS, GNMT e ACOT12 down. Nos mesmos casos completos, o número caiu para zero; com ajuste por TSS, zero; excluindo CC/ED, zero; com ajuste por composição, zero. O logFC mediano dos 46 genes caiu 65% (de |1,31| para |0,52|). Excluindo apenas estágio IV, o modelo basal ainda encontrou 79 DEGs, mas esse sinal continua confundido com TSS. A conclusão é que a assinatura transcriptômica de estágio não é identificável separadamente do centro e do missingness neste desenho.</w:t>
      </w:r>
    </w:p>
    <w:p>
      <w:pPr>
        <w:spacing w:before="0" w:after="120" w:line="360" w:lineRule="auto"/>
        <w:ind w:firstLine="709"/>
        <w:jc w:val="both"/>
      </w:pPr>
      <w:r>
        <w:rPr>
          <w:rFonts w:ascii="Times New Roman" w:hAnsi="Times New Roman" w:eastAsia="Times New Roman"/>
          <w:b w:val="0"/>
          <w:i w:val="0"/>
          <w:sz w:val="24"/>
        </w:rPr>
        <w:t>O grau foi mais estável: 172 DEGs no basal (61 up/111 down), 199 no clínico (115/84), 247 com TSS (166/81), 337 no modelo só com TSS (159/178), 153 com ajuste por estágio (55/98) e 276 excluindo DD (134/142). Os genes incluíram PITX1, IGF2BP1, CA9, PGC, LINC00511, AP1M2, MUSTN1, SPINK1, UPK3A e FXYD2. O Jaccard basal vs. clínico foi 0,49; basal vs. TSS, 0,39; clínico vs. TSS, 0,70; a correlação de Spearman ficou em 0,93–0,98. O grau tem, portanto, um núcleo proliferativo/dediferenciativo robusto, mas ele também é sensível à composição: após ajuste por xCell, os DEGs caem para zero. Isso não significa que o grau seja 'falso'; significa que parte do sinal de grau é mudança de proporção celular (por exemplo, menos hepatócitos e mais células imunes/estroma).</w:t>
      </w:r>
    </w:p>
    <w:p>
      <w:pPr>
        <w:keepNext/>
        <w:spacing w:before="80" w:after="160" w:line="240" w:lineRule="auto"/>
        <w:jc w:val="left"/>
      </w:pPr>
      <w:r>
        <w:rPr>
          <w:rFonts w:ascii="Times New Roman" w:hAnsi="Times New Roman"/>
          <w:b/>
          <w:sz w:val="22"/>
        </w:rPr>
        <w:t xml:space="preserve">Tabela 3. </w:t>
      </w:r>
      <w:r>
        <w:rPr>
          <w:rFonts w:ascii="Times New Roman" w:hAnsi="Times New Roman"/>
          <w:sz w:val="22"/>
        </w:rPr>
        <w:t>Modelos selecionados de expressão diferencial (FDR &lt; 0,05 e |logFC| &gt; 1). A lista completa (48 modelos) está no material suplementar. Para as linhas de composição, n é o número de amostras do modelo correspondente; o valor de DEGs é o total após ajuste.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3061"/>
            <w:shd w:fill="D9E2F3"/>
          </w:tcPr>
          <w:p>
            <w:pPr>
              <w:keepNext/>
              <w:jc w:val="center"/>
            </w:pPr>
            <w:r/>
            <w:r>
              <w:rPr>
                <w:rFonts w:ascii="Times New Roman" w:hAnsi="Times New Roman"/>
                <w:b/>
                <w:sz w:val="16"/>
              </w:rPr>
              <w:t>Comparação</w:t>
            </w:r>
          </w:p>
        </w:tc>
        <w:tc>
          <w:tcPr>
            <w:tcW w:type="dxa" w:w="3515"/>
            <w:shd w:fill="D9E2F3"/>
          </w:tcPr>
          <w:p>
            <w:pPr>
              <w:keepNext/>
              <w:jc w:val="center"/>
            </w:pPr>
            <w:r/>
            <w:r>
              <w:rPr>
                <w:rFonts w:ascii="Times New Roman" w:hAnsi="Times New Roman"/>
                <w:b/>
                <w:sz w:val="16"/>
              </w:rPr>
              <w:t>Modelo</w:t>
            </w:r>
          </w:p>
        </w:tc>
        <w:tc>
          <w:tcPr>
            <w:tcW w:type="dxa" w:w="907"/>
            <w:shd w:fill="D9E2F3"/>
          </w:tcPr>
          <w:p>
            <w:pPr>
              <w:keepNext/>
              <w:jc w:val="center"/>
            </w:pPr>
            <w:r/>
            <w:r>
              <w:rPr>
                <w:rFonts w:ascii="Times New Roman" w:hAnsi="Times New Roman"/>
                <w:b/>
                <w:sz w:val="16"/>
              </w:rPr>
              <w:t>n</w:t>
            </w:r>
          </w:p>
        </w:tc>
        <w:tc>
          <w:tcPr>
            <w:tcW w:type="dxa" w:w="1247"/>
            <w:shd w:fill="D9E2F3"/>
          </w:tcPr>
          <w:p>
            <w:pPr>
              <w:keepNext/>
              <w:jc w:val="center"/>
            </w:pPr>
            <w:r/>
            <w:r>
              <w:rPr>
                <w:rFonts w:ascii="Times New Roman" w:hAnsi="Times New Roman"/>
                <w:b/>
                <w:sz w:val="16"/>
              </w:rPr>
              <w:t>Up/Down</w:t>
            </w:r>
          </w:p>
        </w:tc>
        <w:tc>
          <w:tcPr>
            <w:tcW w:type="dxa" w:w="794"/>
            <w:shd w:fill="D9E2F3"/>
          </w:tcPr>
          <w:p>
            <w:pPr>
              <w:keepNext/>
              <w:jc w:val="center"/>
            </w:pPr>
            <w:r/>
            <w:r>
              <w:rPr>
                <w:rFonts w:ascii="Times New Roman" w:hAnsi="Times New Roman"/>
                <w:b/>
                <w:sz w:val="16"/>
              </w:rPr>
              <w:t>DEGs</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basal (sexo, idade)</w:t>
            </w:r>
          </w:p>
        </w:tc>
        <w:tc>
          <w:tcPr>
            <w:tcW w:type="dxa" w:w="907"/>
          </w:tcPr>
          <w:p>
            <w:pPr>
              <w:keepNext/>
              <w:jc w:val="center"/>
            </w:pPr>
            <w:r/>
            <w:r>
              <w:rPr>
                <w:rFonts w:ascii="Times New Roman" w:hAnsi="Times New Roman"/>
                <w:sz w:val="16"/>
              </w:rPr>
              <w:t>418</w:t>
            </w:r>
          </w:p>
        </w:tc>
        <w:tc>
          <w:tcPr>
            <w:tcW w:type="dxa" w:w="1247"/>
          </w:tcPr>
          <w:p>
            <w:pPr>
              <w:keepNext/>
              <w:jc w:val="center"/>
            </w:pPr>
            <w:r/>
            <w:r>
              <w:rPr>
                <w:rFonts w:ascii="Times New Roman" w:hAnsi="Times New Roman"/>
                <w:sz w:val="16"/>
              </w:rPr>
              <w:t>3322/808</w:t>
            </w:r>
          </w:p>
        </w:tc>
        <w:tc>
          <w:tcPr>
            <w:tcW w:type="dxa" w:w="794"/>
          </w:tcPr>
          <w:p>
            <w:pPr>
              <w:keepNext/>
              <w:jc w:val="center"/>
            </w:pPr>
            <w:r/>
            <w:r>
              <w:rPr>
                <w:rFonts w:ascii="Times New Roman" w:hAnsi="Times New Roman"/>
                <w:sz w:val="16"/>
              </w:rPr>
              <w:t>4130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pareado por paciente</w:t>
            </w:r>
          </w:p>
        </w:tc>
        <w:tc>
          <w:tcPr>
            <w:tcW w:type="dxa" w:w="907"/>
          </w:tcPr>
          <w:p>
            <w:pPr>
              <w:keepNext/>
              <w:jc w:val="center"/>
            </w:pPr>
            <w:r/>
            <w:r>
              <w:rPr>
                <w:rFonts w:ascii="Times New Roman" w:hAnsi="Times New Roman"/>
                <w:sz w:val="16"/>
              </w:rPr>
              <w:t>419</w:t>
            </w:r>
          </w:p>
        </w:tc>
        <w:tc>
          <w:tcPr>
            <w:tcW w:type="dxa" w:w="1247"/>
          </w:tcPr>
          <w:p>
            <w:pPr>
              <w:keepNext/>
              <w:jc w:val="center"/>
            </w:pPr>
            <w:r/>
            <w:r>
              <w:rPr>
                <w:rFonts w:ascii="Times New Roman" w:hAnsi="Times New Roman"/>
                <w:sz w:val="16"/>
              </w:rPr>
              <w:t>2934/776</w:t>
            </w:r>
          </w:p>
        </w:tc>
        <w:tc>
          <w:tcPr>
            <w:tcW w:type="dxa" w:w="794"/>
          </w:tcPr>
          <w:p>
            <w:pPr>
              <w:keepNext/>
              <w:jc w:val="center"/>
            </w:pPr>
            <w:r/>
            <w:r>
              <w:rPr>
                <w:rFonts w:ascii="Times New Roman" w:hAnsi="Times New Roman"/>
                <w:sz w:val="16"/>
              </w:rPr>
              <w:t>3710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clínico completo</w:t>
            </w:r>
          </w:p>
        </w:tc>
        <w:tc>
          <w:tcPr>
            <w:tcW w:type="dxa" w:w="907"/>
          </w:tcPr>
          <w:p>
            <w:pPr>
              <w:keepNext/>
              <w:jc w:val="center"/>
            </w:pPr>
            <w:r/>
            <w:r>
              <w:rPr>
                <w:rFonts w:ascii="Times New Roman" w:hAnsi="Times New Roman"/>
                <w:sz w:val="16"/>
              </w:rPr>
              <w:t>257</w:t>
            </w:r>
          </w:p>
        </w:tc>
        <w:tc>
          <w:tcPr>
            <w:tcW w:type="dxa" w:w="1247"/>
          </w:tcPr>
          <w:p>
            <w:pPr>
              <w:keepNext/>
              <w:jc w:val="center"/>
            </w:pPr>
            <w:r/>
            <w:r>
              <w:rPr>
                <w:rFonts w:ascii="Times New Roman" w:hAnsi="Times New Roman"/>
                <w:sz w:val="16"/>
              </w:rPr>
              <w:t>2992/748</w:t>
            </w:r>
          </w:p>
        </w:tc>
        <w:tc>
          <w:tcPr>
            <w:tcW w:type="dxa" w:w="794"/>
          </w:tcPr>
          <w:p>
            <w:pPr>
              <w:keepNext/>
              <w:jc w:val="center"/>
            </w:pPr>
            <w:r/>
            <w:r>
              <w:rPr>
                <w:rFonts w:ascii="Times New Roman" w:hAnsi="Times New Roman"/>
                <w:sz w:val="16"/>
              </w:rPr>
              <w:t>3740</w:t>
            </w:r>
          </w:p>
        </w:tc>
      </w:tr>
      <w:tr>
        <w:trPr>
          <w:cantSplit/>
        </w:trPr>
        <w:tc>
          <w:tcPr>
            <w:tcW w:type="dxa" w:w="3061"/>
          </w:tcPr>
          <w:p>
            <w:pPr>
              <w:keepNext/>
              <w:jc w:val="left"/>
            </w:pPr>
            <w:r/>
            <w:r>
              <w:rPr>
                <w:rFonts w:ascii="Times New Roman" w:hAnsi="Times New Roman"/>
                <w:sz w:val="16"/>
              </w:rPr>
              <w:t>Tumor vs. GTEx</w:t>
            </w:r>
          </w:p>
        </w:tc>
        <w:tc>
          <w:tcPr>
            <w:tcW w:type="dxa" w:w="3515"/>
          </w:tcPr>
          <w:p>
            <w:pPr>
              <w:keepNext/>
              <w:jc w:val="center"/>
            </w:pPr>
            <w:r/>
            <w:r>
              <w:rPr>
                <w:rFonts w:ascii="Times New Roman" w:hAnsi="Times New Roman"/>
                <w:sz w:val="16"/>
              </w:rPr>
              <w:t>basal (sexo, idade)</w:t>
            </w:r>
          </w:p>
        </w:tc>
        <w:tc>
          <w:tcPr>
            <w:tcW w:type="dxa" w:w="907"/>
          </w:tcPr>
          <w:p>
            <w:pPr>
              <w:keepNext/>
              <w:jc w:val="center"/>
            </w:pPr>
            <w:r/>
            <w:r>
              <w:rPr>
                <w:rFonts w:ascii="Times New Roman" w:hAnsi="Times New Roman"/>
                <w:sz w:val="16"/>
              </w:rPr>
              <w:t>477</w:t>
            </w:r>
          </w:p>
        </w:tc>
        <w:tc>
          <w:tcPr>
            <w:tcW w:type="dxa" w:w="1247"/>
          </w:tcPr>
          <w:p>
            <w:pPr>
              <w:keepNext/>
              <w:jc w:val="center"/>
            </w:pPr>
            <w:r/>
            <w:r>
              <w:rPr>
                <w:rFonts w:ascii="Times New Roman" w:hAnsi="Times New Roman"/>
                <w:sz w:val="16"/>
              </w:rPr>
              <w:t>2251/1140</w:t>
            </w:r>
          </w:p>
        </w:tc>
        <w:tc>
          <w:tcPr>
            <w:tcW w:type="dxa" w:w="794"/>
          </w:tcPr>
          <w:p>
            <w:pPr>
              <w:keepNext/>
              <w:jc w:val="center"/>
            </w:pPr>
            <w:r/>
            <w:r>
              <w:rPr>
                <w:rFonts w:ascii="Times New Roman" w:hAnsi="Times New Roman"/>
                <w:sz w:val="16"/>
              </w:rPr>
              <w:t>3391</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basal</w:t>
            </w:r>
          </w:p>
        </w:tc>
        <w:tc>
          <w:tcPr>
            <w:tcW w:type="dxa" w:w="907"/>
          </w:tcPr>
          <w:p>
            <w:pPr>
              <w:keepNext/>
              <w:jc w:val="center"/>
            </w:pPr>
            <w:r/>
            <w:r>
              <w:rPr>
                <w:rFonts w:ascii="Times New Roman" w:hAnsi="Times New Roman"/>
                <w:sz w:val="16"/>
              </w:rPr>
              <w:t>344</w:t>
            </w:r>
          </w:p>
        </w:tc>
        <w:tc>
          <w:tcPr>
            <w:tcW w:type="dxa" w:w="1247"/>
          </w:tcPr>
          <w:p>
            <w:pPr>
              <w:keepNext/>
              <w:jc w:val="center"/>
            </w:pPr>
            <w:r/>
            <w:r>
              <w:rPr>
                <w:rFonts w:ascii="Times New Roman" w:hAnsi="Times New Roman"/>
                <w:sz w:val="16"/>
              </w:rPr>
              <w:t>3/43</w:t>
            </w:r>
          </w:p>
        </w:tc>
        <w:tc>
          <w:tcPr>
            <w:tcW w:type="dxa" w:w="794"/>
          </w:tcPr>
          <w:p>
            <w:pPr>
              <w:keepNext/>
              <w:jc w:val="center"/>
            </w:pPr>
            <w:r/>
            <w:r>
              <w:rPr>
                <w:rFonts w:ascii="Times New Roman" w:hAnsi="Times New Roman"/>
                <w:sz w:val="16"/>
              </w:rPr>
              <w:t>46</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mesmos casos completos</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ajuste por TSS</w:t>
            </w:r>
          </w:p>
        </w:tc>
        <w:tc>
          <w:tcPr>
            <w:tcW w:type="dxa" w:w="907"/>
          </w:tcPr>
          <w:p>
            <w:pPr>
              <w:keepNext/>
              <w:jc w:val="center"/>
            </w:pPr>
            <w:r/>
            <w:r>
              <w:rPr>
                <w:rFonts w:ascii="Times New Roman" w:hAnsi="Times New Roman"/>
                <w:sz w:val="16"/>
              </w:rPr>
              <w:t>344</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basal</w:t>
            </w:r>
          </w:p>
        </w:tc>
        <w:tc>
          <w:tcPr>
            <w:tcW w:type="dxa" w:w="907"/>
          </w:tcPr>
          <w:p>
            <w:pPr>
              <w:keepNext/>
              <w:jc w:val="center"/>
            </w:pPr>
            <w:r/>
            <w:r>
              <w:rPr>
                <w:rFonts w:ascii="Times New Roman" w:hAnsi="Times New Roman"/>
                <w:sz w:val="16"/>
              </w:rPr>
              <w:t>363</w:t>
            </w:r>
          </w:p>
        </w:tc>
        <w:tc>
          <w:tcPr>
            <w:tcW w:type="dxa" w:w="1247"/>
          </w:tcPr>
          <w:p>
            <w:pPr>
              <w:keepNext/>
              <w:jc w:val="center"/>
            </w:pPr>
            <w:r/>
            <w:r>
              <w:rPr>
                <w:rFonts w:ascii="Times New Roman" w:hAnsi="Times New Roman"/>
                <w:sz w:val="16"/>
              </w:rPr>
              <w:t>61/111</w:t>
            </w:r>
          </w:p>
        </w:tc>
        <w:tc>
          <w:tcPr>
            <w:tcW w:type="dxa" w:w="794"/>
          </w:tcPr>
          <w:p>
            <w:pPr>
              <w:keepNext/>
              <w:jc w:val="center"/>
            </w:pPr>
            <w:r/>
            <w:r>
              <w:rPr>
                <w:rFonts w:ascii="Times New Roman" w:hAnsi="Times New Roman"/>
                <w:sz w:val="16"/>
              </w:rPr>
              <w:t>172</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115/84</w:t>
            </w:r>
          </w:p>
        </w:tc>
        <w:tc>
          <w:tcPr>
            <w:tcW w:type="dxa" w:w="794"/>
          </w:tcPr>
          <w:p>
            <w:pPr>
              <w:keepNext/>
              <w:jc w:val="center"/>
            </w:pPr>
            <w:r/>
            <w:r>
              <w:rPr>
                <w:rFonts w:ascii="Times New Roman" w:hAnsi="Times New Roman"/>
                <w:sz w:val="16"/>
              </w:rPr>
              <w:t>199</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clínico + TSS</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166/81</w:t>
            </w:r>
          </w:p>
        </w:tc>
        <w:tc>
          <w:tcPr>
            <w:tcW w:type="dxa" w:w="794"/>
          </w:tcPr>
          <w:p>
            <w:pPr>
              <w:keepNext/>
              <w:jc w:val="center"/>
            </w:pPr>
            <w:r/>
            <w:r>
              <w:rPr>
                <w:rFonts w:ascii="Times New Roman" w:hAnsi="Times New Roman"/>
                <w:sz w:val="16"/>
              </w:rPr>
              <w:t>247</w:t>
            </w:r>
          </w:p>
        </w:tc>
      </w:tr>
      <w:tr>
        <w:trPr>
          <w:cantSplit/>
        </w:trPr>
        <w:tc>
          <w:tcPr>
            <w:tcW w:type="dxa" w:w="3061"/>
          </w:tcPr>
          <w:p>
            <w:pPr>
              <w:keepNext/>
              <w:jc w:val="left"/>
            </w:pPr>
            <w:r/>
            <w:r>
              <w:rPr>
                <w:rFonts w:ascii="Times New Roman" w:hAnsi="Times New Roman"/>
                <w:sz w:val="16"/>
              </w:rPr>
              <w:t>Masculino vs. feminino</w:t>
            </w:r>
          </w:p>
        </w:tc>
        <w:tc>
          <w:tcPr>
            <w:tcW w:type="dxa" w:w="3515"/>
          </w:tcPr>
          <w:p>
            <w:pPr>
              <w:keepNext/>
              <w:jc w:val="center"/>
            </w:pPr>
            <w:r/>
            <w:r>
              <w:rPr>
                <w:rFonts w:ascii="Times New Roman" w:hAnsi="Times New Roman"/>
                <w:sz w:val="16"/>
              </w:rPr>
              <w:t>GTEx normal</w:t>
            </w:r>
          </w:p>
        </w:tc>
        <w:tc>
          <w:tcPr>
            <w:tcW w:type="dxa" w:w="907"/>
          </w:tcPr>
          <w:p>
            <w:pPr>
              <w:keepNext/>
              <w:jc w:val="center"/>
            </w:pPr>
            <w:r/>
            <w:r>
              <w:rPr>
                <w:rFonts w:ascii="Times New Roman" w:hAnsi="Times New Roman"/>
                <w:sz w:val="16"/>
              </w:rPr>
              <w:t>109</w:t>
            </w:r>
          </w:p>
        </w:tc>
        <w:tc>
          <w:tcPr>
            <w:tcW w:type="dxa" w:w="1247"/>
          </w:tcPr>
          <w:p>
            <w:pPr>
              <w:keepNext/>
              <w:jc w:val="center"/>
            </w:pPr>
            <w:r/>
            <w:r>
              <w:rPr>
                <w:rFonts w:ascii="Times New Roman" w:hAnsi="Times New Roman"/>
                <w:sz w:val="16"/>
              </w:rPr>
              <w:t>8/5</w:t>
            </w:r>
          </w:p>
        </w:tc>
        <w:tc>
          <w:tcPr>
            <w:tcW w:type="dxa" w:w="794"/>
          </w:tcPr>
          <w:p>
            <w:pPr>
              <w:keepNext/>
              <w:jc w:val="center"/>
            </w:pPr>
            <w:r/>
            <w:r>
              <w:rPr>
                <w:rFonts w:ascii="Times New Roman" w:hAnsi="Times New Roman"/>
                <w:sz w:val="16"/>
              </w:rPr>
              <w:t>13</w:t>
            </w:r>
          </w:p>
        </w:tc>
      </w:tr>
      <w:tr>
        <w:trPr>
          <w:cantSplit/>
        </w:trPr>
        <w:tc>
          <w:tcPr>
            <w:tcW w:type="dxa" w:w="3061"/>
          </w:tcPr>
          <w:p>
            <w:pPr>
              <w:keepNext/>
              <w:jc w:val="left"/>
            </w:pPr>
            <w:r/>
            <w:r>
              <w:rPr>
                <w:rFonts w:ascii="Times New Roman" w:hAnsi="Times New Roman"/>
                <w:sz w:val="16"/>
              </w:rPr>
              <w:t>Masculino vs. feminino</w:t>
            </w:r>
          </w:p>
        </w:tc>
        <w:tc>
          <w:tcPr>
            <w:tcW w:type="dxa" w:w="3515"/>
          </w:tcPr>
          <w:p>
            <w:pPr>
              <w:keepNext/>
              <w:jc w:val="center"/>
            </w:pPr>
            <w:r/>
            <w:r>
              <w:rPr>
                <w:rFonts w:ascii="Times New Roman" w:hAnsi="Times New Roman"/>
                <w:sz w:val="16"/>
              </w:rPr>
              <w:t>tumor, clínico</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133/42</w:t>
            </w:r>
          </w:p>
        </w:tc>
        <w:tc>
          <w:tcPr>
            <w:tcW w:type="dxa" w:w="794"/>
          </w:tcPr>
          <w:p>
            <w:pPr>
              <w:keepNext/>
              <w:jc w:val="center"/>
            </w:pPr>
            <w:r/>
            <w:r>
              <w:rPr>
                <w:rFonts w:ascii="Times New Roman" w:hAnsi="Times New Roman"/>
                <w:sz w:val="16"/>
              </w:rPr>
              <w:t>175</w:t>
            </w:r>
          </w:p>
        </w:tc>
      </w:tr>
      <w:tr>
        <w:trPr>
          <w:cantSplit/>
        </w:trPr>
        <w:tc>
          <w:tcPr>
            <w:tcW w:type="dxa" w:w="3061"/>
          </w:tcPr>
          <w:p>
            <w:pPr>
              <w:keepNext/>
              <w:jc w:val="left"/>
            </w:pPr>
            <w:r/>
            <w:r>
              <w:rPr>
                <w:rFonts w:ascii="Times New Roman" w:hAnsi="Times New Roman"/>
                <w:sz w:val="16"/>
              </w:rPr>
              <w:t>AFP ≥400 vs. &lt;400</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262</w:t>
            </w:r>
          </w:p>
        </w:tc>
        <w:tc>
          <w:tcPr>
            <w:tcW w:type="dxa" w:w="1247"/>
          </w:tcPr>
          <w:p>
            <w:pPr>
              <w:keepNext/>
              <w:jc w:val="center"/>
            </w:pPr>
            <w:r/>
            <w:r>
              <w:rPr>
                <w:rFonts w:ascii="Times New Roman" w:hAnsi="Times New Roman"/>
                <w:sz w:val="16"/>
              </w:rPr>
              <w:t>149/306</w:t>
            </w:r>
          </w:p>
        </w:tc>
        <w:tc>
          <w:tcPr>
            <w:tcW w:type="dxa" w:w="794"/>
          </w:tcPr>
          <w:p>
            <w:pPr>
              <w:keepNext/>
              <w:jc w:val="center"/>
            </w:pPr>
            <w:r/>
            <w:r>
              <w:rPr>
                <w:rFonts w:ascii="Times New Roman" w:hAnsi="Times New Roman"/>
                <w:sz w:val="16"/>
              </w:rPr>
              <w:t>455</w:t>
            </w:r>
          </w:p>
        </w:tc>
      </w:tr>
      <w:tr>
        <w:trPr>
          <w:cantSplit/>
        </w:trPr>
        <w:tc>
          <w:tcPr>
            <w:tcW w:type="dxa" w:w="3061"/>
          </w:tcPr>
          <w:p>
            <w:pPr>
              <w:keepNext/>
              <w:jc w:val="left"/>
            </w:pPr>
            <w:r/>
            <w:r>
              <w:rPr>
                <w:rFonts w:ascii="Times New Roman" w:hAnsi="Times New Roman"/>
                <w:sz w:val="16"/>
              </w:rPr>
              <w:t>Child-Pugh B–C vs. A</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Outros vs. HCC</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226</w:t>
            </w:r>
          </w:p>
        </w:tc>
        <w:tc>
          <w:tcPr>
            <w:tcW w:type="dxa" w:w="1247"/>
          </w:tcPr>
          <w:p>
            <w:pPr>
              <w:keepNext/>
              <w:jc w:val="center"/>
            </w:pPr>
            <w:r/>
            <w:r>
              <w:rPr>
                <w:rFonts w:ascii="Times New Roman" w:hAnsi="Times New Roman"/>
                <w:sz w:val="16"/>
              </w:rPr>
              <w:t>175/67</w:t>
            </w:r>
          </w:p>
        </w:tc>
        <w:tc>
          <w:tcPr>
            <w:tcW w:type="dxa" w:w="794"/>
          </w:tcPr>
          <w:p>
            <w:pPr>
              <w:keepNext/>
              <w:jc w:val="center"/>
            </w:pPr>
            <w:r/>
            <w:r>
              <w:rPr>
                <w:rFonts w:ascii="Times New Roman" w:hAnsi="Times New Roman"/>
                <w:sz w:val="16"/>
              </w:rPr>
              <w:t>242</w:t>
            </w:r>
          </w:p>
        </w:tc>
      </w:tr>
      <w:tr>
        <w:trPr>
          <w:cantSplit/>
        </w:trPr>
        <w:tc>
          <w:tcPr>
            <w:tcW w:type="dxa" w:w="3061"/>
          </w:tcPr>
          <w:p>
            <w:pPr>
              <w:keepNext/>
              <w:jc w:val="left"/>
            </w:pPr>
            <w:r/>
            <w:r>
              <w:rPr>
                <w:rFonts w:ascii="Times New Roman" w:hAnsi="Times New Roman"/>
                <w:sz w:val="16"/>
              </w:rPr>
              <w:t>Ishak ≥5 vs. &lt;5</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198</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Macro vs. micro</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101</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HBV vs. HCV</w:t>
            </w:r>
          </w:p>
        </w:tc>
        <w:tc>
          <w:tcPr>
            <w:tcW w:type="dxa" w:w="3515"/>
          </w:tcPr>
          <w:p>
            <w:pPr>
              <w:keepNext/>
              <w:jc w:val="center"/>
            </w:pPr>
            <w:r/>
            <w:r>
              <w:rPr>
                <w:rFonts w:ascii="Times New Roman" w:hAnsi="Times New Roman"/>
                <w:sz w:val="16"/>
              </w:rPr>
              <w:t>clínico</w:t>
            </w:r>
          </w:p>
        </w:tc>
        <w:tc>
          <w:tcPr>
            <w:tcW w:type="dxa" w:w="907"/>
          </w:tcPr>
          <w:p>
            <w:pPr>
              <w:keepNext/>
              <w:jc w:val="center"/>
            </w:pPr>
            <w:r/>
            <w:r>
              <w:rPr>
                <w:rFonts w:ascii="Times New Roman" w:hAnsi="Times New Roman"/>
                <w:sz w:val="16"/>
              </w:rPr>
              <w:t>47</w:t>
            </w:r>
          </w:p>
        </w:tc>
        <w:tc>
          <w:tcPr>
            <w:tcW w:type="dxa" w:w="1247"/>
          </w:tcPr>
          <w:p>
            <w:pPr>
              <w:keepNext/>
              <w:jc w:val="center"/>
            </w:pPr>
            <w:r/>
            <w:r>
              <w:rPr>
                <w:rFonts w:ascii="Times New Roman" w:hAnsi="Times New Roman"/>
                <w:sz w:val="16"/>
              </w:rPr>
              <w:t>0/0</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Tumor vs. adjacente</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418</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1897</w:t>
            </w:r>
          </w:p>
        </w:tc>
      </w:tr>
      <w:tr>
        <w:trPr>
          <w:cantSplit/>
        </w:trPr>
        <w:tc>
          <w:tcPr>
            <w:tcW w:type="dxa" w:w="3061"/>
          </w:tcPr>
          <w:p>
            <w:pPr>
              <w:keepNext/>
              <w:jc w:val="left"/>
            </w:pPr>
            <w:r/>
            <w:r>
              <w:rPr>
                <w:rFonts w:ascii="Times New Roman" w:hAnsi="Times New Roman"/>
                <w:sz w:val="16"/>
              </w:rPr>
              <w:t>Tumor vs. GTEx</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477</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2732</w:t>
            </w:r>
          </w:p>
        </w:tc>
      </w:tr>
      <w:tr>
        <w:trPr>
          <w:cantSplit/>
        </w:trPr>
        <w:tc>
          <w:tcPr>
            <w:tcW w:type="dxa" w:w="3061"/>
          </w:tcPr>
          <w:p>
            <w:pPr>
              <w:keepNext/>
              <w:jc w:val="left"/>
            </w:pPr>
            <w:r/>
            <w:r>
              <w:rPr>
                <w:rFonts w:ascii="Times New Roman" w:hAnsi="Times New Roman"/>
                <w:sz w:val="16"/>
              </w:rPr>
              <w:t>Estágio III–IV vs. I–II</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Grau G3–G4 vs. G1–G2</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342</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0</w:t>
            </w:r>
          </w:p>
        </w:tc>
      </w:tr>
      <w:tr>
        <w:trPr>
          <w:cantSplit/>
        </w:trPr>
        <w:tc>
          <w:tcPr>
            <w:tcW w:type="dxa" w:w="3061"/>
          </w:tcPr>
          <w:p>
            <w:pPr>
              <w:keepNext/>
              <w:jc w:val="left"/>
            </w:pPr>
            <w:r/>
            <w:r>
              <w:rPr>
                <w:rFonts w:ascii="Times New Roman" w:hAnsi="Times New Roman"/>
                <w:sz w:val="16"/>
              </w:rPr>
              <w:t>Masculino vs. feminino (GTEx)</w:t>
            </w:r>
          </w:p>
        </w:tc>
        <w:tc>
          <w:tcPr>
            <w:tcW w:type="dxa" w:w="3515"/>
          </w:tcPr>
          <w:p>
            <w:pPr>
              <w:keepNext/>
              <w:jc w:val="center"/>
            </w:pPr>
            <w:r/>
            <w:r>
              <w:rPr>
                <w:rFonts w:ascii="Times New Roman" w:hAnsi="Times New Roman"/>
                <w:sz w:val="16"/>
              </w:rPr>
              <w:t>xCell (hepatócitos + imune + estroma)</w:t>
            </w:r>
          </w:p>
        </w:tc>
        <w:tc>
          <w:tcPr>
            <w:tcW w:type="dxa" w:w="907"/>
          </w:tcPr>
          <w:p>
            <w:pPr>
              <w:keepNext/>
              <w:jc w:val="center"/>
            </w:pPr>
            <w:r/>
            <w:r>
              <w:rPr>
                <w:rFonts w:ascii="Times New Roman" w:hAnsi="Times New Roman"/>
                <w:sz w:val="16"/>
              </w:rPr>
              <w:t>109</w:t>
            </w:r>
          </w:p>
        </w:tc>
        <w:tc>
          <w:tcPr>
            <w:tcW w:type="dxa" w:w="1247"/>
          </w:tcPr>
          <w:p>
            <w:pPr>
              <w:keepNext/>
              <w:jc w:val="center"/>
            </w:pPr>
            <w:r/>
            <w:r>
              <w:rPr>
                <w:rFonts w:ascii="Times New Roman" w:hAnsi="Times New Roman"/>
                <w:sz w:val="16"/>
              </w:rPr>
              <w:t>—</w:t>
            </w:r>
          </w:p>
        </w:tc>
        <w:tc>
          <w:tcPr>
            <w:tcW w:type="dxa" w:w="794"/>
          </w:tcPr>
          <w:p>
            <w:pPr>
              <w:keepNext/>
              <w:jc w:val="center"/>
            </w:pPr>
            <w:r/>
            <w:r>
              <w:rPr>
                <w:rFonts w:ascii="Times New Roman" w:hAnsi="Times New Roman"/>
                <w:sz w:val="16"/>
              </w:rPr>
              <w:t>15</w:t>
            </w:r>
          </w:p>
        </w:tc>
      </w:tr>
      <w:tr>
        <w:trPr>
          <w:cantSplit/>
        </w:trPr>
        <w:tc>
          <w:tcPr>
            <w:tcW w:type="dxa" w:w="3061"/>
          </w:tcPr>
          <w:p>
            <w:pPr>
              <w:jc w:val="left"/>
            </w:pPr>
            <w:r/>
            <w:r>
              <w:rPr>
                <w:rFonts w:ascii="Times New Roman" w:hAnsi="Times New Roman"/>
                <w:sz w:val="16"/>
              </w:rPr>
              <w:t>Masculino vs. feminino (tumor)</w:t>
            </w:r>
          </w:p>
        </w:tc>
        <w:tc>
          <w:tcPr>
            <w:tcW w:type="dxa" w:w="3515"/>
          </w:tcPr>
          <w:p>
            <w:pPr>
              <w:jc w:val="center"/>
            </w:pPr>
            <w:r/>
            <w:r>
              <w:rPr>
                <w:rFonts w:ascii="Times New Roman" w:hAnsi="Times New Roman"/>
                <w:sz w:val="16"/>
              </w:rPr>
              <w:t>xCell (hepatócitos + imune + estroma)</w:t>
            </w:r>
          </w:p>
        </w:tc>
        <w:tc>
          <w:tcPr>
            <w:tcW w:type="dxa" w:w="907"/>
          </w:tcPr>
          <w:p>
            <w:pPr>
              <w:jc w:val="center"/>
            </w:pPr>
            <w:r/>
            <w:r>
              <w:rPr>
                <w:rFonts w:ascii="Times New Roman" w:hAnsi="Times New Roman"/>
                <w:sz w:val="16"/>
              </w:rPr>
              <w:t>342</w:t>
            </w:r>
          </w:p>
        </w:tc>
        <w:tc>
          <w:tcPr>
            <w:tcW w:type="dxa" w:w="1247"/>
          </w:tcPr>
          <w:p>
            <w:pPr>
              <w:jc w:val="center"/>
            </w:pPr>
            <w:r/>
            <w:r>
              <w:rPr>
                <w:rFonts w:ascii="Times New Roman" w:hAnsi="Times New Roman"/>
                <w:sz w:val="16"/>
              </w:rPr>
              <w:t>—</w:t>
            </w:r>
          </w:p>
        </w:tc>
        <w:tc>
          <w:tcPr>
            <w:tcW w:type="dxa" w:w="794"/>
          </w:tcPr>
          <w:p>
            <w:pPr>
              <w:jc w:val="center"/>
            </w:pPr>
            <w:r/>
            <w:r>
              <w:rPr>
                <w:rFonts w:ascii="Times New Roman" w:hAnsi="Times New Roman"/>
                <w:sz w:val="16"/>
              </w:rPr>
              <w:t>90</w:t>
            </w:r>
          </w:p>
        </w:tc>
      </w:tr>
    </w:tbl>
    <w:p>
      <w:pPr>
        <w:keepNext/>
        <w:spacing w:before="120" w:after="40"/>
        <w:jc w:val="center"/>
      </w:pPr>
      <w:r>
        <w:drawing>
          <wp:inline xmlns:a="http://schemas.openxmlformats.org/drawingml/2006/main" xmlns:pic="http://schemas.openxmlformats.org/drawingml/2006/picture">
            <wp:extent cx="5940000" cy="4246265"/>
            <wp:docPr id="4" name="Picture 4"/>
            <wp:cNvGraphicFramePr>
              <a:graphicFrameLocks noChangeAspect="1"/>
            </wp:cNvGraphicFramePr>
            <a:graphic>
              <a:graphicData uri="http://schemas.openxmlformats.org/drawingml/2006/picture">
                <pic:pic>
                  <pic:nvPicPr>
                    <pic:cNvPr id="0" name="figura_04_panorama_DEGs.png"/>
                    <pic:cNvPicPr/>
                  </pic:nvPicPr>
                  <pic:blipFill>
                    <a:blip r:embed="rId12"/>
                    <a:stretch>
                      <a:fillRect/>
                    </a:stretch>
                  </pic:blipFill>
                  <pic:spPr>
                    <a:xfrm>
                      <a:off x="0" y="0"/>
                      <a:ext cx="5940000" cy="4246265"/>
                    </a:xfrm>
                    <a:prstGeom prst="rect"/>
                  </pic:spPr>
                </pic:pic>
              </a:graphicData>
            </a:graphic>
          </wp:inline>
        </w:drawing>
      </w:r>
    </w:p>
    <w:p>
      <w:pPr>
        <w:spacing w:before="80" w:after="160" w:line="240" w:lineRule="auto"/>
        <w:jc w:val="left"/>
      </w:pPr>
      <w:r>
        <w:rPr>
          <w:rFonts w:ascii="Times New Roman" w:hAnsi="Times New Roman"/>
          <w:b/>
          <w:sz w:val="22"/>
        </w:rPr>
        <w:t xml:space="preserve">Figura 4. </w:t>
      </w:r>
      <w:r>
        <w:rPr>
          <w:rFonts w:ascii="Times New Roman" w:hAnsi="Times New Roman"/>
          <w:sz w:val="22"/>
        </w:rPr>
        <w:t>Panorama dos modelos de expressão diferencial. Barras vermelhas = genes up; azuis = down; números à direita = total de DEGs. Observe a queda do estágio nos modelos restritos e a estabilidade relativa do grau.</w:t>
      </w:r>
    </w:p>
    <w:p>
      <w:pPr>
        <w:keepNext/>
        <w:spacing w:before="120" w:after="40"/>
        <w:jc w:val="center"/>
      </w:pPr>
      <w:r>
        <w:drawing>
          <wp:inline xmlns:a="http://schemas.openxmlformats.org/drawingml/2006/main" xmlns:pic="http://schemas.openxmlformats.org/drawingml/2006/picture">
            <wp:extent cx="5940000" cy="3662718"/>
            <wp:docPr id="5" name="Picture 5"/>
            <wp:cNvGraphicFramePr>
              <a:graphicFrameLocks noChangeAspect="1"/>
            </wp:cNvGraphicFramePr>
            <a:graphic>
              <a:graphicData uri="http://schemas.openxmlformats.org/drawingml/2006/picture">
                <pic:pic>
                  <pic:nvPicPr>
                    <pic:cNvPr id="0" name="figura_05_volcanos.png"/>
                    <pic:cNvPicPr/>
                  </pic:nvPicPr>
                  <pic:blipFill>
                    <a:blip r:embed="rId13"/>
                    <a:stretch>
                      <a:fillRect/>
                    </a:stretch>
                  </pic:blipFill>
                  <pic:spPr>
                    <a:xfrm>
                      <a:off x="0" y="0"/>
                      <a:ext cx="5940000" cy="3662718"/>
                    </a:xfrm>
                    <a:prstGeom prst="rect"/>
                  </pic:spPr>
                </pic:pic>
              </a:graphicData>
            </a:graphic>
          </wp:inline>
        </w:drawing>
      </w:r>
    </w:p>
    <w:p>
      <w:pPr>
        <w:spacing w:before="80" w:after="160" w:line="240" w:lineRule="auto"/>
        <w:jc w:val="left"/>
      </w:pPr>
      <w:r>
        <w:rPr>
          <w:rFonts w:ascii="Times New Roman" w:hAnsi="Times New Roman"/>
          <w:b/>
          <w:sz w:val="22"/>
        </w:rPr>
        <w:t xml:space="preserve">Figura 5. </w:t>
      </w:r>
      <w:r>
        <w:rPr>
          <w:rFonts w:ascii="Times New Roman" w:hAnsi="Times New Roman"/>
          <w:sz w:val="22"/>
        </w:rPr>
        <w:t>Volcano plots selecionados. (A) Tumor vs. adjacente basal. (B) Tumor vs. adjacente clínico. (C) Tumor vs. GTEx basal. (D) Grau G3–G4 vs. G1–G2 com TSS. (E) Estágio basal. (F) Estágio nos mesmos casos completos, sem DEGs. A comparação E–F mostra a fragilidade do sinal de estágio.</w:t>
      </w:r>
    </w:p>
    <w:p>
      <w:pPr>
        <w:keepNext/>
        <w:spacing w:before="200" w:after="80"/>
        <w:jc w:val="left"/>
      </w:pPr>
      <w:r>
        <w:rPr>
          <w:rFonts w:ascii="Times New Roman" w:hAnsi="Times New Roman"/>
          <w:b/>
          <w:sz w:val="24"/>
        </w:rPr>
        <w:t>Sexo: transcriptoma, hepatócitos e controles positivos</w:t>
      </w:r>
    </w:p>
    <w:p>
      <w:pPr>
        <w:spacing w:before="0" w:after="120" w:line="360" w:lineRule="auto"/>
        <w:ind w:firstLine="709"/>
        <w:jc w:val="both"/>
      </w:pPr>
      <w:r>
        <w:rPr>
          <w:rFonts w:ascii="Times New Roman" w:hAnsi="Times New Roman" w:eastAsia="Times New Roman"/>
          <w:b w:val="0"/>
          <w:i w:val="0"/>
          <w:sz w:val="24"/>
        </w:rPr>
        <w:t>No GTEx normal, o sexo masculino vs. feminino produziu 13 DEGs (8 up/5 down); no tumor, 175 DEGs (133/42); no adjacente, 103 DEGs (92/11). Os controles positivos funcionaram: XIST foi menor em homens e RPS4Y1, EIF1AY, DDX3Y, KDM5D, USP9Y, UTY e TTTY14 foram maiores em homens, com FDR muito baixo. Após ajuste por composição, o número caiu para 15 no GTEx, 90 no tumor (modelo clínico) e 22 no adjacente, mas não foi zerado. Ou seja, a diferença transcricional por sexo não é apenas proporção de hepatócitos.</w:t>
      </w:r>
    </w:p>
    <w:p>
      <w:pPr>
        <w:spacing w:before="0" w:after="120" w:line="360" w:lineRule="auto"/>
        <w:ind w:firstLine="709"/>
        <w:jc w:val="both"/>
      </w:pPr>
      <w:r>
        <w:rPr>
          <w:rFonts w:ascii="Times New Roman" w:hAnsi="Times New Roman" w:eastAsia="Times New Roman"/>
          <w:b w:val="0"/>
          <w:i w:val="0"/>
          <w:sz w:val="24"/>
        </w:rPr>
        <w:t>A composição de hepatócitos por sexo foi analisada separadamente. No tumor, a mediana do escore xCell Hepatocytes foi 0,145 em mulheres e 0,158 em homens (p = 0,010; FDR = 0,129 após corrigir por 26 tipos celulares). No GTEx, 0,203 vs. 0,207 (p = 0,717). No adjacente, 0,229 vs. 0,223 (p = 0,0016), uma diferença muito pequena em magnitude. Assim, existe dimorfismo sexual hepático, mas ele não se resume a 'mais ou menos hepatócitos'; a literatura descreve diferenças intrínsecas de receptores hormonais, enzimas metabólicas e genes ligados ao X [16]. Nossos dados são compatíveis com essa visão: o sexo muda o transcriptoma, mas a composição celular explica apenas parte.</w:t>
      </w:r>
    </w:p>
    <w:p>
      <w:pPr>
        <w:keepNext/>
        <w:spacing w:before="200" w:after="80"/>
        <w:jc w:val="left"/>
      </w:pPr>
      <w:r>
        <w:rPr>
          <w:rFonts w:ascii="Times New Roman" w:hAnsi="Times New Roman"/>
          <w:b/>
          <w:sz w:val="24"/>
        </w:rPr>
        <w:t>AFP, sorologia, Child-Pugh, histologia, fibrose e invasão vascular</w:t>
      </w:r>
    </w:p>
    <w:p>
      <w:pPr>
        <w:spacing w:before="0" w:after="120" w:line="360" w:lineRule="auto"/>
        <w:ind w:firstLine="709"/>
        <w:jc w:val="both"/>
      </w:pPr>
      <w:r>
        <w:rPr>
          <w:rFonts w:ascii="Times New Roman" w:hAnsi="Times New Roman" w:eastAsia="Times New Roman"/>
          <w:b w:val="0"/>
          <w:i w:val="0"/>
          <w:sz w:val="24"/>
        </w:rPr>
        <w:t>AFP ≥400 vs. &lt;400 teve 455 DEGs no modelo clínico (149 up/306 down), com AFP, PEG10, IGF2BP1, IGF2, UPK3A, H19, PGC, FXYD2 e DUSP9 entre os mais significativos. Esse é um controle biológico positivo: AFP é o próprio marcador e reflete dediferenciação. Sorologia (HBV vs. HCV, HBV+HCV vs. HBV, HBV+HCV vs. HCV, conhecido vs. desconhecido), Child-Pugh B-C vs. A, fibrose avançada e invasão vascular macro vs. micro não produziram nenhum DEG com FDR &lt; 0,05 e |logFC| &gt; 1. Isso não prova ausência de biologia; indica poder baixo, missingness alta e confundimento. A histologia produziu 740 DEGs no basal e 1.020 com estágio/grau, mas o grupo 'outros' tinha apenas 10 casos (5 após ajuste completo). Esses números são instáveis e não devem ser interpretados como biologia de subtipo. A Tabela 3 mostra os resultados; a Tabela 9 detalha a via LA.</w:t>
      </w:r>
    </w:p>
    <w:p>
      <w:pPr>
        <w:keepNext/>
        <w:spacing w:before="200" w:after="80"/>
        <w:jc w:val="left"/>
      </w:pPr>
      <w:r>
        <w:rPr>
          <w:rFonts w:ascii="Times New Roman" w:hAnsi="Times New Roman"/>
          <w:b/>
          <w:sz w:val="24"/>
        </w:rPr>
        <w:t>ComBat: o que ele corrige e o que ele apaga</w:t>
      </w:r>
    </w:p>
    <w:p>
      <w:pPr>
        <w:spacing w:before="0" w:after="120" w:line="360" w:lineRule="auto"/>
        <w:ind w:firstLine="709"/>
        <w:jc w:val="both"/>
      </w:pPr>
      <w:r>
        <w:rPr>
          <w:rFonts w:ascii="Times New Roman" w:hAnsi="Times New Roman" w:eastAsia="Times New Roman"/>
          <w:b w:val="0"/>
          <w:i w:val="0"/>
          <w:sz w:val="24"/>
        </w:rPr>
        <w:t>A Tabela 4 e a Figura 6 mostram os cenários. Quando o ComBat tentou preservar tumor/normal na comparação TCGA vs. GTEx (mod = ~grupo + sexo + idade), ele recusou: 'at least one covariate is confounded with batch'. Sem covariável biológica, ele reduziu 3.391 DEGs a 1; o Jaccard foi 0,0003 e a correlação de Spearman dos logFC foi 0,67. A variância do lote em PCs caiu de 0,170 para 0,0002, e o R² da PERMANOVA de 0,091 para 0,0005. O mean.only preservou mais sinal (1.947 DEGs; R² do lote 0,119), mas ainda removeu parte da biologia. O ref.batch = GTEX também deixou 1 DEG. Esses resultados são a demonstração mais clara de sobrecorreção: o método removeu o lote e, com ele, o tumor vs. normal.</w:t>
      </w:r>
    </w:p>
    <w:p>
      <w:pPr>
        <w:spacing w:before="0" w:after="120" w:line="360" w:lineRule="auto"/>
        <w:ind w:firstLine="709"/>
        <w:jc w:val="both"/>
      </w:pPr>
      <w:r>
        <w:rPr>
          <w:rFonts w:ascii="Times New Roman" w:hAnsi="Times New Roman" w:eastAsia="Times New Roman"/>
          <w:b w:val="0"/>
          <w:i w:val="0"/>
          <w:sz w:val="24"/>
        </w:rPr>
        <w:t>Dentro do TCGA, o ComBat com batch = TSS foi mais informativo. No grau, os DEGs passaram de 172 para 290 (Jaccard 0,58; Spearman 0,98), e a variância do lote caiu de 0,075 para 0,015. No estágio, os DEGs passaram de 46 para zero, com Jaccard 0 e Spearman 0,83: a correção de TSS apagou o sinal de estágio. No tumor vs. adjacente, o ComBat com mod = ~grupo + sexo + idade recusou por confundimento; sem proteger o grupo, manteve 3.038 DEGs (de 4.130), Jaccard 0,73 e variância do lote de 0,074 para 0,012. O mean.only manteve 3.605 DEGs. Conclusão: ComBat é útil para TSS quando a biologia é protegida e o lote não é totalmente confundido; não é uma solução para TCGA vs. GTEx e não deve ser aplicado 'no escuro'.</w:t>
      </w:r>
    </w:p>
    <w:p>
      <w:pPr>
        <w:keepNext/>
        <w:spacing w:before="80" w:after="160" w:line="240" w:lineRule="auto"/>
        <w:jc w:val="left"/>
      </w:pPr>
      <w:r>
        <w:rPr>
          <w:rFonts w:ascii="Times New Roman" w:hAnsi="Times New Roman"/>
          <w:b/>
          <w:sz w:val="22"/>
        </w:rPr>
        <w:t xml:space="preserve">Tabela 4. </w:t>
      </w:r>
      <w:r>
        <w:rPr>
          <w:rFonts w:ascii="Times New Roman" w:hAnsi="Times New Roman"/>
          <w:sz w:val="22"/>
        </w:rPr>
        <w:t>Cenários de ComBat. 'Erro' indica que o próprio ComBat detectou confundimento. R² do lote = média ponderada da variância explicada pelo lote nos 10 primeiros PCs (top 2.000 genes variáveis).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cantSplit/>
        </w:trPr>
        <w:tc>
          <w:tcPr>
            <w:tcW w:type="dxa" w:w="1928"/>
            <w:shd w:fill="D9E2F3"/>
          </w:tcPr>
          <w:p>
            <w:pPr>
              <w:keepNext/>
              <w:jc w:val="center"/>
            </w:pPr>
            <w:r/>
            <w:r>
              <w:rPr>
                <w:rFonts w:ascii="Times New Roman" w:hAnsi="Times New Roman"/>
                <w:b/>
                <w:sz w:val="15"/>
              </w:rPr>
              <w:t>Lote / comparação</w:t>
            </w:r>
          </w:p>
        </w:tc>
        <w:tc>
          <w:tcPr>
            <w:tcW w:type="dxa" w:w="2608"/>
            <w:shd w:fill="D9E2F3"/>
          </w:tcPr>
          <w:p>
            <w:pPr>
              <w:keepNext/>
              <w:jc w:val="center"/>
            </w:pPr>
            <w:r/>
            <w:r>
              <w:rPr>
                <w:rFonts w:ascii="Times New Roman" w:hAnsi="Times New Roman"/>
                <w:b/>
                <w:sz w:val="15"/>
              </w:rPr>
              <w:t>mod</w:t>
            </w:r>
          </w:p>
        </w:tc>
        <w:tc>
          <w:tcPr>
            <w:tcW w:type="dxa" w:w="680"/>
            <w:shd w:fill="D9E2F3"/>
          </w:tcPr>
          <w:p>
            <w:pPr>
              <w:keepNext/>
              <w:jc w:val="center"/>
            </w:pPr>
            <w:r/>
            <w:r>
              <w:rPr>
                <w:rFonts w:ascii="Times New Roman" w:hAnsi="Times New Roman"/>
                <w:b/>
                <w:sz w:val="15"/>
              </w:rPr>
              <w:t>n</w:t>
            </w:r>
          </w:p>
        </w:tc>
        <w:tc>
          <w:tcPr>
            <w:tcW w:type="dxa" w:w="680"/>
            <w:shd w:fill="D9E2F3"/>
          </w:tcPr>
          <w:p>
            <w:pPr>
              <w:keepNext/>
              <w:jc w:val="center"/>
            </w:pPr>
            <w:r/>
            <w:r>
              <w:rPr>
                <w:rFonts w:ascii="Times New Roman" w:hAnsi="Times New Roman"/>
                <w:b/>
                <w:sz w:val="15"/>
              </w:rPr>
              <w:t>Lotes</w:t>
            </w:r>
          </w:p>
        </w:tc>
        <w:tc>
          <w:tcPr>
            <w:tcW w:type="dxa" w:w="1417"/>
            <w:shd w:fill="D9E2F3"/>
          </w:tcPr>
          <w:p>
            <w:pPr>
              <w:keepNext/>
              <w:jc w:val="center"/>
            </w:pPr>
            <w:r/>
            <w:r>
              <w:rPr>
                <w:rFonts w:ascii="Times New Roman" w:hAnsi="Times New Roman"/>
                <w:b/>
                <w:sz w:val="15"/>
              </w:rPr>
              <w:t>DEGs antes → depois</w:t>
            </w:r>
          </w:p>
        </w:tc>
        <w:tc>
          <w:tcPr>
            <w:tcW w:type="dxa" w:w="850"/>
            <w:shd w:fill="D9E2F3"/>
          </w:tcPr>
          <w:p>
            <w:pPr>
              <w:keepNext/>
              <w:jc w:val="center"/>
            </w:pPr>
            <w:r/>
            <w:r>
              <w:rPr>
                <w:rFonts w:ascii="Times New Roman" w:hAnsi="Times New Roman"/>
                <w:b/>
                <w:sz w:val="15"/>
              </w:rPr>
              <w:t>Jaccard</w:t>
            </w:r>
          </w:p>
        </w:tc>
        <w:tc>
          <w:tcPr>
            <w:tcW w:type="dxa" w:w="1701"/>
            <w:shd w:fill="D9E2F3"/>
          </w:tcPr>
          <w:p>
            <w:pPr>
              <w:keepNext/>
              <w:jc w:val="center"/>
            </w:pPr>
            <w:r/>
            <w:r>
              <w:rPr>
                <w:rFonts w:ascii="Times New Roman" w:hAnsi="Times New Roman"/>
                <w:b/>
                <w:sz w:val="15"/>
              </w:rPr>
              <w:t>R² lote antes → depois</w:t>
            </w:r>
          </w:p>
        </w:tc>
      </w:tr>
      <w:tr>
        <w:trPr>
          <w:cantSplit/>
        </w:trPr>
        <w:tc>
          <w:tcPr>
            <w:tcW w:type="dxa" w:w="1928"/>
          </w:tcPr>
          <w:p>
            <w:pPr>
              <w:keepNext/>
              <w:jc w:val="left"/>
            </w:pPr>
            <w:r/>
            <w:r>
              <w:rPr>
                <w:rFonts w:ascii="Times New Roman" w:hAnsi="Times New Roman"/>
                <w:sz w:val="15"/>
              </w:rPr>
              <w:t>TCGA vs. GTEx</w:t>
            </w:r>
          </w:p>
        </w:tc>
        <w:tc>
          <w:tcPr>
            <w:tcW w:type="dxa" w:w="2608"/>
          </w:tcPr>
          <w:p>
            <w:pPr>
              <w:keepNext/>
              <w:jc w:val="center"/>
            </w:pPr>
            <w:r/>
            <w:r>
              <w:rPr>
                <w:rFonts w:ascii="Times New Roman" w:hAnsi="Times New Roman"/>
                <w:sz w:val="15"/>
              </w:rPr>
              <w:t>~grupo + sexo + idade</w:t>
            </w:r>
          </w:p>
        </w:tc>
        <w:tc>
          <w:tcPr>
            <w:tcW w:type="dxa" w:w="680"/>
          </w:tcPr>
          <w:p>
            <w:pPr>
              <w:keepNext/>
              <w:jc w:val="center"/>
            </w:pPr>
            <w:r/>
            <w:r>
              <w:rPr>
                <w:rFonts w:ascii="Times New Roman" w:hAnsi="Times New Roman"/>
                <w:sz w:val="15"/>
              </w:rPr>
              <w:t>527</w:t>
            </w:r>
          </w:p>
        </w:tc>
        <w:tc>
          <w:tcPr>
            <w:tcW w:type="dxa" w:w="680"/>
          </w:tcPr>
          <w:p>
            <w:pPr>
              <w:keepNext/>
              <w:jc w:val="center"/>
            </w:pPr>
            <w:r/>
            <w:r>
              <w:rPr>
                <w:rFonts w:ascii="Times New Roman" w:hAnsi="Times New Roman"/>
                <w:sz w:val="15"/>
              </w:rPr>
              <w:t>2</w:t>
            </w:r>
          </w:p>
        </w:tc>
        <w:tc>
          <w:tcPr>
            <w:tcW w:type="dxa" w:w="1417"/>
          </w:tcPr>
          <w:p>
            <w:pPr>
              <w:keepNext/>
              <w:jc w:val="center"/>
            </w:pPr>
            <w:r/>
            <w:r>
              <w:rPr>
                <w:rFonts w:ascii="Times New Roman" w:hAnsi="Times New Roman"/>
                <w:sz w:val="15"/>
              </w:rPr>
              <w:t>— → —</w:t>
            </w:r>
          </w:p>
        </w:tc>
        <w:tc>
          <w:tcPr>
            <w:tcW w:type="dxa" w:w="850"/>
          </w:tcPr>
          <w:p>
            <w:pPr>
              <w:keepNext/>
              <w:jc w:val="center"/>
            </w:pPr>
            <w:r/>
            <w:r>
              <w:rPr>
                <w:rFonts w:ascii="Times New Roman" w:hAnsi="Times New Roman"/>
                <w:sz w:val="15"/>
              </w:rPr>
              <w:t>—</w:t>
            </w:r>
          </w:p>
        </w:tc>
        <w:tc>
          <w:tcPr>
            <w:tcW w:type="dxa" w:w="1701"/>
          </w:tcPr>
          <w:p>
            <w:pPr>
              <w:keepNext/>
              <w:jc w:val="center"/>
            </w:pPr>
            <w:r/>
            <w:r>
              <w:rPr>
                <w:rFonts w:ascii="Times New Roman" w:hAnsi="Times New Roman"/>
                <w:sz w:val="15"/>
              </w:rPr>
              <w:t>—</w:t>
            </w:r>
          </w:p>
        </w:tc>
      </w:tr>
      <w:tr>
        <w:trPr>
          <w:cantSplit/>
        </w:trPr>
        <w:tc>
          <w:tcPr>
            <w:tcW w:type="dxa" w:w="1928"/>
          </w:tcPr>
          <w:p>
            <w:pPr>
              <w:keepNext/>
              <w:jc w:val="left"/>
            </w:pPr>
            <w:r/>
            <w:r>
              <w:rPr>
                <w:rFonts w:ascii="Times New Roman" w:hAnsi="Times New Roman"/>
                <w:sz w:val="15"/>
              </w:rPr>
              <w:t>TCGA vs. GTEx</w:t>
            </w:r>
          </w:p>
        </w:tc>
        <w:tc>
          <w:tcPr>
            <w:tcW w:type="dxa" w:w="2608"/>
          </w:tcPr>
          <w:p>
            <w:pPr>
              <w:keepNext/>
              <w:jc w:val="center"/>
            </w:pPr>
            <w:r/>
            <w:r>
              <w:rPr>
                <w:rFonts w:ascii="Times New Roman" w:hAnsi="Times New Roman"/>
                <w:sz w:val="15"/>
              </w:rPr>
              <w:t>NULL</w:t>
            </w:r>
          </w:p>
        </w:tc>
        <w:tc>
          <w:tcPr>
            <w:tcW w:type="dxa" w:w="680"/>
          </w:tcPr>
          <w:p>
            <w:pPr>
              <w:keepNext/>
              <w:jc w:val="center"/>
            </w:pPr>
            <w:r/>
            <w:r>
              <w:rPr>
                <w:rFonts w:ascii="Times New Roman" w:hAnsi="Times New Roman"/>
                <w:sz w:val="15"/>
              </w:rPr>
              <w:t>528</w:t>
            </w:r>
          </w:p>
        </w:tc>
        <w:tc>
          <w:tcPr>
            <w:tcW w:type="dxa" w:w="680"/>
          </w:tcPr>
          <w:p>
            <w:pPr>
              <w:keepNext/>
              <w:jc w:val="center"/>
            </w:pPr>
            <w:r/>
            <w:r>
              <w:rPr>
                <w:rFonts w:ascii="Times New Roman" w:hAnsi="Times New Roman"/>
                <w:sz w:val="15"/>
              </w:rPr>
              <w:t>2</w:t>
            </w:r>
          </w:p>
        </w:tc>
        <w:tc>
          <w:tcPr>
            <w:tcW w:type="dxa" w:w="1417"/>
          </w:tcPr>
          <w:p>
            <w:pPr>
              <w:keepNext/>
              <w:jc w:val="center"/>
            </w:pPr>
            <w:r/>
            <w:r>
              <w:rPr>
                <w:rFonts w:ascii="Times New Roman" w:hAnsi="Times New Roman"/>
                <w:sz w:val="15"/>
              </w:rPr>
              <w:t>3391 → 1</w:t>
            </w:r>
          </w:p>
        </w:tc>
        <w:tc>
          <w:tcPr>
            <w:tcW w:type="dxa" w:w="850"/>
          </w:tcPr>
          <w:p>
            <w:pPr>
              <w:keepNext/>
              <w:jc w:val="center"/>
            </w:pPr>
            <w:r/>
            <w:r>
              <w:rPr>
                <w:rFonts w:ascii="Times New Roman" w:hAnsi="Times New Roman"/>
                <w:sz w:val="15"/>
              </w:rPr>
              <w:t>0,000</w:t>
            </w:r>
          </w:p>
        </w:tc>
        <w:tc>
          <w:tcPr>
            <w:tcW w:type="dxa" w:w="1701"/>
          </w:tcPr>
          <w:p>
            <w:pPr>
              <w:keepNext/>
              <w:jc w:val="center"/>
            </w:pPr>
            <w:r/>
            <w:r>
              <w:rPr>
                <w:rFonts w:ascii="Times New Roman" w:hAnsi="Times New Roman"/>
                <w:sz w:val="15"/>
              </w:rPr>
              <w:t>0,170 → 0,000</w:t>
            </w:r>
          </w:p>
        </w:tc>
      </w:tr>
      <w:tr>
        <w:trPr>
          <w:cantSplit/>
        </w:trPr>
        <w:tc>
          <w:tcPr>
            <w:tcW w:type="dxa" w:w="1928"/>
          </w:tcPr>
          <w:p>
            <w:pPr>
              <w:keepNext/>
              <w:jc w:val="left"/>
            </w:pPr>
            <w:r/>
            <w:r>
              <w:rPr>
                <w:rFonts w:ascii="Times New Roman" w:hAnsi="Times New Roman"/>
                <w:sz w:val="15"/>
              </w:rPr>
              <w:t>TCGA vs. GTEx</w:t>
            </w:r>
          </w:p>
        </w:tc>
        <w:tc>
          <w:tcPr>
            <w:tcW w:type="dxa" w:w="2608"/>
          </w:tcPr>
          <w:p>
            <w:pPr>
              <w:keepNext/>
              <w:jc w:val="center"/>
            </w:pPr>
            <w:r/>
            <w:r>
              <w:rPr>
                <w:rFonts w:ascii="Times New Roman" w:hAnsi="Times New Roman"/>
                <w:sz w:val="15"/>
              </w:rPr>
              <w:t>NULL; mean.only</w:t>
            </w:r>
          </w:p>
        </w:tc>
        <w:tc>
          <w:tcPr>
            <w:tcW w:type="dxa" w:w="680"/>
          </w:tcPr>
          <w:p>
            <w:pPr>
              <w:keepNext/>
              <w:jc w:val="center"/>
            </w:pPr>
            <w:r/>
            <w:r>
              <w:rPr>
                <w:rFonts w:ascii="Times New Roman" w:hAnsi="Times New Roman"/>
                <w:sz w:val="15"/>
              </w:rPr>
              <w:t>528</w:t>
            </w:r>
          </w:p>
        </w:tc>
        <w:tc>
          <w:tcPr>
            <w:tcW w:type="dxa" w:w="680"/>
          </w:tcPr>
          <w:p>
            <w:pPr>
              <w:keepNext/>
              <w:jc w:val="center"/>
            </w:pPr>
            <w:r/>
            <w:r>
              <w:rPr>
                <w:rFonts w:ascii="Times New Roman" w:hAnsi="Times New Roman"/>
                <w:sz w:val="15"/>
              </w:rPr>
              <w:t>2</w:t>
            </w:r>
          </w:p>
        </w:tc>
        <w:tc>
          <w:tcPr>
            <w:tcW w:type="dxa" w:w="1417"/>
          </w:tcPr>
          <w:p>
            <w:pPr>
              <w:keepNext/>
              <w:jc w:val="center"/>
            </w:pPr>
            <w:r/>
            <w:r>
              <w:rPr>
                <w:rFonts w:ascii="Times New Roman" w:hAnsi="Times New Roman"/>
                <w:sz w:val="15"/>
              </w:rPr>
              <w:t>3391 → 1947</w:t>
            </w:r>
          </w:p>
        </w:tc>
        <w:tc>
          <w:tcPr>
            <w:tcW w:type="dxa" w:w="850"/>
          </w:tcPr>
          <w:p>
            <w:pPr>
              <w:keepNext/>
              <w:jc w:val="center"/>
            </w:pPr>
            <w:r/>
            <w:r>
              <w:rPr>
                <w:rFonts w:ascii="Times New Roman" w:hAnsi="Times New Roman"/>
                <w:sz w:val="15"/>
              </w:rPr>
              <w:t>0,519</w:t>
            </w:r>
          </w:p>
        </w:tc>
        <w:tc>
          <w:tcPr>
            <w:tcW w:type="dxa" w:w="1701"/>
          </w:tcPr>
          <w:p>
            <w:pPr>
              <w:keepNext/>
              <w:jc w:val="center"/>
            </w:pPr>
            <w:r/>
            <w:r>
              <w:rPr>
                <w:rFonts w:ascii="Times New Roman" w:hAnsi="Times New Roman"/>
                <w:sz w:val="15"/>
              </w:rPr>
              <w:t>0,170 → 0,119</w:t>
            </w:r>
          </w:p>
        </w:tc>
      </w:tr>
      <w:tr>
        <w:trPr>
          <w:cantSplit/>
        </w:trPr>
        <w:tc>
          <w:tcPr>
            <w:tcW w:type="dxa" w:w="1928"/>
          </w:tcPr>
          <w:p>
            <w:pPr>
              <w:keepNext/>
              <w:jc w:val="left"/>
            </w:pPr>
            <w:r/>
            <w:r>
              <w:rPr>
                <w:rFonts w:ascii="Times New Roman" w:hAnsi="Times New Roman"/>
                <w:sz w:val="15"/>
              </w:rPr>
              <w:t>TSS; grau</w:t>
            </w:r>
          </w:p>
        </w:tc>
        <w:tc>
          <w:tcPr>
            <w:tcW w:type="dxa" w:w="2608"/>
          </w:tcPr>
          <w:p>
            <w:pPr>
              <w:keepNext/>
              <w:jc w:val="center"/>
            </w:pPr>
            <w:r/>
            <w:r>
              <w:rPr>
                <w:rFonts w:ascii="Times New Roman" w:hAnsi="Times New Roman"/>
                <w:sz w:val="15"/>
              </w:rPr>
              <w:t>~grau + estágio + sexo + idade</w:t>
            </w:r>
          </w:p>
        </w:tc>
        <w:tc>
          <w:tcPr>
            <w:tcW w:type="dxa" w:w="680"/>
          </w:tcPr>
          <w:p>
            <w:pPr>
              <w:keepNext/>
              <w:jc w:val="center"/>
            </w:pPr>
            <w:r/>
            <w:r>
              <w:rPr>
                <w:rFonts w:ascii="Times New Roman" w:hAnsi="Times New Roman"/>
                <w:sz w:val="15"/>
              </w:rPr>
              <w:t>342</w:t>
            </w:r>
          </w:p>
        </w:tc>
        <w:tc>
          <w:tcPr>
            <w:tcW w:type="dxa" w:w="680"/>
          </w:tcPr>
          <w:p>
            <w:pPr>
              <w:keepNext/>
              <w:jc w:val="center"/>
            </w:pPr>
            <w:r/>
            <w:r>
              <w:rPr>
                <w:rFonts w:ascii="Times New Roman" w:hAnsi="Times New Roman"/>
                <w:sz w:val="15"/>
              </w:rPr>
              <w:t>9</w:t>
            </w:r>
          </w:p>
        </w:tc>
        <w:tc>
          <w:tcPr>
            <w:tcW w:type="dxa" w:w="1417"/>
          </w:tcPr>
          <w:p>
            <w:pPr>
              <w:keepNext/>
              <w:jc w:val="center"/>
            </w:pPr>
            <w:r/>
            <w:r>
              <w:rPr>
                <w:rFonts w:ascii="Times New Roman" w:hAnsi="Times New Roman"/>
                <w:sz w:val="15"/>
              </w:rPr>
              <w:t>153 → 287</w:t>
            </w:r>
          </w:p>
        </w:tc>
        <w:tc>
          <w:tcPr>
            <w:tcW w:type="dxa" w:w="850"/>
          </w:tcPr>
          <w:p>
            <w:pPr>
              <w:keepNext/>
              <w:jc w:val="center"/>
            </w:pPr>
            <w:r/>
            <w:r>
              <w:rPr>
                <w:rFonts w:ascii="Times New Roman" w:hAnsi="Times New Roman"/>
                <w:sz w:val="15"/>
              </w:rPr>
              <w:t>0,533</w:t>
            </w:r>
          </w:p>
        </w:tc>
        <w:tc>
          <w:tcPr>
            <w:tcW w:type="dxa" w:w="1701"/>
          </w:tcPr>
          <w:p>
            <w:pPr>
              <w:keepNext/>
              <w:jc w:val="center"/>
            </w:pPr>
            <w:r/>
            <w:r>
              <w:rPr>
                <w:rFonts w:ascii="Times New Roman" w:hAnsi="Times New Roman"/>
                <w:sz w:val="15"/>
              </w:rPr>
              <w:t>0,074 → 0,017</w:t>
            </w:r>
          </w:p>
        </w:tc>
      </w:tr>
      <w:tr>
        <w:trPr>
          <w:cantSplit/>
        </w:trPr>
        <w:tc>
          <w:tcPr>
            <w:tcW w:type="dxa" w:w="1928"/>
          </w:tcPr>
          <w:p>
            <w:pPr>
              <w:keepNext/>
              <w:jc w:val="left"/>
            </w:pPr>
            <w:r/>
            <w:r>
              <w:rPr>
                <w:rFonts w:ascii="Times New Roman" w:hAnsi="Times New Roman"/>
                <w:sz w:val="15"/>
              </w:rPr>
              <w:t>TSS; estágio</w:t>
            </w:r>
          </w:p>
        </w:tc>
        <w:tc>
          <w:tcPr>
            <w:tcW w:type="dxa" w:w="2608"/>
          </w:tcPr>
          <w:p>
            <w:pPr>
              <w:keepNext/>
              <w:jc w:val="center"/>
            </w:pPr>
            <w:r/>
            <w:r>
              <w:rPr>
                <w:rFonts w:ascii="Times New Roman" w:hAnsi="Times New Roman"/>
                <w:sz w:val="15"/>
              </w:rPr>
              <w:t>~estágio + grau + sexo + idade</w:t>
            </w:r>
          </w:p>
        </w:tc>
        <w:tc>
          <w:tcPr>
            <w:tcW w:type="dxa" w:w="680"/>
          </w:tcPr>
          <w:p>
            <w:pPr>
              <w:keepNext/>
              <w:jc w:val="center"/>
            </w:pPr>
            <w:r/>
            <w:r>
              <w:rPr>
                <w:rFonts w:ascii="Times New Roman" w:hAnsi="Times New Roman"/>
                <w:sz w:val="15"/>
              </w:rPr>
              <w:t>342</w:t>
            </w:r>
          </w:p>
        </w:tc>
        <w:tc>
          <w:tcPr>
            <w:tcW w:type="dxa" w:w="680"/>
          </w:tcPr>
          <w:p>
            <w:pPr>
              <w:keepNext/>
              <w:jc w:val="center"/>
            </w:pPr>
            <w:r/>
            <w:r>
              <w:rPr>
                <w:rFonts w:ascii="Times New Roman" w:hAnsi="Times New Roman"/>
                <w:sz w:val="15"/>
              </w:rPr>
              <w:t>9</w:t>
            </w:r>
          </w:p>
        </w:tc>
        <w:tc>
          <w:tcPr>
            <w:tcW w:type="dxa" w:w="1417"/>
          </w:tcPr>
          <w:p>
            <w:pPr>
              <w:keepNext/>
              <w:jc w:val="center"/>
            </w:pPr>
            <w:r/>
            <w:r>
              <w:rPr>
                <w:rFonts w:ascii="Times New Roman" w:hAnsi="Times New Roman"/>
                <w:sz w:val="15"/>
              </w:rPr>
              <w:t>59 → 0</w:t>
            </w:r>
          </w:p>
        </w:tc>
        <w:tc>
          <w:tcPr>
            <w:tcW w:type="dxa" w:w="850"/>
          </w:tcPr>
          <w:p>
            <w:pPr>
              <w:keepNext/>
              <w:jc w:val="center"/>
            </w:pPr>
            <w:r/>
            <w:r>
              <w:rPr>
                <w:rFonts w:ascii="Times New Roman" w:hAnsi="Times New Roman"/>
                <w:sz w:val="15"/>
              </w:rPr>
              <w:t>0,000</w:t>
            </w:r>
          </w:p>
        </w:tc>
        <w:tc>
          <w:tcPr>
            <w:tcW w:type="dxa" w:w="1701"/>
          </w:tcPr>
          <w:p>
            <w:pPr>
              <w:keepNext/>
              <w:jc w:val="center"/>
            </w:pPr>
            <w:r/>
            <w:r>
              <w:rPr>
                <w:rFonts w:ascii="Times New Roman" w:hAnsi="Times New Roman"/>
                <w:sz w:val="15"/>
              </w:rPr>
              <w:t>0,074 → 0,017</w:t>
            </w:r>
          </w:p>
        </w:tc>
      </w:tr>
      <w:tr>
        <w:trPr>
          <w:cantSplit/>
        </w:trPr>
        <w:tc>
          <w:tcPr>
            <w:tcW w:type="dxa" w:w="1928"/>
          </w:tcPr>
          <w:p>
            <w:pPr>
              <w:keepNext/>
              <w:jc w:val="left"/>
            </w:pPr>
            <w:r/>
            <w:r>
              <w:rPr>
                <w:rFonts w:ascii="Times New Roman" w:hAnsi="Times New Roman"/>
                <w:sz w:val="15"/>
              </w:rPr>
              <w:t>TSS; estágio</w:t>
            </w:r>
          </w:p>
        </w:tc>
        <w:tc>
          <w:tcPr>
            <w:tcW w:type="dxa" w:w="2608"/>
          </w:tcPr>
          <w:p>
            <w:pPr>
              <w:keepNext/>
              <w:jc w:val="center"/>
            </w:pPr>
            <w:r/>
            <w:r>
              <w:rPr>
                <w:rFonts w:ascii="Times New Roman" w:hAnsi="Times New Roman"/>
                <w:sz w:val="15"/>
              </w:rPr>
              <w:t>~estágio + grau; mean.only</w:t>
            </w:r>
          </w:p>
        </w:tc>
        <w:tc>
          <w:tcPr>
            <w:tcW w:type="dxa" w:w="680"/>
          </w:tcPr>
          <w:p>
            <w:pPr>
              <w:keepNext/>
              <w:jc w:val="center"/>
            </w:pPr>
            <w:r/>
            <w:r>
              <w:rPr>
                <w:rFonts w:ascii="Times New Roman" w:hAnsi="Times New Roman"/>
                <w:sz w:val="15"/>
              </w:rPr>
              <w:t>342</w:t>
            </w:r>
          </w:p>
        </w:tc>
        <w:tc>
          <w:tcPr>
            <w:tcW w:type="dxa" w:w="680"/>
          </w:tcPr>
          <w:p>
            <w:pPr>
              <w:keepNext/>
              <w:jc w:val="center"/>
            </w:pPr>
            <w:r/>
            <w:r>
              <w:rPr>
                <w:rFonts w:ascii="Times New Roman" w:hAnsi="Times New Roman"/>
                <w:sz w:val="15"/>
              </w:rPr>
              <w:t>9</w:t>
            </w:r>
          </w:p>
        </w:tc>
        <w:tc>
          <w:tcPr>
            <w:tcW w:type="dxa" w:w="1417"/>
          </w:tcPr>
          <w:p>
            <w:pPr>
              <w:keepNext/>
              <w:jc w:val="center"/>
            </w:pPr>
            <w:r/>
            <w:r>
              <w:rPr>
                <w:rFonts w:ascii="Times New Roman" w:hAnsi="Times New Roman"/>
                <w:sz w:val="15"/>
              </w:rPr>
              <w:t>59 → 99</w:t>
            </w:r>
          </w:p>
        </w:tc>
        <w:tc>
          <w:tcPr>
            <w:tcW w:type="dxa" w:w="850"/>
          </w:tcPr>
          <w:p>
            <w:pPr>
              <w:keepNext/>
              <w:jc w:val="center"/>
            </w:pPr>
            <w:r/>
            <w:r>
              <w:rPr>
                <w:rFonts w:ascii="Times New Roman" w:hAnsi="Times New Roman"/>
                <w:sz w:val="15"/>
              </w:rPr>
              <w:t>0,534</w:t>
            </w:r>
          </w:p>
        </w:tc>
        <w:tc>
          <w:tcPr>
            <w:tcW w:type="dxa" w:w="1701"/>
          </w:tcPr>
          <w:p>
            <w:pPr>
              <w:keepNext/>
              <w:jc w:val="center"/>
            </w:pPr>
            <w:r/>
            <w:r>
              <w:rPr>
                <w:rFonts w:ascii="Times New Roman" w:hAnsi="Times New Roman"/>
                <w:sz w:val="15"/>
              </w:rPr>
              <w:t>0,074 → 0,069</w:t>
            </w:r>
          </w:p>
        </w:tc>
      </w:tr>
      <w:tr>
        <w:trPr>
          <w:cantSplit/>
        </w:trPr>
        <w:tc>
          <w:tcPr>
            <w:tcW w:type="dxa" w:w="1928"/>
          </w:tcPr>
          <w:p>
            <w:pPr>
              <w:keepNext/>
              <w:jc w:val="left"/>
            </w:pPr>
            <w:r/>
            <w:r>
              <w:rPr>
                <w:rFonts w:ascii="Times New Roman" w:hAnsi="Times New Roman"/>
                <w:sz w:val="15"/>
              </w:rPr>
              <w:t>TSS; tumor vs. adjacente</w:t>
            </w:r>
          </w:p>
        </w:tc>
        <w:tc>
          <w:tcPr>
            <w:tcW w:type="dxa" w:w="2608"/>
          </w:tcPr>
          <w:p>
            <w:pPr>
              <w:keepNext/>
              <w:jc w:val="center"/>
            </w:pPr>
            <w:r/>
            <w:r>
              <w:rPr>
                <w:rFonts w:ascii="Times New Roman" w:hAnsi="Times New Roman"/>
                <w:sz w:val="15"/>
              </w:rPr>
              <w:t>~grupo + sexo + idade</w:t>
            </w:r>
          </w:p>
        </w:tc>
        <w:tc>
          <w:tcPr>
            <w:tcW w:type="dxa" w:w="680"/>
          </w:tcPr>
          <w:p>
            <w:pPr>
              <w:keepNext/>
              <w:jc w:val="center"/>
            </w:pPr>
            <w:r/>
            <w:r>
              <w:rPr>
                <w:rFonts w:ascii="Times New Roman" w:hAnsi="Times New Roman"/>
                <w:sz w:val="15"/>
              </w:rPr>
              <w:t>418</w:t>
            </w:r>
          </w:p>
        </w:tc>
        <w:tc>
          <w:tcPr>
            <w:tcW w:type="dxa" w:w="680"/>
          </w:tcPr>
          <w:p>
            <w:pPr>
              <w:keepNext/>
              <w:jc w:val="center"/>
            </w:pPr>
            <w:r/>
            <w:r>
              <w:rPr>
                <w:rFonts w:ascii="Times New Roman" w:hAnsi="Times New Roman"/>
                <w:sz w:val="15"/>
              </w:rPr>
              <w:t>9</w:t>
            </w:r>
          </w:p>
        </w:tc>
        <w:tc>
          <w:tcPr>
            <w:tcW w:type="dxa" w:w="1417"/>
          </w:tcPr>
          <w:p>
            <w:pPr>
              <w:keepNext/>
              <w:jc w:val="center"/>
            </w:pPr>
            <w:r/>
            <w:r>
              <w:rPr>
                <w:rFonts w:ascii="Times New Roman" w:hAnsi="Times New Roman"/>
                <w:sz w:val="15"/>
              </w:rPr>
              <w:t>— → —</w:t>
            </w:r>
          </w:p>
        </w:tc>
        <w:tc>
          <w:tcPr>
            <w:tcW w:type="dxa" w:w="850"/>
          </w:tcPr>
          <w:p>
            <w:pPr>
              <w:keepNext/>
              <w:jc w:val="center"/>
            </w:pPr>
            <w:r/>
            <w:r>
              <w:rPr>
                <w:rFonts w:ascii="Times New Roman" w:hAnsi="Times New Roman"/>
                <w:sz w:val="15"/>
              </w:rPr>
              <w:t>—</w:t>
            </w:r>
          </w:p>
        </w:tc>
        <w:tc>
          <w:tcPr>
            <w:tcW w:type="dxa" w:w="1701"/>
          </w:tcPr>
          <w:p>
            <w:pPr>
              <w:keepNext/>
              <w:jc w:val="center"/>
            </w:pPr>
            <w:r/>
            <w:r>
              <w:rPr>
                <w:rFonts w:ascii="Times New Roman" w:hAnsi="Times New Roman"/>
                <w:sz w:val="15"/>
              </w:rPr>
              <w:t>—</w:t>
            </w:r>
          </w:p>
        </w:tc>
      </w:tr>
      <w:tr>
        <w:trPr>
          <w:cantSplit/>
        </w:trPr>
        <w:tc>
          <w:tcPr>
            <w:tcW w:type="dxa" w:w="1928"/>
          </w:tcPr>
          <w:p>
            <w:pPr>
              <w:jc w:val="left"/>
            </w:pPr>
            <w:r/>
            <w:r>
              <w:rPr>
                <w:rFonts w:ascii="Times New Roman" w:hAnsi="Times New Roman"/>
                <w:sz w:val="15"/>
              </w:rPr>
              <w:t>TSS; tumor vs. adjacente</w:t>
            </w:r>
          </w:p>
        </w:tc>
        <w:tc>
          <w:tcPr>
            <w:tcW w:type="dxa" w:w="2608"/>
          </w:tcPr>
          <w:p>
            <w:pPr>
              <w:jc w:val="center"/>
            </w:pPr>
            <w:r/>
            <w:r>
              <w:rPr>
                <w:rFonts w:ascii="Times New Roman" w:hAnsi="Times New Roman"/>
                <w:sz w:val="15"/>
              </w:rPr>
              <w:t>NULL</w:t>
            </w:r>
          </w:p>
        </w:tc>
        <w:tc>
          <w:tcPr>
            <w:tcW w:type="dxa" w:w="680"/>
          </w:tcPr>
          <w:p>
            <w:pPr>
              <w:jc w:val="center"/>
            </w:pPr>
            <w:r/>
            <w:r>
              <w:rPr>
                <w:rFonts w:ascii="Times New Roman" w:hAnsi="Times New Roman"/>
                <w:sz w:val="15"/>
              </w:rPr>
              <w:t>419</w:t>
            </w:r>
          </w:p>
        </w:tc>
        <w:tc>
          <w:tcPr>
            <w:tcW w:type="dxa" w:w="680"/>
          </w:tcPr>
          <w:p>
            <w:pPr>
              <w:jc w:val="center"/>
            </w:pPr>
            <w:r/>
            <w:r>
              <w:rPr>
                <w:rFonts w:ascii="Times New Roman" w:hAnsi="Times New Roman"/>
                <w:sz w:val="15"/>
              </w:rPr>
              <w:t>9</w:t>
            </w:r>
          </w:p>
        </w:tc>
        <w:tc>
          <w:tcPr>
            <w:tcW w:type="dxa" w:w="1417"/>
          </w:tcPr>
          <w:p>
            <w:pPr>
              <w:jc w:val="center"/>
            </w:pPr>
            <w:r/>
            <w:r>
              <w:rPr>
                <w:rFonts w:ascii="Times New Roman" w:hAnsi="Times New Roman"/>
                <w:sz w:val="15"/>
              </w:rPr>
              <w:t>4130 → 3038</w:t>
            </w:r>
          </w:p>
        </w:tc>
        <w:tc>
          <w:tcPr>
            <w:tcW w:type="dxa" w:w="850"/>
          </w:tcPr>
          <w:p>
            <w:pPr>
              <w:jc w:val="center"/>
            </w:pPr>
            <w:r/>
            <w:r>
              <w:rPr>
                <w:rFonts w:ascii="Times New Roman" w:hAnsi="Times New Roman"/>
                <w:sz w:val="15"/>
              </w:rPr>
              <w:t>0,728</w:t>
            </w:r>
          </w:p>
        </w:tc>
        <w:tc>
          <w:tcPr>
            <w:tcW w:type="dxa" w:w="1701"/>
          </w:tcPr>
          <w:p>
            <w:pPr>
              <w:jc w:val="center"/>
            </w:pPr>
            <w:r/>
            <w:r>
              <w:rPr>
                <w:rFonts w:ascii="Times New Roman" w:hAnsi="Times New Roman"/>
                <w:sz w:val="15"/>
              </w:rPr>
              <w:t>0,074 → 0,009</w:t>
            </w:r>
          </w:p>
        </w:tc>
      </w:tr>
    </w:tbl>
    <w:p>
      <w:pPr>
        <w:keepNext/>
        <w:spacing w:before="120" w:after="40"/>
        <w:jc w:val="center"/>
      </w:pPr>
      <w:r>
        <w:drawing>
          <wp:inline xmlns:a="http://schemas.openxmlformats.org/drawingml/2006/main" xmlns:pic="http://schemas.openxmlformats.org/drawingml/2006/picture">
            <wp:extent cx="5940000" cy="2115032"/>
            <wp:docPr id="6" name="Picture 6"/>
            <wp:cNvGraphicFramePr>
              <a:graphicFrameLocks noChangeAspect="1"/>
            </wp:cNvGraphicFramePr>
            <a:graphic>
              <a:graphicData uri="http://schemas.openxmlformats.org/drawingml/2006/picture">
                <pic:pic>
                  <pic:nvPicPr>
                    <pic:cNvPr id="0" name="figura_08_ComBat.png"/>
                    <pic:cNvPicPr/>
                  </pic:nvPicPr>
                  <pic:blipFill>
                    <a:blip r:embed="rId14"/>
                    <a:stretch>
                      <a:fillRect/>
                    </a:stretch>
                  </pic:blipFill>
                  <pic:spPr>
                    <a:xfrm>
                      <a:off x="0" y="0"/>
                      <a:ext cx="5940000" cy="2115032"/>
                    </a:xfrm>
                    <a:prstGeom prst="rect"/>
                  </pic:spPr>
                </pic:pic>
              </a:graphicData>
            </a:graphic>
          </wp:inline>
        </w:drawing>
      </w:r>
    </w:p>
    <w:p>
      <w:pPr>
        <w:spacing w:before="80" w:after="160" w:line="240" w:lineRule="auto"/>
        <w:jc w:val="left"/>
      </w:pPr>
      <w:r>
        <w:rPr>
          <w:rFonts w:ascii="Times New Roman" w:hAnsi="Times New Roman"/>
          <w:b/>
          <w:sz w:val="22"/>
        </w:rPr>
        <w:t xml:space="preserve">Figura 6. </w:t>
      </w:r>
      <w:r>
        <w:rPr>
          <w:rFonts w:ascii="Times New Roman" w:hAnsi="Times New Roman"/>
          <w:sz w:val="22"/>
        </w:rPr>
        <w:t>ComBat. (A) DEGs antes e depois. (B) Variância do lote em PCs. (C) PCA antes/depois da correção de TSS no modelo de grau. O ComBat remove lote, mas pode remover biologia quando não há covariável adequada.</w:t>
      </w:r>
    </w:p>
    <w:p>
      <w:pPr>
        <w:keepNext/>
        <w:spacing w:before="200" w:after="80"/>
        <w:jc w:val="left"/>
      </w:pPr>
      <w:r>
        <w:rPr>
          <w:rFonts w:ascii="Times New Roman" w:hAnsi="Times New Roman"/>
          <w:b/>
          <w:sz w:val="24"/>
        </w:rPr>
        <w:t>Deconvolução celular: três métodos, três respostas</w:t>
      </w:r>
    </w:p>
    <w:p>
      <w:pPr>
        <w:spacing w:before="0" w:after="120" w:line="360" w:lineRule="auto"/>
        <w:ind w:firstLine="709"/>
        <w:jc w:val="both"/>
      </w:pPr>
      <w:r>
        <w:rPr>
          <w:rFonts w:ascii="Times New Roman" w:hAnsi="Times New Roman" w:eastAsia="Times New Roman"/>
          <w:b w:val="0"/>
          <w:i w:val="0"/>
          <w:sz w:val="24"/>
        </w:rPr>
        <w:t>A Tabela 5, a Tabela 6 e as Figuras 7 e 8 mostram a deconvolução. O EPIC não convergiu plenamente em 84/528 amostras (código != 0), e seu componente otherCells não se comportou como hepatócito: correlação de Spearman negativa com ALB (−0,33), APOA1 (−0,38), TTR (−0,51) e CYP3A4 (−0,31). O xCell Hepatocytes, por outro lado, correlacionou-se positivamente com ALB (0,47), HP (0,62), TTR (0,62) e CYP3A4 (0,64). O xCell Endothelial correlacionou-se com VWF (0,77), PECAM1 (0,75) e CDH5 (0,70); o EPIC CAFs com COL1A1 (0,73). A concordância entre métodos foi baixa: Spearman mediano de 0,01; EPIC vs. xCell para hepatócitos/other foi −0,31; macrófagos 0,11; CD8 −0,02. Portanto, os métodos não são intercambiáveis.</w:t>
      </w:r>
    </w:p>
    <w:p>
      <w:pPr>
        <w:spacing w:before="0" w:after="120" w:line="360" w:lineRule="auto"/>
        <w:ind w:firstLine="709"/>
        <w:jc w:val="both"/>
      </w:pPr>
      <w:r>
        <w:rPr>
          <w:rFonts w:ascii="Times New Roman" w:hAnsi="Times New Roman" w:eastAsia="Times New Roman"/>
          <w:b w:val="0"/>
          <w:i w:val="0"/>
          <w:sz w:val="24"/>
        </w:rPr>
        <w:t>Com xCell, o escore de hepatócitos foi menor no tumor (mediana 0,151) do que no adjacente (0,225) e no GTEx (0,206); p = 6,2 × 10⁻⁴⁷. O escore de endotélio foi maior no tumor (0,041 vs. 0,022 vs. ~0), e o de macrófagos foi maior no adjacente (0,049) do que no tumor (0,016) e no GTEx (0,018). O EPIC mostrou o mesmo sentido para macrófagos (0,419/0,718/0,190), mas com magnitudes não confiáveis. Em tumor, hepatócitos foram menores em estágio III–IV (0,130 vs. 0,156; FDR = 0,001), grau G3–G4 (0,131 vs. 0,160; FDR = 6,9 × 10⁻⁸), AFP ≥400 (0,116 vs. 0,162; FDR = 1,6 × 10⁻⁸) e histologia 'outros' (0,081 vs. 0,153; FDR = 0,011).</w:t>
      </w:r>
    </w:p>
    <w:p>
      <w:pPr>
        <w:keepNext/>
        <w:spacing w:before="80" w:after="160" w:line="240" w:lineRule="auto"/>
        <w:jc w:val="left"/>
      </w:pPr>
      <w:r>
        <w:rPr>
          <w:rFonts w:ascii="Times New Roman" w:hAnsi="Times New Roman"/>
          <w:b/>
          <w:sz w:val="22"/>
        </w:rPr>
        <w:t xml:space="preserve">Tabela 5. </w:t>
      </w:r>
      <w:r>
        <w:rPr>
          <w:rFonts w:ascii="Times New Roman" w:hAnsi="Times New Roman"/>
          <w:sz w:val="22"/>
        </w:rPr>
        <w:t>Métodos de deconvolução. A concordância entre métodos foi baixa (Spearman mediano 0,01); os resultados foram interpretados por método, não como uma média.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474"/>
            <w:shd w:fill="D9E2F3"/>
          </w:tcPr>
          <w:p>
            <w:pPr>
              <w:keepNext/>
              <w:jc w:val="center"/>
            </w:pPr>
            <w:r/>
            <w:r>
              <w:rPr>
                <w:rFonts w:ascii="Times New Roman" w:hAnsi="Times New Roman"/>
                <w:b/>
                <w:sz w:val="15"/>
              </w:rPr>
              <w:t>Método</w:t>
            </w:r>
          </w:p>
        </w:tc>
        <w:tc>
          <w:tcPr>
            <w:tcW w:type="dxa" w:w="1871"/>
            <w:shd w:fill="D9E2F3"/>
          </w:tcPr>
          <w:p>
            <w:pPr>
              <w:keepNext/>
              <w:jc w:val="center"/>
            </w:pPr>
            <w:r/>
            <w:r>
              <w:rPr>
                <w:rFonts w:ascii="Times New Roman" w:hAnsi="Times New Roman"/>
                <w:b/>
                <w:sz w:val="15"/>
              </w:rPr>
              <w:t>Tipo de saída</w:t>
            </w:r>
          </w:p>
        </w:tc>
        <w:tc>
          <w:tcPr>
            <w:tcW w:type="dxa" w:w="2948"/>
            <w:shd w:fill="D9E2F3"/>
          </w:tcPr>
          <w:p>
            <w:pPr>
              <w:keepNext/>
              <w:jc w:val="center"/>
            </w:pPr>
            <w:r/>
            <w:r>
              <w:rPr>
                <w:rFonts w:ascii="Times New Roman" w:hAnsi="Times New Roman"/>
                <w:b/>
                <w:sz w:val="15"/>
              </w:rPr>
              <w:t>Tipos celulares</w:t>
            </w:r>
          </w:p>
        </w:tc>
        <w:tc>
          <w:tcPr>
            <w:tcW w:type="dxa" w:w="2268"/>
            <w:shd w:fill="D9E2F3"/>
          </w:tcPr>
          <w:p>
            <w:pPr>
              <w:keepNext/>
              <w:jc w:val="center"/>
            </w:pPr>
            <w:r/>
            <w:r>
              <w:rPr>
                <w:rFonts w:ascii="Times New Roman" w:hAnsi="Times New Roman"/>
                <w:b/>
                <w:sz w:val="15"/>
              </w:rPr>
              <w:t>QC principal</w:t>
            </w:r>
          </w:p>
        </w:tc>
        <w:tc>
          <w:tcPr>
            <w:tcW w:type="dxa" w:w="1701"/>
            <w:shd w:fill="D9E2F3"/>
          </w:tcPr>
          <w:p>
            <w:pPr>
              <w:keepNext/>
              <w:jc w:val="center"/>
            </w:pPr>
            <w:r/>
            <w:r>
              <w:rPr>
                <w:rFonts w:ascii="Times New Roman" w:hAnsi="Times New Roman"/>
                <w:b/>
                <w:sz w:val="15"/>
              </w:rPr>
              <w:t>Uso neste estudo</w:t>
            </w:r>
          </w:p>
        </w:tc>
      </w:tr>
      <w:tr>
        <w:trPr>
          <w:cantSplit/>
        </w:trPr>
        <w:tc>
          <w:tcPr>
            <w:tcW w:type="dxa" w:w="1474"/>
          </w:tcPr>
          <w:p>
            <w:pPr>
              <w:keepNext/>
              <w:jc w:val="left"/>
            </w:pPr>
            <w:r/>
            <w:r>
              <w:rPr>
                <w:rFonts w:ascii="Times New Roman" w:hAnsi="Times New Roman"/>
                <w:sz w:val="15"/>
              </w:rPr>
              <w:t>EPIC</w:t>
            </w:r>
          </w:p>
        </w:tc>
        <w:tc>
          <w:tcPr>
            <w:tcW w:type="dxa" w:w="1871"/>
          </w:tcPr>
          <w:p>
            <w:pPr>
              <w:keepNext/>
              <w:jc w:val="center"/>
            </w:pPr>
            <w:r/>
            <w:r>
              <w:rPr>
                <w:rFonts w:ascii="Times New Roman" w:hAnsi="Times New Roman"/>
                <w:sz w:val="15"/>
              </w:rPr>
              <w:t>Frações (TPM linear)</w:t>
            </w:r>
          </w:p>
        </w:tc>
        <w:tc>
          <w:tcPr>
            <w:tcW w:type="dxa" w:w="2948"/>
          </w:tcPr>
          <w:p>
            <w:pPr>
              <w:keepNext/>
              <w:jc w:val="center"/>
            </w:pPr>
            <w:r/>
            <w:r>
              <w:rPr>
                <w:rFonts w:ascii="Times New Roman" w:hAnsi="Times New Roman"/>
                <w:sz w:val="15"/>
              </w:rPr>
              <w:t>B, CAFs, CD4, CD8, endotélio, macrófagos, NK, otherCells</w:t>
            </w:r>
          </w:p>
        </w:tc>
        <w:tc>
          <w:tcPr>
            <w:tcW w:type="dxa" w:w="2268"/>
          </w:tcPr>
          <w:p>
            <w:pPr>
              <w:keepNext/>
              <w:jc w:val="center"/>
            </w:pPr>
            <w:r/>
            <w:r>
              <w:rPr>
                <w:rFonts w:ascii="Times New Roman" w:hAnsi="Times New Roman"/>
                <w:sz w:val="15"/>
              </w:rPr>
              <w:t>84/528 sem convergência; otherCells não é hepatócito</w:t>
            </w:r>
          </w:p>
        </w:tc>
        <w:tc>
          <w:tcPr>
            <w:tcW w:type="dxa" w:w="1701"/>
          </w:tcPr>
          <w:p>
            <w:pPr>
              <w:keepNext/>
              <w:jc w:val="center"/>
            </w:pPr>
            <w:r/>
            <w:r>
              <w:rPr>
                <w:rFonts w:ascii="Times New Roman" w:hAnsi="Times New Roman"/>
                <w:sz w:val="15"/>
              </w:rPr>
              <w:t>Não usar otherCells como hepatócito; CAFs útil</w:t>
            </w:r>
          </w:p>
        </w:tc>
      </w:tr>
      <w:tr>
        <w:trPr>
          <w:cantSplit/>
        </w:trPr>
        <w:tc>
          <w:tcPr>
            <w:tcW w:type="dxa" w:w="1474"/>
          </w:tcPr>
          <w:p>
            <w:pPr>
              <w:keepNext/>
              <w:jc w:val="left"/>
            </w:pPr>
            <w:r/>
            <w:r>
              <w:rPr>
                <w:rFonts w:ascii="Times New Roman" w:hAnsi="Times New Roman"/>
                <w:sz w:val="15"/>
              </w:rPr>
              <w:t>quanTIseq</w:t>
            </w:r>
          </w:p>
        </w:tc>
        <w:tc>
          <w:tcPr>
            <w:tcW w:type="dxa" w:w="1871"/>
          </w:tcPr>
          <w:p>
            <w:pPr>
              <w:keepNext/>
              <w:jc w:val="center"/>
            </w:pPr>
            <w:r/>
            <w:r>
              <w:rPr>
                <w:rFonts w:ascii="Times New Roman" w:hAnsi="Times New Roman"/>
                <w:sz w:val="15"/>
              </w:rPr>
              <w:t>Frações (TPM linear)</w:t>
            </w:r>
          </w:p>
        </w:tc>
        <w:tc>
          <w:tcPr>
            <w:tcW w:type="dxa" w:w="2948"/>
          </w:tcPr>
          <w:p>
            <w:pPr>
              <w:keepNext/>
              <w:jc w:val="center"/>
            </w:pPr>
            <w:r/>
            <w:r>
              <w:rPr>
                <w:rFonts w:ascii="Times New Roman" w:hAnsi="Times New Roman"/>
                <w:sz w:val="15"/>
              </w:rPr>
              <w:t>B, M1, M2, monócitos, neutrófilos, NK, CD4, CD8, Treg, DC, other</w:t>
            </w:r>
          </w:p>
        </w:tc>
        <w:tc>
          <w:tcPr>
            <w:tcW w:type="dxa" w:w="2268"/>
          </w:tcPr>
          <w:p>
            <w:pPr>
              <w:keepNext/>
              <w:jc w:val="center"/>
            </w:pPr>
            <w:r/>
            <w:r>
              <w:rPr>
                <w:rFonts w:ascii="Times New Roman" w:hAnsi="Times New Roman"/>
                <w:sz w:val="15"/>
              </w:rPr>
              <w:t>69/138 genes de assinatura (50%); muitos zeros</w:t>
            </w:r>
          </w:p>
        </w:tc>
        <w:tc>
          <w:tcPr>
            <w:tcW w:type="dxa" w:w="1701"/>
          </w:tcPr>
          <w:p>
            <w:pPr>
              <w:keepNext/>
              <w:jc w:val="center"/>
            </w:pPr>
            <w:r/>
            <w:r>
              <w:rPr>
                <w:rFonts w:ascii="Times New Roman" w:hAnsi="Times New Roman"/>
                <w:sz w:val="15"/>
              </w:rPr>
              <w:t>Útil para M1/M2 e NK; não cobre hepatócitos</w:t>
            </w:r>
          </w:p>
        </w:tc>
      </w:tr>
      <w:tr>
        <w:trPr>
          <w:cantSplit/>
        </w:trPr>
        <w:tc>
          <w:tcPr>
            <w:tcW w:type="dxa" w:w="1474"/>
          </w:tcPr>
          <w:p>
            <w:pPr>
              <w:jc w:val="left"/>
            </w:pPr>
            <w:r/>
            <w:r>
              <w:rPr>
                <w:rFonts w:ascii="Times New Roman" w:hAnsi="Times New Roman"/>
                <w:sz w:val="15"/>
              </w:rPr>
              <w:t>xCell</w:t>
            </w:r>
          </w:p>
        </w:tc>
        <w:tc>
          <w:tcPr>
            <w:tcW w:type="dxa" w:w="1871"/>
          </w:tcPr>
          <w:p>
            <w:pPr>
              <w:jc w:val="center"/>
            </w:pPr>
            <w:r/>
            <w:r>
              <w:rPr>
                <w:rFonts w:ascii="Times New Roman" w:hAnsi="Times New Roman"/>
                <w:sz w:val="15"/>
              </w:rPr>
              <w:t>Escores ssGSEA</w:t>
            </w:r>
          </w:p>
        </w:tc>
        <w:tc>
          <w:tcPr>
            <w:tcW w:type="dxa" w:w="2948"/>
          </w:tcPr>
          <w:p>
            <w:pPr>
              <w:jc w:val="center"/>
            </w:pPr>
            <w:r/>
            <w:r>
              <w:rPr>
                <w:rFonts w:ascii="Times New Roman" w:hAnsi="Times New Roman"/>
                <w:sz w:val="15"/>
              </w:rPr>
              <w:t>64 tipos, incluindo Hepatocytes, endotélio, fibroblastos, imunes</w:t>
            </w:r>
          </w:p>
        </w:tc>
        <w:tc>
          <w:tcPr>
            <w:tcW w:type="dxa" w:w="2268"/>
          </w:tcPr>
          <w:p>
            <w:pPr>
              <w:jc w:val="center"/>
            </w:pPr>
            <w:r/>
            <w:r>
              <w:rPr>
                <w:rFonts w:ascii="Times New Roman" w:hAnsi="Times New Roman"/>
                <w:sz w:val="15"/>
              </w:rPr>
              <w:t>Hepatocytes/endotélio concordam com marcadores; não é fração</w:t>
            </w:r>
          </w:p>
        </w:tc>
        <w:tc>
          <w:tcPr>
            <w:tcW w:type="dxa" w:w="1701"/>
          </w:tcPr>
          <w:p>
            <w:pPr>
              <w:jc w:val="center"/>
            </w:pPr>
            <w:r/>
            <w:r>
              <w:rPr>
                <w:rFonts w:ascii="Times New Roman" w:hAnsi="Times New Roman"/>
                <w:sz w:val="15"/>
              </w:rPr>
              <w:t>Priorizado para hepatócitos e endotélio</w:t>
            </w:r>
          </w:p>
        </w:tc>
      </w:tr>
    </w:tbl>
    <w:p>
      <w:pPr>
        <w:keepNext/>
        <w:spacing w:before="120" w:after="40"/>
        <w:jc w:val="center"/>
      </w:pPr>
      <w:r>
        <w:drawing>
          <wp:inline xmlns:a="http://schemas.openxmlformats.org/drawingml/2006/main" xmlns:pic="http://schemas.openxmlformats.org/drawingml/2006/picture">
            <wp:extent cx="5940000" cy="3557565"/>
            <wp:docPr id="7" name="Picture 7"/>
            <wp:cNvGraphicFramePr>
              <a:graphicFrameLocks noChangeAspect="1"/>
            </wp:cNvGraphicFramePr>
            <a:graphic>
              <a:graphicData uri="http://schemas.openxmlformats.org/drawingml/2006/picture">
                <pic:pic>
                  <pic:nvPicPr>
                    <pic:cNvPr id="0" name="figura_06_composicao_celular.png"/>
                    <pic:cNvPicPr/>
                  </pic:nvPicPr>
                  <pic:blipFill>
                    <a:blip r:embed="rId15"/>
                    <a:stretch>
                      <a:fillRect/>
                    </a:stretch>
                  </pic:blipFill>
                  <pic:spPr>
                    <a:xfrm>
                      <a:off x="0" y="0"/>
                      <a:ext cx="5940000" cy="3557565"/>
                    </a:xfrm>
                    <a:prstGeom prst="rect"/>
                  </pic:spPr>
                </pic:pic>
              </a:graphicData>
            </a:graphic>
          </wp:inline>
        </w:drawing>
      </w:r>
    </w:p>
    <w:p>
      <w:pPr>
        <w:spacing w:before="80" w:after="160" w:line="240" w:lineRule="auto"/>
        <w:jc w:val="left"/>
      </w:pPr>
      <w:r>
        <w:rPr>
          <w:rFonts w:ascii="Times New Roman" w:hAnsi="Times New Roman"/>
          <w:b/>
          <w:sz w:val="22"/>
        </w:rPr>
        <w:t xml:space="preserve">Figura 7. </w:t>
      </w:r>
      <w:r>
        <w:rPr>
          <w:rFonts w:ascii="Times New Roman" w:hAnsi="Times New Roman"/>
          <w:sz w:val="22"/>
        </w:rPr>
        <w:t>Composição celular por grupo. (A) Escores xCell. (B) Frações EPIC. (C) Medianas relativas. (D) Relação hepatócitos vs. macrófagos. O tumor tem menos hepatócitos e mais endotélio; o adjacente tem mais macrófagos.</w:t>
      </w:r>
    </w:p>
    <w:p>
      <w:pPr>
        <w:keepNext/>
        <w:spacing w:before="120" w:after="40"/>
        <w:jc w:val="center"/>
      </w:pPr>
      <w:r>
        <w:drawing>
          <wp:inline xmlns:a="http://schemas.openxmlformats.org/drawingml/2006/main" xmlns:pic="http://schemas.openxmlformats.org/drawingml/2006/picture">
            <wp:extent cx="5940000" cy="3834431"/>
            <wp:docPr id="8" name="Picture 8"/>
            <wp:cNvGraphicFramePr>
              <a:graphicFrameLocks noChangeAspect="1"/>
            </wp:cNvGraphicFramePr>
            <a:graphic>
              <a:graphicData uri="http://schemas.openxmlformats.org/drawingml/2006/picture">
                <pic:pic>
                  <pic:nvPicPr>
                    <pic:cNvPr id="0" name="figura_07_QC_deconvolucao_sexo.png"/>
                    <pic:cNvPicPr/>
                  </pic:nvPicPr>
                  <pic:blipFill>
                    <a:blip r:embed="rId16"/>
                    <a:stretch>
                      <a:fillRect/>
                    </a:stretch>
                  </pic:blipFill>
                  <pic:spPr>
                    <a:xfrm>
                      <a:off x="0" y="0"/>
                      <a:ext cx="5940000" cy="3834431"/>
                    </a:xfrm>
                    <a:prstGeom prst="rect"/>
                  </pic:spPr>
                </pic:pic>
              </a:graphicData>
            </a:graphic>
          </wp:inline>
        </w:drawing>
      </w:r>
    </w:p>
    <w:p>
      <w:pPr>
        <w:spacing w:before="80" w:after="160" w:line="240" w:lineRule="auto"/>
        <w:jc w:val="left"/>
      </w:pPr>
      <w:r>
        <w:rPr>
          <w:rFonts w:ascii="Times New Roman" w:hAnsi="Times New Roman"/>
          <w:b/>
          <w:sz w:val="22"/>
        </w:rPr>
        <w:t xml:space="preserve">Figura 8. </w:t>
      </w:r>
      <w:r>
        <w:rPr>
          <w:rFonts w:ascii="Times New Roman" w:hAnsi="Times New Roman"/>
          <w:sz w:val="22"/>
        </w:rPr>
        <w:t>Controle de qualidade e sexo. (A) Correlação entre estimativas e marcadores. (B) EPIC otherCells vs. xCell Hepatocytes: o primeiro não é hepatócito. (C) xCell Hepatocytes por sexo e grupo. (D) XIST e RPS4Y1, controles positivos de sexo.</w:t>
      </w:r>
    </w:p>
    <w:p>
      <w:pPr>
        <w:keepNext/>
        <w:spacing w:before="80" w:after="160" w:line="240" w:lineRule="auto"/>
        <w:jc w:val="left"/>
      </w:pPr>
      <w:r>
        <w:rPr>
          <w:rFonts w:ascii="Times New Roman" w:hAnsi="Times New Roman"/>
          <w:b/>
          <w:sz w:val="22"/>
        </w:rPr>
        <w:t xml:space="preserve">Tabela 6. </w:t>
      </w:r>
      <w:r>
        <w:rPr>
          <w:rFonts w:ascii="Times New Roman" w:hAnsi="Times New Roman"/>
          <w:sz w:val="22"/>
        </w:rPr>
        <w:t>Medianas das estimativas celulares por grupo e teste de Kruskal-Wallis. xCell = escore de enriquecimento; EPIC/quanTIseq = frações. FDR por Benjamini-Hochberg dentro do conjunto de células.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948"/>
            <w:shd w:fill="D9E2F3"/>
          </w:tcPr>
          <w:p>
            <w:pPr>
              <w:keepNext/>
              <w:jc w:val="center"/>
            </w:pPr>
            <w:r/>
            <w:r>
              <w:rPr>
                <w:rFonts w:ascii="Times New Roman" w:hAnsi="Times New Roman"/>
                <w:b/>
                <w:sz w:val="16"/>
              </w:rPr>
              <w:t>Célula</w:t>
            </w:r>
          </w:p>
        </w:tc>
        <w:tc>
          <w:tcPr>
            <w:tcW w:type="dxa" w:w="1247"/>
            <w:shd w:fill="D9E2F3"/>
          </w:tcPr>
          <w:p>
            <w:pPr>
              <w:keepNext/>
              <w:jc w:val="center"/>
            </w:pPr>
            <w:r/>
            <w:r>
              <w:rPr>
                <w:rFonts w:ascii="Times New Roman" w:hAnsi="Times New Roman"/>
                <w:b/>
                <w:sz w:val="16"/>
              </w:rPr>
              <w:t>Tumor</w:t>
            </w:r>
          </w:p>
        </w:tc>
        <w:tc>
          <w:tcPr>
            <w:tcW w:type="dxa" w:w="1304"/>
            <w:shd w:fill="D9E2F3"/>
          </w:tcPr>
          <w:p>
            <w:pPr>
              <w:keepNext/>
              <w:jc w:val="center"/>
            </w:pPr>
            <w:r/>
            <w:r>
              <w:rPr>
                <w:rFonts w:ascii="Times New Roman" w:hAnsi="Times New Roman"/>
                <w:b/>
                <w:sz w:val="16"/>
              </w:rPr>
              <w:t>Adjacente</w:t>
            </w:r>
          </w:p>
        </w:tc>
        <w:tc>
          <w:tcPr>
            <w:tcW w:type="dxa" w:w="1247"/>
            <w:shd w:fill="D9E2F3"/>
          </w:tcPr>
          <w:p>
            <w:pPr>
              <w:keepNext/>
              <w:jc w:val="center"/>
            </w:pPr>
            <w:r/>
            <w:r>
              <w:rPr>
                <w:rFonts w:ascii="Times New Roman" w:hAnsi="Times New Roman"/>
                <w:b/>
                <w:sz w:val="16"/>
              </w:rPr>
              <w:t>GTEx</w:t>
            </w:r>
          </w:p>
        </w:tc>
        <w:tc>
          <w:tcPr>
            <w:tcW w:type="dxa" w:w="1361"/>
            <w:shd w:fill="D9E2F3"/>
          </w:tcPr>
          <w:p>
            <w:pPr>
              <w:keepNext/>
              <w:jc w:val="center"/>
            </w:pPr>
            <w:r/>
            <w:r>
              <w:rPr>
                <w:rFonts w:ascii="Times New Roman" w:hAnsi="Times New Roman"/>
                <w:b/>
                <w:sz w:val="16"/>
              </w:rPr>
              <w:t>P (Kruskal)</w:t>
            </w:r>
          </w:p>
        </w:tc>
        <w:tc>
          <w:tcPr>
            <w:tcW w:type="dxa" w:w="1361"/>
            <w:shd w:fill="D9E2F3"/>
          </w:tcPr>
          <w:p>
            <w:pPr>
              <w:keepNext/>
              <w:jc w:val="center"/>
            </w:pPr>
            <w:r/>
            <w:r>
              <w:rPr>
                <w:rFonts w:ascii="Times New Roman" w:hAnsi="Times New Roman"/>
                <w:b/>
                <w:sz w:val="16"/>
              </w:rPr>
              <w:t>FDR</w:t>
            </w:r>
          </w:p>
        </w:tc>
      </w:tr>
      <w:tr>
        <w:trPr>
          <w:cantSplit/>
        </w:trPr>
        <w:tc>
          <w:tcPr>
            <w:tcW w:type="dxa" w:w="2948"/>
          </w:tcPr>
          <w:p>
            <w:pPr>
              <w:keepNext/>
              <w:jc w:val="left"/>
            </w:pPr>
            <w:r/>
            <w:r>
              <w:rPr>
                <w:rFonts w:ascii="Times New Roman" w:hAnsi="Times New Roman"/>
                <w:sz w:val="16"/>
              </w:rPr>
              <w:t>xCell: Hepatocytes</w:t>
            </w:r>
          </w:p>
        </w:tc>
        <w:tc>
          <w:tcPr>
            <w:tcW w:type="dxa" w:w="1247"/>
          </w:tcPr>
          <w:p>
            <w:pPr>
              <w:keepNext/>
              <w:jc w:val="center"/>
            </w:pPr>
            <w:r/>
            <w:r>
              <w:rPr>
                <w:rFonts w:ascii="Times New Roman" w:hAnsi="Times New Roman"/>
                <w:sz w:val="16"/>
              </w:rPr>
              <w:t>0,151</w:t>
            </w:r>
          </w:p>
        </w:tc>
        <w:tc>
          <w:tcPr>
            <w:tcW w:type="dxa" w:w="1304"/>
          </w:tcPr>
          <w:p>
            <w:pPr>
              <w:keepNext/>
              <w:jc w:val="center"/>
            </w:pPr>
            <w:r/>
            <w:r>
              <w:rPr>
                <w:rFonts w:ascii="Times New Roman" w:hAnsi="Times New Roman"/>
                <w:sz w:val="16"/>
              </w:rPr>
              <w:t>0,225</w:t>
            </w:r>
          </w:p>
        </w:tc>
        <w:tc>
          <w:tcPr>
            <w:tcW w:type="dxa" w:w="1247"/>
          </w:tcPr>
          <w:p>
            <w:pPr>
              <w:keepNext/>
              <w:jc w:val="center"/>
            </w:pPr>
            <w:r/>
            <w:r>
              <w:rPr>
                <w:rFonts w:ascii="Times New Roman" w:hAnsi="Times New Roman"/>
                <w:sz w:val="16"/>
              </w:rPr>
              <w:t>0,206</w:t>
            </w:r>
          </w:p>
        </w:tc>
        <w:tc>
          <w:tcPr>
            <w:tcW w:type="dxa" w:w="1361"/>
          </w:tcPr>
          <w:p>
            <w:pPr>
              <w:keepNext/>
              <w:jc w:val="center"/>
            </w:pPr>
            <w:r/>
            <w:r>
              <w:rPr>
                <w:rFonts w:ascii="Times New Roman" w:hAnsi="Times New Roman"/>
                <w:sz w:val="16"/>
              </w:rPr>
              <w:t>6,2e-47</w:t>
            </w:r>
          </w:p>
        </w:tc>
        <w:tc>
          <w:tcPr>
            <w:tcW w:type="dxa" w:w="1361"/>
          </w:tcPr>
          <w:p>
            <w:pPr>
              <w:keepNext/>
              <w:jc w:val="center"/>
            </w:pPr>
            <w:r/>
            <w:r>
              <w:rPr>
                <w:rFonts w:ascii="Times New Roman" w:hAnsi="Times New Roman"/>
                <w:sz w:val="16"/>
              </w:rPr>
              <w:t>7,8e-46</w:t>
            </w:r>
          </w:p>
        </w:tc>
      </w:tr>
      <w:tr>
        <w:trPr>
          <w:cantSplit/>
        </w:trPr>
        <w:tc>
          <w:tcPr>
            <w:tcW w:type="dxa" w:w="2948"/>
          </w:tcPr>
          <w:p>
            <w:pPr>
              <w:keepNext/>
              <w:jc w:val="left"/>
            </w:pPr>
            <w:r/>
            <w:r>
              <w:rPr>
                <w:rFonts w:ascii="Times New Roman" w:hAnsi="Times New Roman"/>
                <w:sz w:val="16"/>
              </w:rPr>
              <w:t>xCell: Endothelial cells</w:t>
            </w:r>
          </w:p>
        </w:tc>
        <w:tc>
          <w:tcPr>
            <w:tcW w:type="dxa" w:w="1247"/>
          </w:tcPr>
          <w:p>
            <w:pPr>
              <w:keepNext/>
              <w:jc w:val="center"/>
            </w:pPr>
            <w:r/>
            <w:r>
              <w:rPr>
                <w:rFonts w:ascii="Times New Roman" w:hAnsi="Times New Roman"/>
                <w:sz w:val="16"/>
              </w:rPr>
              <w:t>0,0406</w:t>
            </w:r>
          </w:p>
        </w:tc>
        <w:tc>
          <w:tcPr>
            <w:tcW w:type="dxa" w:w="1304"/>
          </w:tcPr>
          <w:p>
            <w:pPr>
              <w:keepNext/>
              <w:jc w:val="center"/>
            </w:pPr>
            <w:r/>
            <w:r>
              <w:rPr>
                <w:rFonts w:ascii="Times New Roman" w:hAnsi="Times New Roman"/>
                <w:sz w:val="16"/>
              </w:rPr>
              <w:t>0,0222</w:t>
            </w:r>
          </w:p>
        </w:tc>
        <w:tc>
          <w:tcPr>
            <w:tcW w:type="dxa" w:w="1247"/>
          </w:tcPr>
          <w:p>
            <w:pPr>
              <w:keepNext/>
              <w:jc w:val="center"/>
            </w:pPr>
            <w:r/>
            <w:r>
              <w:rPr>
                <w:rFonts w:ascii="Times New Roman" w:hAnsi="Times New Roman"/>
                <w:sz w:val="16"/>
              </w:rPr>
              <w:t>1,99e-18</w:t>
            </w:r>
          </w:p>
        </w:tc>
        <w:tc>
          <w:tcPr>
            <w:tcW w:type="dxa" w:w="1361"/>
          </w:tcPr>
          <w:p>
            <w:pPr>
              <w:keepNext/>
              <w:jc w:val="center"/>
            </w:pPr>
            <w:r/>
            <w:r>
              <w:rPr>
                <w:rFonts w:ascii="Times New Roman" w:hAnsi="Times New Roman"/>
                <w:sz w:val="16"/>
              </w:rPr>
              <w:t>9,5e-40</w:t>
            </w:r>
          </w:p>
        </w:tc>
        <w:tc>
          <w:tcPr>
            <w:tcW w:type="dxa" w:w="1361"/>
          </w:tcPr>
          <w:p>
            <w:pPr>
              <w:keepNext/>
              <w:jc w:val="center"/>
            </w:pPr>
            <w:r/>
            <w:r>
              <w:rPr>
                <w:rFonts w:ascii="Times New Roman" w:hAnsi="Times New Roman"/>
                <w:sz w:val="16"/>
              </w:rPr>
              <w:t>7,9e-39</w:t>
            </w:r>
          </w:p>
        </w:tc>
      </w:tr>
      <w:tr>
        <w:trPr>
          <w:cantSplit/>
        </w:trPr>
        <w:tc>
          <w:tcPr>
            <w:tcW w:type="dxa" w:w="2948"/>
          </w:tcPr>
          <w:p>
            <w:pPr>
              <w:keepNext/>
              <w:jc w:val="left"/>
            </w:pPr>
            <w:r/>
            <w:r>
              <w:rPr>
                <w:rFonts w:ascii="Times New Roman" w:hAnsi="Times New Roman"/>
                <w:sz w:val="16"/>
              </w:rPr>
              <w:t>xCell: Macrophages</w:t>
            </w:r>
          </w:p>
        </w:tc>
        <w:tc>
          <w:tcPr>
            <w:tcW w:type="dxa" w:w="1247"/>
          </w:tcPr>
          <w:p>
            <w:pPr>
              <w:keepNext/>
              <w:jc w:val="center"/>
            </w:pPr>
            <w:r/>
            <w:r>
              <w:rPr>
                <w:rFonts w:ascii="Times New Roman" w:hAnsi="Times New Roman"/>
                <w:sz w:val="16"/>
              </w:rPr>
              <w:t>0,0161</w:t>
            </w:r>
          </w:p>
        </w:tc>
        <w:tc>
          <w:tcPr>
            <w:tcW w:type="dxa" w:w="1304"/>
          </w:tcPr>
          <w:p>
            <w:pPr>
              <w:keepNext/>
              <w:jc w:val="center"/>
            </w:pPr>
            <w:r/>
            <w:r>
              <w:rPr>
                <w:rFonts w:ascii="Times New Roman" w:hAnsi="Times New Roman"/>
                <w:sz w:val="16"/>
              </w:rPr>
              <w:t>0,049</w:t>
            </w:r>
          </w:p>
        </w:tc>
        <w:tc>
          <w:tcPr>
            <w:tcW w:type="dxa" w:w="1247"/>
          </w:tcPr>
          <w:p>
            <w:pPr>
              <w:keepNext/>
              <w:jc w:val="center"/>
            </w:pPr>
            <w:r/>
            <w:r>
              <w:rPr>
                <w:rFonts w:ascii="Times New Roman" w:hAnsi="Times New Roman"/>
                <w:sz w:val="16"/>
              </w:rPr>
              <w:t>0,0181</w:t>
            </w:r>
          </w:p>
        </w:tc>
        <w:tc>
          <w:tcPr>
            <w:tcW w:type="dxa" w:w="1361"/>
          </w:tcPr>
          <w:p>
            <w:pPr>
              <w:keepNext/>
              <w:jc w:val="center"/>
            </w:pPr>
            <w:r/>
            <w:r>
              <w:rPr>
                <w:rFonts w:ascii="Times New Roman" w:hAnsi="Times New Roman"/>
                <w:sz w:val="16"/>
              </w:rPr>
              <w:t>7,3e-19</w:t>
            </w:r>
          </w:p>
        </w:tc>
        <w:tc>
          <w:tcPr>
            <w:tcW w:type="dxa" w:w="1361"/>
          </w:tcPr>
          <w:p>
            <w:pPr>
              <w:keepNext/>
              <w:jc w:val="center"/>
            </w:pPr>
            <w:r/>
            <w:r>
              <w:rPr>
                <w:rFonts w:ascii="Times New Roman" w:hAnsi="Times New Roman"/>
                <w:sz w:val="16"/>
              </w:rPr>
              <w:t>3e-18</w:t>
            </w:r>
          </w:p>
        </w:tc>
      </w:tr>
      <w:tr>
        <w:trPr>
          <w:cantSplit/>
        </w:trPr>
        <w:tc>
          <w:tcPr>
            <w:tcW w:type="dxa" w:w="2948"/>
          </w:tcPr>
          <w:p>
            <w:pPr>
              <w:keepNext/>
              <w:jc w:val="left"/>
            </w:pPr>
            <w:r/>
            <w:r>
              <w:rPr>
                <w:rFonts w:ascii="Times New Roman" w:hAnsi="Times New Roman"/>
                <w:sz w:val="16"/>
              </w:rPr>
              <w:t>xCell: CD8+ T-cells</w:t>
            </w:r>
          </w:p>
        </w:tc>
        <w:tc>
          <w:tcPr>
            <w:tcW w:type="dxa" w:w="1247"/>
          </w:tcPr>
          <w:p>
            <w:pPr>
              <w:keepNext/>
              <w:jc w:val="center"/>
            </w:pPr>
            <w:r/>
            <w:r>
              <w:rPr>
                <w:rFonts w:ascii="Times New Roman" w:hAnsi="Times New Roman"/>
                <w:sz w:val="16"/>
              </w:rPr>
              <w:t>3,59e-19</w:t>
            </w:r>
          </w:p>
        </w:tc>
        <w:tc>
          <w:tcPr>
            <w:tcW w:type="dxa" w:w="1304"/>
          </w:tcPr>
          <w:p>
            <w:pPr>
              <w:keepNext/>
              <w:jc w:val="center"/>
            </w:pPr>
            <w:r/>
            <w:r>
              <w:rPr>
                <w:rFonts w:ascii="Times New Roman" w:hAnsi="Times New Roman"/>
                <w:sz w:val="16"/>
              </w:rPr>
              <w:t>1,21e-19</w:t>
            </w:r>
          </w:p>
        </w:tc>
        <w:tc>
          <w:tcPr>
            <w:tcW w:type="dxa" w:w="1247"/>
          </w:tcPr>
          <w:p>
            <w:pPr>
              <w:keepNext/>
              <w:jc w:val="center"/>
            </w:pPr>
            <w:r/>
            <w:r>
              <w:rPr>
                <w:rFonts w:ascii="Times New Roman" w:hAnsi="Times New Roman"/>
                <w:sz w:val="16"/>
              </w:rPr>
              <w:t>6,34e-19</w:t>
            </w:r>
          </w:p>
        </w:tc>
        <w:tc>
          <w:tcPr>
            <w:tcW w:type="dxa" w:w="1361"/>
          </w:tcPr>
          <w:p>
            <w:pPr>
              <w:keepNext/>
              <w:jc w:val="center"/>
            </w:pPr>
            <w:r/>
            <w:r>
              <w:rPr>
                <w:rFonts w:ascii="Times New Roman" w:hAnsi="Times New Roman"/>
                <w:sz w:val="16"/>
              </w:rPr>
              <w:t>0,87</w:t>
            </w:r>
          </w:p>
        </w:tc>
        <w:tc>
          <w:tcPr>
            <w:tcW w:type="dxa" w:w="1361"/>
          </w:tcPr>
          <w:p>
            <w:pPr>
              <w:keepNext/>
              <w:jc w:val="center"/>
            </w:pPr>
            <w:r/>
            <w:r>
              <w:rPr>
                <w:rFonts w:ascii="Times New Roman" w:hAnsi="Times New Roman"/>
                <w:sz w:val="16"/>
              </w:rPr>
              <w:t>0,87</w:t>
            </w:r>
          </w:p>
        </w:tc>
      </w:tr>
      <w:tr>
        <w:trPr>
          <w:cantSplit/>
        </w:trPr>
        <w:tc>
          <w:tcPr>
            <w:tcW w:type="dxa" w:w="2948"/>
          </w:tcPr>
          <w:p>
            <w:pPr>
              <w:keepNext/>
              <w:jc w:val="left"/>
            </w:pPr>
            <w:r/>
            <w:r>
              <w:rPr>
                <w:rFonts w:ascii="Times New Roman" w:hAnsi="Times New Roman"/>
                <w:sz w:val="16"/>
              </w:rPr>
              <w:t>xCell: Fibroblasts</w:t>
            </w:r>
          </w:p>
        </w:tc>
        <w:tc>
          <w:tcPr>
            <w:tcW w:type="dxa" w:w="1247"/>
          </w:tcPr>
          <w:p>
            <w:pPr>
              <w:keepNext/>
              <w:jc w:val="center"/>
            </w:pPr>
            <w:r/>
            <w:r>
              <w:rPr>
                <w:rFonts w:ascii="Times New Roman" w:hAnsi="Times New Roman"/>
                <w:sz w:val="16"/>
              </w:rPr>
              <w:t>2,88e-18</w:t>
            </w:r>
          </w:p>
        </w:tc>
        <w:tc>
          <w:tcPr>
            <w:tcW w:type="dxa" w:w="1304"/>
          </w:tcPr>
          <w:p>
            <w:pPr>
              <w:keepNext/>
              <w:jc w:val="center"/>
            </w:pPr>
            <w:r/>
            <w:r>
              <w:rPr>
                <w:rFonts w:ascii="Times New Roman" w:hAnsi="Times New Roman"/>
                <w:sz w:val="16"/>
              </w:rPr>
              <w:t>2,69e-19</w:t>
            </w:r>
          </w:p>
        </w:tc>
        <w:tc>
          <w:tcPr>
            <w:tcW w:type="dxa" w:w="1247"/>
          </w:tcPr>
          <w:p>
            <w:pPr>
              <w:keepNext/>
              <w:jc w:val="center"/>
            </w:pPr>
            <w:r/>
            <w:r>
              <w:rPr>
                <w:rFonts w:ascii="Times New Roman" w:hAnsi="Times New Roman"/>
                <w:sz w:val="16"/>
              </w:rPr>
              <w:t>6,78e-18</w:t>
            </w:r>
          </w:p>
        </w:tc>
        <w:tc>
          <w:tcPr>
            <w:tcW w:type="dxa" w:w="1361"/>
          </w:tcPr>
          <w:p>
            <w:pPr>
              <w:keepNext/>
              <w:jc w:val="center"/>
            </w:pPr>
            <w:r/>
            <w:r>
              <w:rPr>
                <w:rFonts w:ascii="Times New Roman" w:hAnsi="Times New Roman"/>
                <w:sz w:val="16"/>
              </w:rPr>
              <w:t>0,33</w:t>
            </w:r>
          </w:p>
        </w:tc>
        <w:tc>
          <w:tcPr>
            <w:tcW w:type="dxa" w:w="1361"/>
          </w:tcPr>
          <w:p>
            <w:pPr>
              <w:keepNext/>
              <w:jc w:val="center"/>
            </w:pPr>
            <w:r/>
            <w:r>
              <w:rPr>
                <w:rFonts w:ascii="Times New Roman" w:hAnsi="Times New Roman"/>
                <w:sz w:val="16"/>
              </w:rPr>
              <w:t>0,39</w:t>
            </w:r>
          </w:p>
        </w:tc>
      </w:tr>
      <w:tr>
        <w:trPr>
          <w:cantSplit/>
        </w:trPr>
        <w:tc>
          <w:tcPr>
            <w:tcW w:type="dxa" w:w="2948"/>
          </w:tcPr>
          <w:p>
            <w:pPr>
              <w:keepNext/>
              <w:jc w:val="left"/>
            </w:pPr>
            <w:r/>
            <w:r>
              <w:rPr>
                <w:rFonts w:ascii="Times New Roman" w:hAnsi="Times New Roman"/>
                <w:sz w:val="16"/>
              </w:rPr>
              <w:t>xCell: Neutrophils</w:t>
            </w:r>
          </w:p>
        </w:tc>
        <w:tc>
          <w:tcPr>
            <w:tcW w:type="dxa" w:w="1247"/>
          </w:tcPr>
          <w:p>
            <w:pPr>
              <w:keepNext/>
              <w:jc w:val="center"/>
            </w:pPr>
            <w:r/>
            <w:r>
              <w:rPr>
                <w:rFonts w:ascii="Times New Roman" w:hAnsi="Times New Roman"/>
                <w:sz w:val="16"/>
              </w:rPr>
              <w:t>1,87e-19</w:t>
            </w:r>
          </w:p>
        </w:tc>
        <w:tc>
          <w:tcPr>
            <w:tcW w:type="dxa" w:w="1304"/>
          </w:tcPr>
          <w:p>
            <w:pPr>
              <w:keepNext/>
              <w:jc w:val="center"/>
            </w:pPr>
            <w:r/>
            <w:r>
              <w:rPr>
                <w:rFonts w:ascii="Times New Roman" w:hAnsi="Times New Roman"/>
                <w:sz w:val="16"/>
              </w:rPr>
              <w:t>0,00517</w:t>
            </w:r>
          </w:p>
        </w:tc>
        <w:tc>
          <w:tcPr>
            <w:tcW w:type="dxa" w:w="1247"/>
          </w:tcPr>
          <w:p>
            <w:pPr>
              <w:keepNext/>
              <w:jc w:val="center"/>
            </w:pPr>
            <w:r/>
            <w:r>
              <w:rPr>
                <w:rFonts w:ascii="Times New Roman" w:hAnsi="Times New Roman"/>
                <w:sz w:val="16"/>
              </w:rPr>
              <w:t>0,0121</w:t>
            </w:r>
          </w:p>
        </w:tc>
        <w:tc>
          <w:tcPr>
            <w:tcW w:type="dxa" w:w="1361"/>
          </w:tcPr>
          <w:p>
            <w:pPr>
              <w:keepNext/>
              <w:jc w:val="center"/>
            </w:pPr>
            <w:r/>
            <w:r>
              <w:rPr>
                <w:rFonts w:ascii="Times New Roman" w:hAnsi="Times New Roman"/>
                <w:sz w:val="16"/>
              </w:rPr>
              <w:t>3,6e-55</w:t>
            </w:r>
          </w:p>
        </w:tc>
        <w:tc>
          <w:tcPr>
            <w:tcW w:type="dxa" w:w="1361"/>
          </w:tcPr>
          <w:p>
            <w:pPr>
              <w:keepNext/>
              <w:jc w:val="center"/>
            </w:pPr>
            <w:r/>
            <w:r>
              <w:rPr>
                <w:rFonts w:ascii="Times New Roman" w:hAnsi="Times New Roman"/>
                <w:sz w:val="16"/>
              </w:rPr>
              <w:t>9,1e-54</w:t>
            </w:r>
          </w:p>
        </w:tc>
      </w:tr>
      <w:tr>
        <w:trPr>
          <w:cantSplit/>
        </w:trPr>
        <w:tc>
          <w:tcPr>
            <w:tcW w:type="dxa" w:w="2948"/>
          </w:tcPr>
          <w:p>
            <w:pPr>
              <w:keepNext/>
              <w:jc w:val="left"/>
            </w:pPr>
            <w:r/>
            <w:r>
              <w:rPr>
                <w:rFonts w:ascii="Times New Roman" w:hAnsi="Times New Roman"/>
                <w:sz w:val="16"/>
              </w:rPr>
              <w:t>EPIC: CAFs</w:t>
            </w:r>
          </w:p>
        </w:tc>
        <w:tc>
          <w:tcPr>
            <w:tcW w:type="dxa" w:w="1247"/>
          </w:tcPr>
          <w:p>
            <w:pPr>
              <w:keepNext/>
              <w:jc w:val="center"/>
            </w:pPr>
            <w:r/>
            <w:r>
              <w:rPr>
                <w:rFonts w:ascii="Times New Roman" w:hAnsi="Times New Roman"/>
                <w:sz w:val="16"/>
              </w:rPr>
              <w:t>0,00316</w:t>
            </w:r>
          </w:p>
        </w:tc>
        <w:tc>
          <w:tcPr>
            <w:tcW w:type="dxa" w:w="1304"/>
          </w:tcPr>
          <w:p>
            <w:pPr>
              <w:keepNext/>
              <w:jc w:val="center"/>
            </w:pPr>
            <w:r/>
            <w:r>
              <w:rPr>
                <w:rFonts w:ascii="Times New Roman" w:hAnsi="Times New Roman"/>
                <w:sz w:val="16"/>
              </w:rPr>
              <w:t>0,00304</w:t>
            </w:r>
          </w:p>
        </w:tc>
        <w:tc>
          <w:tcPr>
            <w:tcW w:type="dxa" w:w="1247"/>
          </w:tcPr>
          <w:p>
            <w:pPr>
              <w:keepNext/>
              <w:jc w:val="center"/>
            </w:pPr>
            <w:r/>
            <w:r>
              <w:rPr>
                <w:rFonts w:ascii="Times New Roman" w:hAnsi="Times New Roman"/>
                <w:sz w:val="16"/>
              </w:rPr>
              <w:t>0,00249</w:t>
            </w:r>
          </w:p>
        </w:tc>
        <w:tc>
          <w:tcPr>
            <w:tcW w:type="dxa" w:w="1361"/>
          </w:tcPr>
          <w:p>
            <w:pPr>
              <w:keepNext/>
              <w:jc w:val="center"/>
            </w:pPr>
            <w:r/>
            <w:r>
              <w:rPr>
                <w:rFonts w:ascii="Times New Roman" w:hAnsi="Times New Roman"/>
                <w:sz w:val="16"/>
              </w:rPr>
              <w:t>0,65</w:t>
            </w:r>
          </w:p>
        </w:tc>
        <w:tc>
          <w:tcPr>
            <w:tcW w:type="dxa" w:w="1361"/>
          </w:tcPr>
          <w:p>
            <w:pPr>
              <w:keepNext/>
              <w:jc w:val="center"/>
            </w:pPr>
            <w:r/>
            <w:r>
              <w:rPr>
                <w:rFonts w:ascii="Times New Roman" w:hAnsi="Times New Roman"/>
                <w:sz w:val="16"/>
              </w:rPr>
              <w:t>0,68</w:t>
            </w:r>
          </w:p>
        </w:tc>
      </w:tr>
      <w:tr>
        <w:trPr>
          <w:cantSplit/>
        </w:trPr>
        <w:tc>
          <w:tcPr>
            <w:tcW w:type="dxa" w:w="2948"/>
          </w:tcPr>
          <w:p>
            <w:pPr>
              <w:keepNext/>
              <w:jc w:val="left"/>
            </w:pPr>
            <w:r/>
            <w:r>
              <w:rPr>
                <w:rFonts w:ascii="Times New Roman" w:hAnsi="Times New Roman"/>
                <w:sz w:val="16"/>
              </w:rPr>
              <w:t>EPIC: Macrophages</w:t>
            </w:r>
          </w:p>
        </w:tc>
        <w:tc>
          <w:tcPr>
            <w:tcW w:type="dxa" w:w="1247"/>
          </w:tcPr>
          <w:p>
            <w:pPr>
              <w:keepNext/>
              <w:jc w:val="center"/>
            </w:pPr>
            <w:r/>
            <w:r>
              <w:rPr>
                <w:rFonts w:ascii="Times New Roman" w:hAnsi="Times New Roman"/>
                <w:sz w:val="16"/>
              </w:rPr>
              <w:t>0,419</w:t>
            </w:r>
          </w:p>
        </w:tc>
        <w:tc>
          <w:tcPr>
            <w:tcW w:type="dxa" w:w="1304"/>
          </w:tcPr>
          <w:p>
            <w:pPr>
              <w:keepNext/>
              <w:jc w:val="center"/>
            </w:pPr>
            <w:r/>
            <w:r>
              <w:rPr>
                <w:rFonts w:ascii="Times New Roman" w:hAnsi="Times New Roman"/>
                <w:sz w:val="16"/>
              </w:rPr>
              <w:t>0,718</w:t>
            </w:r>
          </w:p>
        </w:tc>
        <w:tc>
          <w:tcPr>
            <w:tcW w:type="dxa" w:w="1247"/>
          </w:tcPr>
          <w:p>
            <w:pPr>
              <w:keepNext/>
              <w:jc w:val="center"/>
            </w:pPr>
            <w:r/>
            <w:r>
              <w:rPr>
                <w:rFonts w:ascii="Times New Roman" w:hAnsi="Times New Roman"/>
                <w:sz w:val="16"/>
              </w:rPr>
              <w:t>0,19</w:t>
            </w:r>
          </w:p>
        </w:tc>
        <w:tc>
          <w:tcPr>
            <w:tcW w:type="dxa" w:w="1361"/>
          </w:tcPr>
          <w:p>
            <w:pPr>
              <w:keepNext/>
              <w:jc w:val="center"/>
            </w:pPr>
            <w:r/>
            <w:r>
              <w:rPr>
                <w:rFonts w:ascii="Times New Roman" w:hAnsi="Times New Roman"/>
                <w:sz w:val="16"/>
              </w:rPr>
              <w:t>1,2e-15</w:t>
            </w:r>
          </w:p>
        </w:tc>
        <w:tc>
          <w:tcPr>
            <w:tcW w:type="dxa" w:w="1361"/>
          </w:tcPr>
          <w:p>
            <w:pPr>
              <w:keepNext/>
              <w:jc w:val="center"/>
            </w:pPr>
            <w:r/>
            <w:r>
              <w:rPr>
                <w:rFonts w:ascii="Times New Roman" w:hAnsi="Times New Roman"/>
                <w:sz w:val="16"/>
              </w:rPr>
              <w:t>3,1e-15</w:t>
            </w:r>
          </w:p>
        </w:tc>
      </w:tr>
      <w:tr>
        <w:trPr>
          <w:cantSplit/>
        </w:trPr>
        <w:tc>
          <w:tcPr>
            <w:tcW w:type="dxa" w:w="2948"/>
          </w:tcPr>
          <w:p>
            <w:pPr>
              <w:keepNext/>
              <w:jc w:val="left"/>
            </w:pPr>
            <w:r/>
            <w:r>
              <w:rPr>
                <w:rFonts w:ascii="Times New Roman" w:hAnsi="Times New Roman"/>
                <w:sz w:val="16"/>
              </w:rPr>
              <w:t>quanTIseq: Macrophages.M1</w:t>
            </w:r>
          </w:p>
        </w:tc>
        <w:tc>
          <w:tcPr>
            <w:tcW w:type="dxa" w:w="1247"/>
          </w:tcPr>
          <w:p>
            <w:pPr>
              <w:keepNext/>
              <w:jc w:val="center"/>
            </w:pPr>
            <w:r/>
            <w:r>
              <w:rPr>
                <w:rFonts w:ascii="Times New Roman" w:hAnsi="Times New Roman"/>
                <w:sz w:val="16"/>
              </w:rPr>
              <w:t>0,00597</w:t>
            </w:r>
          </w:p>
        </w:tc>
        <w:tc>
          <w:tcPr>
            <w:tcW w:type="dxa" w:w="1304"/>
          </w:tcPr>
          <w:p>
            <w:pPr>
              <w:keepNext/>
              <w:jc w:val="center"/>
            </w:pPr>
            <w:r/>
            <w:r>
              <w:rPr>
                <w:rFonts w:ascii="Times New Roman" w:hAnsi="Times New Roman"/>
                <w:sz w:val="16"/>
              </w:rPr>
              <w:t>0,00777</w:t>
            </w:r>
          </w:p>
        </w:tc>
        <w:tc>
          <w:tcPr>
            <w:tcW w:type="dxa" w:w="1247"/>
          </w:tcPr>
          <w:p>
            <w:pPr>
              <w:keepNext/>
              <w:jc w:val="center"/>
            </w:pPr>
            <w:r/>
            <w:r>
              <w:rPr>
                <w:rFonts w:ascii="Times New Roman" w:hAnsi="Times New Roman"/>
                <w:sz w:val="16"/>
              </w:rPr>
              <w:t>0,0262</w:t>
            </w:r>
          </w:p>
        </w:tc>
        <w:tc>
          <w:tcPr>
            <w:tcW w:type="dxa" w:w="1361"/>
          </w:tcPr>
          <w:p>
            <w:pPr>
              <w:keepNext/>
              <w:jc w:val="center"/>
            </w:pPr>
            <w:r/>
            <w:r>
              <w:rPr>
                <w:rFonts w:ascii="Times New Roman" w:hAnsi="Times New Roman"/>
                <w:sz w:val="16"/>
              </w:rPr>
              <w:t>1,7e-26</w:t>
            </w:r>
          </w:p>
        </w:tc>
        <w:tc>
          <w:tcPr>
            <w:tcW w:type="dxa" w:w="1361"/>
          </w:tcPr>
          <w:p>
            <w:pPr>
              <w:keepNext/>
              <w:jc w:val="center"/>
            </w:pPr>
            <w:r/>
            <w:r>
              <w:rPr>
                <w:rFonts w:ascii="Times New Roman" w:hAnsi="Times New Roman"/>
                <w:sz w:val="16"/>
              </w:rPr>
              <w:t>8,7e-26</w:t>
            </w:r>
          </w:p>
        </w:tc>
      </w:tr>
      <w:tr>
        <w:trPr>
          <w:cantSplit/>
        </w:trPr>
        <w:tc>
          <w:tcPr>
            <w:tcW w:type="dxa" w:w="2948"/>
          </w:tcPr>
          <w:p>
            <w:pPr>
              <w:jc w:val="left"/>
            </w:pPr>
            <w:r/>
            <w:r>
              <w:rPr>
                <w:rFonts w:ascii="Times New Roman" w:hAnsi="Times New Roman"/>
                <w:sz w:val="16"/>
              </w:rPr>
              <w:t>quanTIseq: Macrophages.M2</w:t>
            </w:r>
          </w:p>
        </w:tc>
        <w:tc>
          <w:tcPr>
            <w:tcW w:type="dxa" w:w="1247"/>
          </w:tcPr>
          <w:p>
            <w:pPr>
              <w:jc w:val="center"/>
            </w:pPr>
            <w:r/>
            <w:r>
              <w:rPr>
                <w:rFonts w:ascii="Times New Roman" w:hAnsi="Times New Roman"/>
                <w:sz w:val="16"/>
              </w:rPr>
              <w:t>0,00345</w:t>
            </w:r>
          </w:p>
        </w:tc>
        <w:tc>
          <w:tcPr>
            <w:tcW w:type="dxa" w:w="1304"/>
          </w:tcPr>
          <w:p>
            <w:pPr>
              <w:jc w:val="center"/>
            </w:pPr>
            <w:r/>
            <w:r>
              <w:rPr>
                <w:rFonts w:ascii="Times New Roman" w:hAnsi="Times New Roman"/>
                <w:sz w:val="16"/>
              </w:rPr>
              <w:t>0,00248</w:t>
            </w:r>
          </w:p>
        </w:tc>
        <w:tc>
          <w:tcPr>
            <w:tcW w:type="dxa" w:w="1247"/>
          </w:tcPr>
          <w:p>
            <w:pPr>
              <w:jc w:val="center"/>
            </w:pPr>
            <w:r/>
            <w:r>
              <w:rPr>
                <w:rFonts w:ascii="Times New Roman" w:hAnsi="Times New Roman"/>
                <w:sz w:val="16"/>
              </w:rPr>
              <w:t>0</w:t>
            </w:r>
          </w:p>
        </w:tc>
        <w:tc>
          <w:tcPr>
            <w:tcW w:type="dxa" w:w="1361"/>
          </w:tcPr>
          <w:p>
            <w:pPr>
              <w:jc w:val="center"/>
            </w:pPr>
            <w:r/>
            <w:r>
              <w:rPr>
                <w:rFonts w:ascii="Times New Roman" w:hAnsi="Times New Roman"/>
                <w:sz w:val="16"/>
              </w:rPr>
              <w:t>2,4e-18</w:t>
            </w:r>
          </w:p>
        </w:tc>
        <w:tc>
          <w:tcPr>
            <w:tcW w:type="dxa" w:w="1361"/>
          </w:tcPr>
          <w:p>
            <w:pPr>
              <w:jc w:val="center"/>
            </w:pPr>
            <w:r/>
            <w:r>
              <w:rPr>
                <w:rFonts w:ascii="Times New Roman" w:hAnsi="Times New Roman"/>
                <w:sz w:val="16"/>
              </w:rPr>
              <w:t>8,7e-18</w:t>
            </w:r>
          </w:p>
        </w:tc>
      </w:tr>
    </w:tbl>
    <w:p>
      <w:pPr>
        <w:keepNext/>
        <w:spacing w:before="200" w:after="80"/>
        <w:jc w:val="left"/>
      </w:pPr>
      <w:r>
        <w:rPr>
          <w:rFonts w:ascii="Times New Roman" w:hAnsi="Times New Roman"/>
          <w:b/>
          <w:sz w:val="24"/>
        </w:rPr>
        <w:t>Integração composição × expressão: quanto do sinal é composição?</w:t>
      </w:r>
    </w:p>
    <w:p>
      <w:pPr>
        <w:spacing w:before="0" w:after="120" w:line="360" w:lineRule="auto"/>
        <w:ind w:firstLine="709"/>
        <w:jc w:val="both"/>
      </w:pPr>
      <w:r>
        <w:rPr>
          <w:rFonts w:ascii="Times New Roman" w:hAnsi="Times New Roman" w:eastAsia="Times New Roman"/>
          <w:b w:val="0"/>
          <w:i w:val="0"/>
          <w:sz w:val="24"/>
        </w:rPr>
        <w:t>A Tabela 3 e a Figura 9 mostram a atenuação. No tumor vs. adjacente, o ajuste por xCell reduziu 4.130 DEGs para 1.897 (Jaccard 0,32; Spearman 0,68; atenuação mediana do |logFC| = 0,37). No tumor vs. GTEx, caiu de 3.391 para 2.732 (Jaccard 0,55; Spearman 0,89; atenuação 0,19). No estágio, de 46 para zero (atenuação 0,60); no grau, de 172 para zero (atenuação 0,69). No sexo, o GTEx praticamente não mudou (13 → 15), o tumor clínico caiu de 175 para 90 e o adjacente de 103 para 22. A interpretação é dupla: (i) parte do sinal de tumor, estágio e grau é mudança de proporção celular; (ii) como a composição é estimada da própria expressão, o ajuste pode remover sinal intrínseco. Por isso, a atenuação é descritiva e não prova mediação.</w:t>
      </w:r>
    </w:p>
    <w:p>
      <w:pPr>
        <w:keepNext/>
        <w:spacing w:before="120" w:after="40"/>
        <w:jc w:val="center"/>
      </w:pPr>
      <w:r>
        <w:drawing>
          <wp:inline xmlns:a="http://schemas.openxmlformats.org/drawingml/2006/main" xmlns:pic="http://schemas.openxmlformats.org/drawingml/2006/picture">
            <wp:extent cx="5940000" cy="2028327"/>
            <wp:docPr id="9" name="Picture 9"/>
            <wp:cNvGraphicFramePr>
              <a:graphicFrameLocks noChangeAspect="1"/>
            </wp:cNvGraphicFramePr>
            <a:graphic>
              <a:graphicData uri="http://schemas.openxmlformats.org/drawingml/2006/picture">
                <pic:pic>
                  <pic:nvPicPr>
                    <pic:cNvPr id="0" name="figura_09_atenuacao_composicao.png"/>
                    <pic:cNvPicPr/>
                  </pic:nvPicPr>
                  <pic:blipFill>
                    <a:blip r:embed="rId17"/>
                    <a:stretch>
                      <a:fillRect/>
                    </a:stretch>
                  </pic:blipFill>
                  <pic:spPr>
                    <a:xfrm>
                      <a:off x="0" y="0"/>
                      <a:ext cx="5940000" cy="2028327"/>
                    </a:xfrm>
                    <a:prstGeom prst="rect"/>
                  </pic:spPr>
                </pic:pic>
              </a:graphicData>
            </a:graphic>
          </wp:inline>
        </w:drawing>
      </w:r>
    </w:p>
    <w:p>
      <w:pPr>
        <w:spacing w:before="80" w:after="160" w:line="240" w:lineRule="auto"/>
        <w:jc w:val="left"/>
      </w:pPr>
      <w:r>
        <w:rPr>
          <w:rFonts w:ascii="Times New Roman" w:hAnsi="Times New Roman"/>
          <w:b/>
          <w:sz w:val="22"/>
        </w:rPr>
        <w:t xml:space="preserve">Figura 9. </w:t>
      </w:r>
      <w:r>
        <w:rPr>
          <w:rFonts w:ascii="Times New Roman" w:hAnsi="Times New Roman"/>
          <w:sz w:val="22"/>
        </w:rPr>
        <w:t>Atenuação do sinal por composição. (A) DEGs sem e com xCell. (B) logFC sem vs. com composição no tumor vs. adjacente. (C) Atenuação mediana do |logFC|. O ajuste reduz tumor vs. adjacente, estágio e grau, mas não zera o sexo no GTEx.</w:t>
      </w:r>
    </w:p>
    <w:p>
      <w:pPr>
        <w:keepNext/>
        <w:spacing w:before="200" w:after="80"/>
        <w:jc w:val="left"/>
      </w:pPr>
      <w:r>
        <w:rPr>
          <w:rFonts w:ascii="Times New Roman" w:hAnsi="Times New Roman"/>
          <w:b/>
          <w:sz w:val="24"/>
        </w:rPr>
        <w:t>Sobrevida</w:t>
      </w:r>
    </w:p>
    <w:p>
      <w:pPr>
        <w:spacing w:before="0" w:after="120" w:line="360" w:lineRule="auto"/>
        <w:ind w:firstLine="709"/>
        <w:jc w:val="both"/>
      </w:pPr>
      <w:r>
        <w:rPr>
          <w:rFonts w:ascii="Times New Roman" w:hAnsi="Times New Roman" w:eastAsia="Times New Roman"/>
          <w:b w:val="0"/>
          <w:i w:val="0"/>
          <w:sz w:val="24"/>
        </w:rPr>
        <w:t>No modelo clínico corrigido (n = 368; 128 eventos), estágio III–IV vs. I–II teve HR = 2,56 (IC 95% 1,81–3,64; p = 1,4 × 10⁻⁷), grau G3–G4 HR = 1,23 (0,86–1,76; p = 0,267), sexo masculino HR = 0,93 (0,64–1,34; p = 0,686) e idade HR = 1,01/ano (1,00–1,02; p = 0,143). O log-rank para estágio foi p = 4,5 × 10⁻⁸. No modelo com AFP e fibrose (n = 186; 53 eventos), estágio HR = 2,04 (1,15–3,62; p = 0,015) e idade HR = 1,03/ano (1,005–1,055; p = 0,019); AFP e fibrose não foram independentes. Esses resultados confirmam o estágio como preditor clínico dominante, mesmo que a assinatura transcriptômica de estágio não seja identificável.</w:t>
      </w:r>
    </w:p>
    <w:p>
      <w:pPr>
        <w:spacing w:before="0" w:after="120" w:line="360" w:lineRule="auto"/>
        <w:ind w:firstLine="709"/>
        <w:jc w:val="both"/>
      </w:pPr>
      <w:r>
        <w:rPr>
          <w:rFonts w:ascii="Times New Roman" w:hAnsi="Times New Roman" w:eastAsia="Times New Roman"/>
          <w:b w:val="0"/>
          <w:i w:val="0"/>
          <w:sz w:val="24"/>
        </w:rPr>
        <w:t>Na composição celular, o Cox ajustado por idade, sexo, estágio e grau (n = 337; 112 eventos) mostrou xCell Hepatocytes HR = 0,77 por SD (0,65–0,92; p = 0,0035; FDR = 0,029). O EPIC otherCells teve HR = 1,39 (1,13–1,70; p = 0,0017; FDR = 0,029), mas esse estimador não passou no QC de hepatócitos. EPIC Macrophages HR = 0,78 (0,63–0,96; p = 0,020; FDR = 0,123). Os demais tipos não foram significativos após FDR. A Tabela 7 e a Figura 10 resumem.</w:t>
      </w:r>
    </w:p>
    <w:p>
      <w:pPr>
        <w:keepNext/>
        <w:spacing w:before="80" w:after="160" w:line="240" w:lineRule="auto"/>
        <w:jc w:val="left"/>
      </w:pPr>
      <w:r>
        <w:rPr>
          <w:rFonts w:ascii="Times New Roman" w:hAnsi="Times New Roman"/>
          <w:b/>
          <w:sz w:val="22"/>
        </w:rPr>
        <w:t xml:space="preserve">Tabela 7. </w:t>
      </w:r>
      <w:r>
        <w:rPr>
          <w:rFonts w:ascii="Times New Roman" w:hAnsi="Times New Roman"/>
          <w:sz w:val="22"/>
        </w:rPr>
        <w:t>Cox ajustado por idade, sexo, estágio e grau. HR por 1 desvio-padrão do escore celular. EPIC otherCells não é hepatócito e serve apenas para mostrar a instabilidade do método.</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3402"/>
            <w:shd w:fill="D9E2F3"/>
          </w:tcPr>
          <w:p>
            <w:pPr>
              <w:keepNext/>
              <w:jc w:val="center"/>
            </w:pPr>
            <w:r/>
            <w:r>
              <w:rPr>
                <w:rFonts w:ascii="Times New Roman" w:hAnsi="Times New Roman"/>
                <w:b/>
                <w:sz w:val="16"/>
              </w:rPr>
              <w:t>Célula</w:t>
            </w:r>
          </w:p>
        </w:tc>
        <w:tc>
          <w:tcPr>
            <w:tcW w:type="dxa" w:w="1020"/>
            <w:shd w:fill="D9E2F3"/>
          </w:tcPr>
          <w:p>
            <w:pPr>
              <w:keepNext/>
              <w:jc w:val="center"/>
            </w:pPr>
            <w:r/>
            <w:r>
              <w:rPr>
                <w:rFonts w:ascii="Times New Roman" w:hAnsi="Times New Roman"/>
                <w:b/>
                <w:sz w:val="16"/>
              </w:rPr>
              <w:t>HR/SD</w:t>
            </w:r>
          </w:p>
        </w:tc>
        <w:tc>
          <w:tcPr>
            <w:tcW w:type="dxa" w:w="1474"/>
            <w:shd w:fill="D9E2F3"/>
          </w:tcPr>
          <w:p>
            <w:pPr>
              <w:keepNext/>
              <w:jc w:val="center"/>
            </w:pPr>
            <w:r/>
            <w:r>
              <w:rPr>
                <w:rFonts w:ascii="Times New Roman" w:hAnsi="Times New Roman"/>
                <w:b/>
                <w:sz w:val="16"/>
              </w:rPr>
              <w:t>IC 95%</w:t>
            </w:r>
          </w:p>
        </w:tc>
        <w:tc>
          <w:tcPr>
            <w:tcW w:type="dxa" w:w="1247"/>
            <w:shd w:fill="D9E2F3"/>
          </w:tcPr>
          <w:p>
            <w:pPr>
              <w:keepNext/>
              <w:jc w:val="center"/>
            </w:pPr>
            <w:r/>
            <w:r>
              <w:rPr>
                <w:rFonts w:ascii="Times New Roman" w:hAnsi="Times New Roman"/>
                <w:b/>
                <w:sz w:val="16"/>
              </w:rPr>
              <w:t>P</w:t>
            </w:r>
          </w:p>
        </w:tc>
        <w:tc>
          <w:tcPr>
            <w:tcW w:type="dxa" w:w="1247"/>
            <w:shd w:fill="D9E2F3"/>
          </w:tcPr>
          <w:p>
            <w:pPr>
              <w:keepNext/>
              <w:jc w:val="center"/>
            </w:pPr>
            <w:r/>
            <w:r>
              <w:rPr>
                <w:rFonts w:ascii="Times New Roman" w:hAnsi="Times New Roman"/>
                <w:b/>
                <w:sz w:val="16"/>
              </w:rPr>
              <w:t>FDR</w:t>
            </w:r>
          </w:p>
        </w:tc>
        <w:tc>
          <w:tcPr>
            <w:tcW w:type="dxa" w:w="1247"/>
            <w:shd w:fill="D9E2F3"/>
          </w:tcPr>
          <w:p>
            <w:pPr>
              <w:keepNext/>
              <w:jc w:val="center"/>
            </w:pPr>
            <w:r/>
            <w:r>
              <w:rPr>
                <w:rFonts w:ascii="Times New Roman" w:hAnsi="Times New Roman"/>
                <w:b/>
                <w:sz w:val="16"/>
              </w:rPr>
              <w:t>n/eventos</w:t>
            </w:r>
          </w:p>
        </w:tc>
      </w:tr>
      <w:tr>
        <w:trPr>
          <w:cantSplit/>
        </w:trPr>
        <w:tc>
          <w:tcPr>
            <w:tcW w:type="dxa" w:w="3402"/>
          </w:tcPr>
          <w:p>
            <w:pPr>
              <w:keepNext/>
              <w:jc w:val="left"/>
            </w:pPr>
            <w:r/>
            <w:r>
              <w:rPr>
                <w:rFonts w:ascii="Times New Roman" w:hAnsi="Times New Roman"/>
                <w:sz w:val="16"/>
              </w:rPr>
              <w:t>xCell: Hepatocytes</w:t>
            </w:r>
          </w:p>
        </w:tc>
        <w:tc>
          <w:tcPr>
            <w:tcW w:type="dxa" w:w="1020"/>
          </w:tcPr>
          <w:p>
            <w:pPr>
              <w:keepNext/>
              <w:jc w:val="center"/>
            </w:pPr>
            <w:r/>
            <w:r>
              <w:rPr>
                <w:rFonts w:ascii="Times New Roman" w:hAnsi="Times New Roman"/>
                <w:sz w:val="16"/>
              </w:rPr>
              <w:t>0,77</w:t>
            </w:r>
          </w:p>
        </w:tc>
        <w:tc>
          <w:tcPr>
            <w:tcW w:type="dxa" w:w="1474"/>
          </w:tcPr>
          <w:p>
            <w:pPr>
              <w:keepNext/>
              <w:jc w:val="center"/>
            </w:pPr>
            <w:r/>
            <w:r>
              <w:rPr>
                <w:rFonts w:ascii="Times New Roman" w:hAnsi="Times New Roman"/>
                <w:sz w:val="16"/>
              </w:rPr>
              <w:t>0,65–0,92</w:t>
            </w:r>
          </w:p>
        </w:tc>
        <w:tc>
          <w:tcPr>
            <w:tcW w:type="dxa" w:w="1247"/>
          </w:tcPr>
          <w:p>
            <w:pPr>
              <w:keepNext/>
              <w:jc w:val="center"/>
            </w:pPr>
            <w:r/>
            <w:r>
              <w:rPr>
                <w:rFonts w:ascii="Times New Roman" w:hAnsi="Times New Roman"/>
                <w:sz w:val="16"/>
              </w:rPr>
              <w:t>0,00349</w:t>
            </w:r>
          </w:p>
        </w:tc>
        <w:tc>
          <w:tcPr>
            <w:tcW w:type="dxa" w:w="1247"/>
          </w:tcPr>
          <w:p>
            <w:pPr>
              <w:keepNext/>
              <w:jc w:val="center"/>
            </w:pPr>
            <w:r/>
            <w:r>
              <w:rPr>
                <w:rFonts w:ascii="Times New Roman" w:hAnsi="Times New Roman"/>
                <w:sz w:val="16"/>
              </w:rPr>
              <w:t>0,029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EPIC: otherCells</w:t>
            </w:r>
          </w:p>
        </w:tc>
        <w:tc>
          <w:tcPr>
            <w:tcW w:type="dxa" w:w="1020"/>
          </w:tcPr>
          <w:p>
            <w:pPr>
              <w:keepNext/>
              <w:jc w:val="center"/>
            </w:pPr>
            <w:r/>
            <w:r>
              <w:rPr>
                <w:rFonts w:ascii="Times New Roman" w:hAnsi="Times New Roman"/>
                <w:sz w:val="16"/>
              </w:rPr>
              <w:t>1,39</w:t>
            </w:r>
          </w:p>
        </w:tc>
        <w:tc>
          <w:tcPr>
            <w:tcW w:type="dxa" w:w="1474"/>
          </w:tcPr>
          <w:p>
            <w:pPr>
              <w:keepNext/>
              <w:jc w:val="center"/>
            </w:pPr>
            <w:r/>
            <w:r>
              <w:rPr>
                <w:rFonts w:ascii="Times New Roman" w:hAnsi="Times New Roman"/>
                <w:sz w:val="16"/>
              </w:rPr>
              <w:t>1,13–1,70</w:t>
            </w:r>
          </w:p>
        </w:tc>
        <w:tc>
          <w:tcPr>
            <w:tcW w:type="dxa" w:w="1247"/>
          </w:tcPr>
          <w:p>
            <w:pPr>
              <w:keepNext/>
              <w:jc w:val="center"/>
            </w:pPr>
            <w:r/>
            <w:r>
              <w:rPr>
                <w:rFonts w:ascii="Times New Roman" w:hAnsi="Times New Roman"/>
                <w:sz w:val="16"/>
              </w:rPr>
              <w:t>0,00174</w:t>
            </w:r>
          </w:p>
        </w:tc>
        <w:tc>
          <w:tcPr>
            <w:tcW w:type="dxa" w:w="1247"/>
          </w:tcPr>
          <w:p>
            <w:pPr>
              <w:keepNext/>
              <w:jc w:val="center"/>
            </w:pPr>
            <w:r/>
            <w:r>
              <w:rPr>
                <w:rFonts w:ascii="Times New Roman" w:hAnsi="Times New Roman"/>
                <w:sz w:val="16"/>
              </w:rPr>
              <w:t>0,029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EPIC: Macrophages</w:t>
            </w:r>
          </w:p>
        </w:tc>
        <w:tc>
          <w:tcPr>
            <w:tcW w:type="dxa" w:w="1020"/>
          </w:tcPr>
          <w:p>
            <w:pPr>
              <w:keepNext/>
              <w:jc w:val="center"/>
            </w:pPr>
            <w:r/>
            <w:r>
              <w:rPr>
                <w:rFonts w:ascii="Times New Roman" w:hAnsi="Times New Roman"/>
                <w:sz w:val="16"/>
              </w:rPr>
              <w:t>0,78</w:t>
            </w:r>
          </w:p>
        </w:tc>
        <w:tc>
          <w:tcPr>
            <w:tcW w:type="dxa" w:w="1474"/>
          </w:tcPr>
          <w:p>
            <w:pPr>
              <w:keepNext/>
              <w:jc w:val="center"/>
            </w:pPr>
            <w:r/>
            <w:r>
              <w:rPr>
                <w:rFonts w:ascii="Times New Roman" w:hAnsi="Times New Roman"/>
                <w:sz w:val="16"/>
              </w:rPr>
              <w:t>0,63–0,96</w:t>
            </w:r>
          </w:p>
        </w:tc>
        <w:tc>
          <w:tcPr>
            <w:tcW w:type="dxa" w:w="1247"/>
          </w:tcPr>
          <w:p>
            <w:pPr>
              <w:keepNext/>
              <w:jc w:val="center"/>
            </w:pPr>
            <w:r/>
            <w:r>
              <w:rPr>
                <w:rFonts w:ascii="Times New Roman" w:hAnsi="Times New Roman"/>
                <w:sz w:val="16"/>
              </w:rPr>
              <w:t>0,0196</w:t>
            </w:r>
          </w:p>
        </w:tc>
        <w:tc>
          <w:tcPr>
            <w:tcW w:type="dxa" w:w="1247"/>
          </w:tcPr>
          <w:p>
            <w:pPr>
              <w:keepNext/>
              <w:jc w:val="center"/>
            </w:pPr>
            <w:r/>
            <w:r>
              <w:rPr>
                <w:rFonts w:ascii="Times New Roman" w:hAnsi="Times New Roman"/>
                <w:sz w:val="16"/>
              </w:rPr>
              <w:t>0,123</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Macrophages</w:t>
            </w:r>
          </w:p>
        </w:tc>
        <w:tc>
          <w:tcPr>
            <w:tcW w:type="dxa" w:w="1020"/>
          </w:tcPr>
          <w:p>
            <w:pPr>
              <w:keepNext/>
              <w:jc w:val="center"/>
            </w:pPr>
            <w:r/>
            <w:r>
              <w:rPr>
                <w:rFonts w:ascii="Times New Roman" w:hAnsi="Times New Roman"/>
                <w:sz w:val="16"/>
              </w:rPr>
              <w:t>1,12</w:t>
            </w:r>
          </w:p>
        </w:tc>
        <w:tc>
          <w:tcPr>
            <w:tcW w:type="dxa" w:w="1474"/>
          </w:tcPr>
          <w:p>
            <w:pPr>
              <w:keepNext/>
              <w:jc w:val="center"/>
            </w:pPr>
            <w:r/>
            <w:r>
              <w:rPr>
                <w:rFonts w:ascii="Times New Roman" w:hAnsi="Times New Roman"/>
                <w:sz w:val="16"/>
              </w:rPr>
              <w:t>0,93–1,34</w:t>
            </w:r>
          </w:p>
        </w:tc>
        <w:tc>
          <w:tcPr>
            <w:tcW w:type="dxa" w:w="1247"/>
          </w:tcPr>
          <w:p>
            <w:pPr>
              <w:keepNext/>
              <w:jc w:val="center"/>
            </w:pPr>
            <w:r/>
            <w:r>
              <w:rPr>
                <w:rFonts w:ascii="Times New Roman" w:hAnsi="Times New Roman"/>
                <w:sz w:val="16"/>
              </w:rPr>
              <w:t>0,23</w:t>
            </w:r>
          </w:p>
        </w:tc>
        <w:tc>
          <w:tcPr>
            <w:tcW w:type="dxa" w:w="1247"/>
          </w:tcPr>
          <w:p>
            <w:pPr>
              <w:keepNext/>
              <w:jc w:val="center"/>
            </w:pPr>
            <w:r/>
            <w:r>
              <w:rPr>
                <w:rFonts w:ascii="Times New Roman" w:hAnsi="Times New Roman"/>
                <w:sz w:val="16"/>
              </w:rPr>
              <w:t>0,639</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Endothelial cells</w:t>
            </w:r>
          </w:p>
        </w:tc>
        <w:tc>
          <w:tcPr>
            <w:tcW w:type="dxa" w:w="1020"/>
          </w:tcPr>
          <w:p>
            <w:pPr>
              <w:keepNext/>
              <w:jc w:val="center"/>
            </w:pPr>
            <w:r/>
            <w:r>
              <w:rPr>
                <w:rFonts w:ascii="Times New Roman" w:hAnsi="Times New Roman"/>
                <w:sz w:val="16"/>
              </w:rPr>
              <w:t>0,83</w:t>
            </w:r>
          </w:p>
        </w:tc>
        <w:tc>
          <w:tcPr>
            <w:tcW w:type="dxa" w:w="1474"/>
          </w:tcPr>
          <w:p>
            <w:pPr>
              <w:keepNext/>
              <w:jc w:val="center"/>
            </w:pPr>
            <w:r/>
            <w:r>
              <w:rPr>
                <w:rFonts w:ascii="Times New Roman" w:hAnsi="Times New Roman"/>
                <w:sz w:val="16"/>
              </w:rPr>
              <w:t>0,67–1,04</w:t>
            </w:r>
          </w:p>
        </w:tc>
        <w:tc>
          <w:tcPr>
            <w:tcW w:type="dxa" w:w="1247"/>
          </w:tcPr>
          <w:p>
            <w:pPr>
              <w:keepNext/>
              <w:jc w:val="center"/>
            </w:pPr>
            <w:r/>
            <w:r>
              <w:rPr>
                <w:rFonts w:ascii="Times New Roman" w:hAnsi="Times New Roman"/>
                <w:sz w:val="16"/>
              </w:rPr>
              <w:t>0,108</w:t>
            </w:r>
          </w:p>
        </w:tc>
        <w:tc>
          <w:tcPr>
            <w:tcW w:type="dxa" w:w="1247"/>
          </w:tcPr>
          <w:p>
            <w:pPr>
              <w:keepNext/>
              <w:jc w:val="center"/>
            </w:pPr>
            <w:r/>
            <w:r>
              <w:rPr>
                <w:rFonts w:ascii="Times New Roman" w:hAnsi="Times New Roman"/>
                <w:sz w:val="16"/>
              </w:rPr>
              <w:t>0,452</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Fibroblasts</w:t>
            </w:r>
          </w:p>
        </w:tc>
        <w:tc>
          <w:tcPr>
            <w:tcW w:type="dxa" w:w="1020"/>
          </w:tcPr>
          <w:p>
            <w:pPr>
              <w:keepNext/>
              <w:jc w:val="center"/>
            </w:pPr>
            <w:r/>
            <w:r>
              <w:rPr>
                <w:rFonts w:ascii="Times New Roman" w:hAnsi="Times New Roman"/>
                <w:sz w:val="16"/>
              </w:rPr>
              <w:t>1,00</w:t>
            </w:r>
          </w:p>
        </w:tc>
        <w:tc>
          <w:tcPr>
            <w:tcW w:type="dxa" w:w="1474"/>
          </w:tcPr>
          <w:p>
            <w:pPr>
              <w:keepNext/>
              <w:jc w:val="center"/>
            </w:pPr>
            <w:r/>
            <w:r>
              <w:rPr>
                <w:rFonts w:ascii="Times New Roman" w:hAnsi="Times New Roman"/>
                <w:sz w:val="16"/>
              </w:rPr>
              <w:t>0,86–1,17</w:t>
            </w:r>
          </w:p>
        </w:tc>
        <w:tc>
          <w:tcPr>
            <w:tcW w:type="dxa" w:w="1247"/>
          </w:tcPr>
          <w:p>
            <w:pPr>
              <w:keepNext/>
              <w:jc w:val="center"/>
            </w:pPr>
            <w:r/>
            <w:r>
              <w:rPr>
                <w:rFonts w:ascii="Times New Roman" w:hAnsi="Times New Roman"/>
                <w:sz w:val="16"/>
              </w:rPr>
              <w:t>0,967</w:t>
            </w:r>
          </w:p>
        </w:tc>
        <w:tc>
          <w:tcPr>
            <w:tcW w:type="dxa" w:w="1247"/>
          </w:tcPr>
          <w:p>
            <w:pPr>
              <w:keepNext/>
              <w:jc w:val="center"/>
            </w:pPr>
            <w:r/>
            <w:r>
              <w:rPr>
                <w:rFonts w:ascii="Times New Roman" w:hAnsi="Times New Roman"/>
                <w:sz w:val="16"/>
              </w:rPr>
              <w:t>0,994</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xCell: CD8+ T-cells</w:t>
            </w:r>
          </w:p>
        </w:tc>
        <w:tc>
          <w:tcPr>
            <w:tcW w:type="dxa" w:w="1020"/>
          </w:tcPr>
          <w:p>
            <w:pPr>
              <w:keepNext/>
              <w:jc w:val="center"/>
            </w:pPr>
            <w:r/>
            <w:r>
              <w:rPr>
                <w:rFonts w:ascii="Times New Roman" w:hAnsi="Times New Roman"/>
                <w:sz w:val="16"/>
              </w:rPr>
              <w:t>1,03</w:t>
            </w:r>
          </w:p>
        </w:tc>
        <w:tc>
          <w:tcPr>
            <w:tcW w:type="dxa" w:w="1474"/>
          </w:tcPr>
          <w:p>
            <w:pPr>
              <w:keepNext/>
              <w:jc w:val="center"/>
            </w:pPr>
            <w:r/>
            <w:r>
              <w:rPr>
                <w:rFonts w:ascii="Times New Roman" w:hAnsi="Times New Roman"/>
                <w:sz w:val="16"/>
              </w:rPr>
              <w:t>0,85–1,24</w:t>
            </w:r>
          </w:p>
        </w:tc>
        <w:tc>
          <w:tcPr>
            <w:tcW w:type="dxa" w:w="1247"/>
          </w:tcPr>
          <w:p>
            <w:pPr>
              <w:keepNext/>
              <w:jc w:val="center"/>
            </w:pPr>
            <w:r/>
            <w:r>
              <w:rPr>
                <w:rFonts w:ascii="Times New Roman" w:hAnsi="Times New Roman"/>
                <w:sz w:val="16"/>
              </w:rPr>
              <w:t>0,751</w:t>
            </w:r>
          </w:p>
        </w:tc>
        <w:tc>
          <w:tcPr>
            <w:tcW w:type="dxa" w:w="1247"/>
          </w:tcPr>
          <w:p>
            <w:pPr>
              <w:keepNext/>
              <w:jc w:val="center"/>
            </w:pPr>
            <w:r/>
            <w:r>
              <w:rPr>
                <w:rFonts w:ascii="Times New Roman" w:hAnsi="Times New Roman"/>
                <w:sz w:val="16"/>
              </w:rPr>
              <w:t>0,853</w:t>
            </w:r>
          </w:p>
        </w:tc>
        <w:tc>
          <w:tcPr>
            <w:tcW w:type="dxa" w:w="1247"/>
          </w:tcPr>
          <w:p>
            <w:pPr>
              <w:keepNext/>
              <w:jc w:val="center"/>
            </w:pPr>
            <w:r/>
            <w:r>
              <w:rPr>
                <w:rFonts w:ascii="Times New Roman" w:hAnsi="Times New Roman"/>
                <w:sz w:val="16"/>
              </w:rPr>
              <w:t>337/112</w:t>
            </w:r>
          </w:p>
        </w:tc>
      </w:tr>
      <w:tr>
        <w:trPr>
          <w:cantSplit/>
        </w:trPr>
        <w:tc>
          <w:tcPr>
            <w:tcW w:type="dxa" w:w="3402"/>
          </w:tcPr>
          <w:p>
            <w:pPr>
              <w:keepNext/>
              <w:jc w:val="left"/>
            </w:pPr>
            <w:r/>
            <w:r>
              <w:rPr>
                <w:rFonts w:ascii="Times New Roman" w:hAnsi="Times New Roman"/>
                <w:sz w:val="16"/>
              </w:rPr>
              <w:t>quanTIseq: Macrophages.M1</w:t>
            </w:r>
          </w:p>
        </w:tc>
        <w:tc>
          <w:tcPr>
            <w:tcW w:type="dxa" w:w="1020"/>
          </w:tcPr>
          <w:p>
            <w:pPr>
              <w:keepNext/>
              <w:jc w:val="center"/>
            </w:pPr>
            <w:r/>
            <w:r>
              <w:rPr>
                <w:rFonts w:ascii="Times New Roman" w:hAnsi="Times New Roman"/>
                <w:sz w:val="16"/>
              </w:rPr>
              <w:t>1,09</w:t>
            </w:r>
          </w:p>
        </w:tc>
        <w:tc>
          <w:tcPr>
            <w:tcW w:type="dxa" w:w="1474"/>
          </w:tcPr>
          <w:p>
            <w:pPr>
              <w:keepNext/>
              <w:jc w:val="center"/>
            </w:pPr>
            <w:r/>
            <w:r>
              <w:rPr>
                <w:rFonts w:ascii="Times New Roman" w:hAnsi="Times New Roman"/>
                <w:sz w:val="16"/>
              </w:rPr>
              <w:t>0,92–1,29</w:t>
            </w:r>
          </w:p>
        </w:tc>
        <w:tc>
          <w:tcPr>
            <w:tcW w:type="dxa" w:w="1247"/>
          </w:tcPr>
          <w:p>
            <w:pPr>
              <w:keepNext/>
              <w:jc w:val="center"/>
            </w:pPr>
            <w:r/>
            <w:r>
              <w:rPr>
                <w:rFonts w:ascii="Times New Roman" w:hAnsi="Times New Roman"/>
                <w:sz w:val="16"/>
              </w:rPr>
              <w:t>0,333</w:t>
            </w:r>
          </w:p>
        </w:tc>
        <w:tc>
          <w:tcPr>
            <w:tcW w:type="dxa" w:w="1247"/>
          </w:tcPr>
          <w:p>
            <w:pPr>
              <w:keepNext/>
              <w:jc w:val="center"/>
            </w:pPr>
            <w:r/>
            <w:r>
              <w:rPr>
                <w:rFonts w:ascii="Times New Roman" w:hAnsi="Times New Roman"/>
                <w:sz w:val="16"/>
              </w:rPr>
              <w:t>0,641</w:t>
            </w:r>
          </w:p>
        </w:tc>
        <w:tc>
          <w:tcPr>
            <w:tcW w:type="dxa" w:w="1247"/>
          </w:tcPr>
          <w:p>
            <w:pPr>
              <w:keepNext/>
              <w:jc w:val="center"/>
            </w:pPr>
            <w:r/>
            <w:r>
              <w:rPr>
                <w:rFonts w:ascii="Times New Roman" w:hAnsi="Times New Roman"/>
                <w:sz w:val="16"/>
              </w:rPr>
              <w:t>337/112</w:t>
            </w:r>
          </w:p>
        </w:tc>
      </w:tr>
      <w:tr>
        <w:trPr>
          <w:cantSplit/>
        </w:trPr>
        <w:tc>
          <w:tcPr>
            <w:tcW w:type="dxa" w:w="3402"/>
          </w:tcPr>
          <w:p>
            <w:pPr>
              <w:jc w:val="left"/>
            </w:pPr>
            <w:r/>
            <w:r>
              <w:rPr>
                <w:rFonts w:ascii="Times New Roman" w:hAnsi="Times New Roman"/>
                <w:sz w:val="16"/>
              </w:rPr>
              <w:t>quanTIseq: Macrophages.M2</w:t>
            </w:r>
          </w:p>
        </w:tc>
        <w:tc>
          <w:tcPr>
            <w:tcW w:type="dxa" w:w="1020"/>
          </w:tcPr>
          <w:p>
            <w:pPr>
              <w:jc w:val="center"/>
            </w:pPr>
            <w:r/>
            <w:r>
              <w:rPr>
                <w:rFonts w:ascii="Times New Roman" w:hAnsi="Times New Roman"/>
                <w:sz w:val="16"/>
              </w:rPr>
              <w:t>1,03</w:t>
            </w:r>
          </w:p>
        </w:tc>
        <w:tc>
          <w:tcPr>
            <w:tcW w:type="dxa" w:w="1474"/>
          </w:tcPr>
          <w:p>
            <w:pPr>
              <w:jc w:val="center"/>
            </w:pPr>
            <w:r/>
            <w:r>
              <w:rPr>
                <w:rFonts w:ascii="Times New Roman" w:hAnsi="Times New Roman"/>
                <w:sz w:val="16"/>
              </w:rPr>
              <w:t>0,86–1,24</w:t>
            </w:r>
          </w:p>
        </w:tc>
        <w:tc>
          <w:tcPr>
            <w:tcW w:type="dxa" w:w="1247"/>
          </w:tcPr>
          <w:p>
            <w:pPr>
              <w:jc w:val="center"/>
            </w:pPr>
            <w:r/>
            <w:r>
              <w:rPr>
                <w:rFonts w:ascii="Times New Roman" w:hAnsi="Times New Roman"/>
                <w:sz w:val="16"/>
              </w:rPr>
              <w:t>0,721</w:t>
            </w:r>
          </w:p>
        </w:tc>
        <w:tc>
          <w:tcPr>
            <w:tcW w:type="dxa" w:w="1247"/>
          </w:tcPr>
          <w:p>
            <w:pPr>
              <w:jc w:val="center"/>
            </w:pPr>
            <w:r/>
            <w:r>
              <w:rPr>
                <w:rFonts w:ascii="Times New Roman" w:hAnsi="Times New Roman"/>
                <w:sz w:val="16"/>
              </w:rPr>
              <w:t>0,853</w:t>
            </w:r>
          </w:p>
        </w:tc>
        <w:tc>
          <w:tcPr>
            <w:tcW w:type="dxa" w:w="1247"/>
          </w:tcPr>
          <w:p>
            <w:pPr>
              <w:jc w:val="center"/>
            </w:pPr>
            <w:r/>
            <w:r>
              <w:rPr>
                <w:rFonts w:ascii="Times New Roman" w:hAnsi="Times New Roman"/>
                <w:sz w:val="16"/>
              </w:rPr>
              <w:t>337/112</w:t>
            </w:r>
          </w:p>
        </w:tc>
      </w:tr>
    </w:tbl>
    <w:p>
      <w:pPr>
        <w:keepNext/>
        <w:spacing w:before="120" w:after="40"/>
        <w:jc w:val="center"/>
      </w:pPr>
      <w:r>
        <w:drawing>
          <wp:inline xmlns:a="http://schemas.openxmlformats.org/drawingml/2006/main" xmlns:pic="http://schemas.openxmlformats.org/drawingml/2006/picture">
            <wp:extent cx="5940000" cy="4528957"/>
            <wp:docPr id="10" name="Picture 10"/>
            <wp:cNvGraphicFramePr>
              <a:graphicFrameLocks noChangeAspect="1"/>
            </wp:cNvGraphicFramePr>
            <a:graphic>
              <a:graphicData uri="http://schemas.openxmlformats.org/drawingml/2006/picture">
                <pic:pic>
                  <pic:nvPicPr>
                    <pic:cNvPr id="0" name="figura_10_cox_celulas.png"/>
                    <pic:cNvPicPr/>
                  </pic:nvPicPr>
                  <pic:blipFill>
                    <a:blip r:embed="rId18"/>
                    <a:stretch>
                      <a:fillRect/>
                    </a:stretch>
                  </pic:blipFill>
                  <pic:spPr>
                    <a:xfrm>
                      <a:off x="0" y="0"/>
                      <a:ext cx="5940000" cy="4528957"/>
                    </a:xfrm>
                    <a:prstGeom prst="rect"/>
                  </pic:spPr>
                </pic:pic>
              </a:graphicData>
            </a:graphic>
          </wp:inline>
        </w:drawing>
      </w:r>
    </w:p>
    <w:p>
      <w:pPr>
        <w:spacing w:before="80" w:after="160" w:line="240" w:lineRule="auto"/>
        <w:jc w:val="left"/>
      </w:pPr>
      <w:r>
        <w:rPr>
          <w:rFonts w:ascii="Times New Roman" w:hAnsi="Times New Roman"/>
          <w:b/>
          <w:sz w:val="22"/>
        </w:rPr>
        <w:t xml:space="preserve">Figura 10. </w:t>
      </w:r>
      <w:r>
        <w:rPr>
          <w:rFonts w:ascii="Times New Roman" w:hAnsi="Times New Roman"/>
          <w:sz w:val="22"/>
        </w:rPr>
        <w:t>Cox ajustado: composição celular e sobrevida global. HR por 1 SD; barras = IC 95%; vermelho = FDR &lt; 0,05. O escore de hepatócitos é protetor; EPIC otherCells é risco, mas não é hepatócito.</w:t>
      </w:r>
    </w:p>
    <w:p>
      <w:pPr>
        <w:keepNext/>
        <w:spacing w:before="200" w:after="80"/>
        <w:jc w:val="left"/>
      </w:pPr>
      <w:r>
        <w:rPr>
          <w:rFonts w:ascii="Times New Roman" w:hAnsi="Times New Roman"/>
          <w:b/>
          <w:sz w:val="24"/>
        </w:rPr>
        <w:t>Auditoria, benchmarks e conformidade</w:t>
      </w:r>
    </w:p>
    <w:p>
      <w:pPr>
        <w:spacing w:before="0" w:after="120" w:line="360" w:lineRule="auto"/>
        <w:ind w:firstLine="709"/>
        <w:jc w:val="both"/>
      </w:pPr>
      <w:r>
        <w:rPr>
          <w:rFonts w:ascii="Times New Roman" w:hAnsi="Times New Roman" w:eastAsia="Times New Roman"/>
          <w:b w:val="0"/>
          <w:i w:val="0"/>
          <w:sz w:val="24"/>
        </w:rPr>
        <w:t>A Tabela 8 resume os achados críticos da auditoria. O benchmark completo está em auditorias/benchmarks_analises_avancadas.md: leitura de dados 2,2 s; limma tumor vs. adjacente 2,9 s; limma estágio 0,7 s; ComBat 4,1–5,8 s; EPIC 28,3 s; quanTIseq 9,0 s; xCell 14,4 s; tempo total 79,1 s e memória máxima de 933,5 MB. A conformidade verificou sintaxe dos scripts R e Python, sementes, saídas, figuras (DPI ≥ 300), ética, IA, TPM, critérios de inclusão/exclusão, datas e limitações. O checklist detalhado está em auditorias/compliance_analises_avancadas.md.</w:t>
      </w:r>
    </w:p>
    <w:p>
      <w:pPr>
        <w:keepNext/>
        <w:spacing w:before="80" w:after="160" w:line="240" w:lineRule="auto"/>
        <w:jc w:val="left"/>
      </w:pPr>
      <w:r>
        <w:rPr>
          <w:rFonts w:ascii="Times New Roman" w:hAnsi="Times New Roman"/>
          <w:b/>
          <w:sz w:val="22"/>
        </w:rPr>
        <w:t xml:space="preserve">Tabela 8. </w:t>
      </w:r>
      <w:r>
        <w:rPr>
          <w:rFonts w:ascii="Times New Roman" w:hAnsi="Times New Roman"/>
          <w:sz w:val="22"/>
        </w:rPr>
        <w:t>Síntese da auditoria crítica. A lista completa, com métricas e arquivos, está em auditorias/auditoria_analises_avancadas.md.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28"/>
            <w:shd w:fill="D9E2F3"/>
          </w:tcPr>
          <w:p>
            <w:pPr>
              <w:keepNext/>
              <w:jc w:val="center"/>
            </w:pPr>
            <w:r/>
            <w:r>
              <w:rPr>
                <w:rFonts w:ascii="Times New Roman" w:hAnsi="Times New Roman"/>
                <w:b/>
                <w:sz w:val="15"/>
              </w:rPr>
              <w:t>Achado</w:t>
            </w:r>
          </w:p>
        </w:tc>
        <w:tc>
          <w:tcPr>
            <w:tcW w:type="dxa" w:w="3742"/>
            <w:shd w:fill="D9E2F3"/>
          </w:tcPr>
          <w:p>
            <w:pPr>
              <w:keepNext/>
              <w:jc w:val="center"/>
            </w:pPr>
            <w:r/>
            <w:r>
              <w:rPr>
                <w:rFonts w:ascii="Times New Roman" w:hAnsi="Times New Roman"/>
                <w:b/>
                <w:sz w:val="15"/>
              </w:rPr>
              <w:t>Evidência</w:t>
            </w:r>
          </w:p>
        </w:tc>
        <w:tc>
          <w:tcPr>
            <w:tcW w:type="dxa" w:w="3742"/>
            <w:shd w:fill="D9E2F3"/>
          </w:tcPr>
          <w:p>
            <w:pPr>
              <w:keepNext/>
              <w:jc w:val="center"/>
            </w:pPr>
            <w:r/>
            <w:r>
              <w:rPr>
                <w:rFonts w:ascii="Times New Roman" w:hAnsi="Times New Roman"/>
                <w:b/>
                <w:sz w:val="15"/>
              </w:rPr>
              <w:t>Implicação</w:t>
            </w:r>
          </w:p>
        </w:tc>
      </w:tr>
      <w:tr>
        <w:trPr>
          <w:cantSplit/>
        </w:trPr>
        <w:tc>
          <w:tcPr>
            <w:tcW w:type="dxa" w:w="1928"/>
          </w:tcPr>
          <w:p>
            <w:pPr>
              <w:keepNext/>
              <w:jc w:val="left"/>
            </w:pPr>
            <w:r/>
            <w:r>
              <w:rPr>
                <w:rFonts w:ascii="Times New Roman" w:hAnsi="Times New Roman"/>
                <w:sz w:val="15"/>
              </w:rPr>
              <w:t>Grupo × estudo</w:t>
            </w:r>
          </w:p>
        </w:tc>
        <w:tc>
          <w:tcPr>
            <w:tcW w:type="dxa" w:w="3742"/>
          </w:tcPr>
          <w:p>
            <w:pPr>
              <w:keepNext/>
              <w:jc w:val="center"/>
            </w:pPr>
            <w:r/>
            <w:r>
              <w:rPr>
                <w:rFonts w:ascii="Times New Roman" w:hAnsi="Times New Roman"/>
                <w:sz w:val="15"/>
              </w:rPr>
              <w:t>Cramér's V = 1,0</w:t>
            </w:r>
          </w:p>
        </w:tc>
        <w:tc>
          <w:tcPr>
            <w:tcW w:type="dxa" w:w="3742"/>
          </w:tcPr>
          <w:p>
            <w:pPr>
              <w:keepNext/>
              <w:jc w:val="center"/>
            </w:pPr>
            <w:r/>
            <w:r>
              <w:rPr>
                <w:rFonts w:ascii="Times New Roman" w:hAnsi="Times New Roman"/>
                <w:sz w:val="15"/>
              </w:rPr>
              <w:t>TCGA × GTEx não é efeito puro de tumor; é biologia + lote.</w:t>
            </w:r>
          </w:p>
        </w:tc>
      </w:tr>
      <w:tr>
        <w:trPr>
          <w:cantSplit/>
        </w:trPr>
        <w:tc>
          <w:tcPr>
            <w:tcW w:type="dxa" w:w="1928"/>
          </w:tcPr>
          <w:p>
            <w:pPr>
              <w:keepNext/>
              <w:jc w:val="left"/>
            </w:pPr>
            <w:r/>
            <w:r>
              <w:rPr>
                <w:rFonts w:ascii="Times New Roman" w:hAnsi="Times New Roman"/>
                <w:sz w:val="15"/>
              </w:rPr>
              <w:t>Child-Pugh</w:t>
            </w:r>
          </w:p>
        </w:tc>
        <w:tc>
          <w:tcPr>
            <w:tcW w:type="dxa" w:w="3742"/>
          </w:tcPr>
          <w:p>
            <w:pPr>
              <w:keepNext/>
              <w:jc w:val="center"/>
            </w:pPr>
            <w:r/>
            <w:r>
              <w:rPr>
                <w:rFonts w:ascii="Times New Roman" w:hAnsi="Times New Roman"/>
                <w:sz w:val="15"/>
              </w:rPr>
              <w:t>132 ausentes foram tratados como B-C; B-C cai de 154 para 22</w:t>
            </w:r>
          </w:p>
        </w:tc>
        <w:tc>
          <w:tcPr>
            <w:tcW w:type="dxa" w:w="3742"/>
          </w:tcPr>
          <w:p>
            <w:pPr>
              <w:keepNext/>
              <w:jc w:val="center"/>
            </w:pPr>
            <w:r/>
            <w:r>
              <w:rPr>
                <w:rFonts w:ascii="Times New Roman" w:hAnsi="Times New Roman"/>
                <w:sz w:val="15"/>
              </w:rPr>
              <w:t>Modelos antigos com Child-Pugh estavam inflados; corrigir antes de reanalisar.</w:t>
            </w:r>
          </w:p>
        </w:tc>
      </w:tr>
      <w:tr>
        <w:trPr>
          <w:cantSplit/>
        </w:trPr>
        <w:tc>
          <w:tcPr>
            <w:tcW w:type="dxa" w:w="1928"/>
          </w:tcPr>
          <w:p>
            <w:pPr>
              <w:keepNext/>
              <w:jc w:val="left"/>
            </w:pPr>
            <w:r/>
            <w:r>
              <w:rPr>
                <w:rFonts w:ascii="Times New Roman" w:hAnsi="Times New Roman"/>
                <w:sz w:val="15"/>
              </w:rPr>
              <w:t>Estágio × TSS</w:t>
            </w:r>
          </w:p>
        </w:tc>
        <w:tc>
          <w:tcPr>
            <w:tcW w:type="dxa" w:w="3742"/>
          </w:tcPr>
          <w:p>
            <w:pPr>
              <w:keepNext/>
              <w:jc w:val="center"/>
            </w:pPr>
            <w:r/>
            <w:r>
              <w:rPr>
                <w:rFonts w:ascii="Times New Roman" w:hAnsi="Times New Roman"/>
                <w:sz w:val="15"/>
              </w:rPr>
              <w:t>CC: 26/32 III–IV, 100% sem Child-Pugh; V = 0,52</w:t>
            </w:r>
          </w:p>
        </w:tc>
        <w:tc>
          <w:tcPr>
            <w:tcW w:type="dxa" w:w="3742"/>
          </w:tcPr>
          <w:p>
            <w:pPr>
              <w:keepNext/>
              <w:jc w:val="center"/>
            </w:pPr>
            <w:r/>
            <w:r>
              <w:rPr>
                <w:rFonts w:ascii="Times New Roman" w:hAnsi="Times New Roman"/>
                <w:sz w:val="15"/>
              </w:rPr>
              <w:t>Assinatura de estágio é, em parte, centro/lote.</w:t>
            </w:r>
          </w:p>
        </w:tc>
      </w:tr>
      <w:tr>
        <w:trPr>
          <w:cantSplit/>
        </w:trPr>
        <w:tc>
          <w:tcPr>
            <w:tcW w:type="dxa" w:w="1928"/>
          </w:tcPr>
          <w:p>
            <w:pPr>
              <w:keepNext/>
              <w:jc w:val="left"/>
            </w:pPr>
            <w:r/>
            <w:r>
              <w:rPr>
                <w:rFonts w:ascii="Times New Roman" w:hAnsi="Times New Roman"/>
                <w:sz w:val="15"/>
              </w:rPr>
              <w:t>Estágio frágil</w:t>
            </w:r>
          </w:p>
        </w:tc>
        <w:tc>
          <w:tcPr>
            <w:tcW w:type="dxa" w:w="3742"/>
          </w:tcPr>
          <w:p>
            <w:pPr>
              <w:keepNext/>
              <w:jc w:val="center"/>
            </w:pPr>
            <w:r/>
            <w:r>
              <w:rPr>
                <w:rFonts w:ascii="Times New Roman" w:hAnsi="Times New Roman"/>
                <w:sz w:val="15"/>
              </w:rPr>
              <w:t>46 DEGs → 0 nos mesmos casos, com TSS ou composição</w:t>
            </w:r>
          </w:p>
        </w:tc>
        <w:tc>
          <w:tcPr>
            <w:tcW w:type="dxa" w:w="3742"/>
          </w:tcPr>
          <w:p>
            <w:pPr>
              <w:keepNext/>
              <w:jc w:val="center"/>
            </w:pPr>
            <w:r/>
            <w:r>
              <w:rPr>
                <w:rFonts w:ascii="Times New Roman" w:hAnsi="Times New Roman"/>
                <w:sz w:val="15"/>
              </w:rPr>
              <w:t>Não há assinatura transcriptômica robusta de estágio.</w:t>
            </w:r>
          </w:p>
        </w:tc>
      </w:tr>
      <w:tr>
        <w:trPr>
          <w:cantSplit/>
        </w:trPr>
        <w:tc>
          <w:tcPr>
            <w:tcW w:type="dxa" w:w="1928"/>
          </w:tcPr>
          <w:p>
            <w:pPr>
              <w:keepNext/>
              <w:jc w:val="left"/>
            </w:pPr>
            <w:r/>
            <w:r>
              <w:rPr>
                <w:rFonts w:ascii="Times New Roman" w:hAnsi="Times New Roman"/>
                <w:sz w:val="15"/>
              </w:rPr>
              <w:t>Grau</w:t>
            </w:r>
          </w:p>
        </w:tc>
        <w:tc>
          <w:tcPr>
            <w:tcW w:type="dxa" w:w="3742"/>
          </w:tcPr>
          <w:p>
            <w:pPr>
              <w:keepNext/>
              <w:jc w:val="center"/>
            </w:pPr>
            <w:r/>
            <w:r>
              <w:rPr>
                <w:rFonts w:ascii="Times New Roman" w:hAnsi="Times New Roman"/>
                <w:sz w:val="15"/>
              </w:rPr>
              <w:t>172–337 DEGs; 0 após composição</w:t>
            </w:r>
          </w:p>
        </w:tc>
        <w:tc>
          <w:tcPr>
            <w:tcW w:type="dxa" w:w="3742"/>
          </w:tcPr>
          <w:p>
            <w:pPr>
              <w:keepNext/>
              <w:jc w:val="center"/>
            </w:pPr>
            <w:r/>
            <w:r>
              <w:rPr>
                <w:rFonts w:ascii="Times New Roman" w:hAnsi="Times New Roman"/>
                <w:sz w:val="15"/>
              </w:rPr>
              <w:t>Grau tem sinal, mas é sensível à composição celular.</w:t>
            </w:r>
          </w:p>
        </w:tc>
      </w:tr>
      <w:tr>
        <w:trPr>
          <w:cantSplit/>
        </w:trPr>
        <w:tc>
          <w:tcPr>
            <w:tcW w:type="dxa" w:w="1928"/>
          </w:tcPr>
          <w:p>
            <w:pPr>
              <w:keepNext/>
              <w:jc w:val="left"/>
            </w:pPr>
            <w:r/>
            <w:r>
              <w:rPr>
                <w:rFonts w:ascii="Times New Roman" w:hAnsi="Times New Roman"/>
                <w:sz w:val="15"/>
              </w:rPr>
              <w:t>Tumor vs. adjacente</w:t>
            </w:r>
          </w:p>
        </w:tc>
        <w:tc>
          <w:tcPr>
            <w:tcW w:type="dxa" w:w="3742"/>
          </w:tcPr>
          <w:p>
            <w:pPr>
              <w:keepNext/>
              <w:jc w:val="center"/>
            </w:pPr>
            <w:r/>
            <w:r>
              <w:rPr>
                <w:rFonts w:ascii="Times New Roman" w:hAnsi="Times New Roman"/>
                <w:sz w:val="15"/>
              </w:rPr>
              <w:t>4.130 → 3.710 pareado → 3.740 clínico</w:t>
            </w:r>
          </w:p>
        </w:tc>
        <w:tc>
          <w:tcPr>
            <w:tcW w:type="dxa" w:w="3742"/>
          </w:tcPr>
          <w:p>
            <w:pPr>
              <w:keepNext/>
              <w:jc w:val="center"/>
            </w:pPr>
            <w:r/>
            <w:r>
              <w:rPr>
                <w:rFonts w:ascii="Times New Roman" w:hAnsi="Times New Roman"/>
                <w:sz w:val="15"/>
              </w:rPr>
              <w:t>Eixo mais robusto; Jaccard 0,76–0,83.</w:t>
            </w:r>
          </w:p>
        </w:tc>
      </w:tr>
      <w:tr>
        <w:trPr>
          <w:cantSplit/>
        </w:trPr>
        <w:tc>
          <w:tcPr>
            <w:tcW w:type="dxa" w:w="1928"/>
          </w:tcPr>
          <w:p>
            <w:pPr>
              <w:keepNext/>
              <w:jc w:val="left"/>
            </w:pPr>
            <w:r/>
            <w:r>
              <w:rPr>
                <w:rFonts w:ascii="Times New Roman" w:hAnsi="Times New Roman"/>
                <w:sz w:val="15"/>
              </w:rPr>
              <w:t>Deconvolução</w:t>
            </w:r>
          </w:p>
        </w:tc>
        <w:tc>
          <w:tcPr>
            <w:tcW w:type="dxa" w:w="3742"/>
          </w:tcPr>
          <w:p>
            <w:pPr>
              <w:keepNext/>
              <w:jc w:val="center"/>
            </w:pPr>
            <w:r/>
            <w:r>
              <w:rPr>
                <w:rFonts w:ascii="Times New Roman" w:hAnsi="Times New Roman"/>
                <w:sz w:val="15"/>
              </w:rPr>
              <w:t>EPIC otherCells vs. ALB = −0,33; xCell vs. ALB = +0,47</w:t>
            </w:r>
          </w:p>
        </w:tc>
        <w:tc>
          <w:tcPr>
            <w:tcW w:type="dxa" w:w="3742"/>
          </w:tcPr>
          <w:p>
            <w:pPr>
              <w:keepNext/>
              <w:jc w:val="center"/>
            </w:pPr>
            <w:r/>
            <w:r>
              <w:rPr>
                <w:rFonts w:ascii="Times New Roman" w:hAnsi="Times New Roman"/>
                <w:sz w:val="15"/>
              </w:rPr>
              <w:t>Métodos não são intercambiáveis; usar xCell para hepatócitos.</w:t>
            </w:r>
          </w:p>
        </w:tc>
      </w:tr>
      <w:tr>
        <w:trPr>
          <w:cantSplit/>
        </w:trPr>
        <w:tc>
          <w:tcPr>
            <w:tcW w:type="dxa" w:w="1928"/>
          </w:tcPr>
          <w:p>
            <w:pPr>
              <w:keepNext/>
              <w:jc w:val="left"/>
            </w:pPr>
            <w:r/>
            <w:r>
              <w:rPr>
                <w:rFonts w:ascii="Times New Roman" w:hAnsi="Times New Roman"/>
                <w:sz w:val="15"/>
              </w:rPr>
              <w:t>Sexo</w:t>
            </w:r>
          </w:p>
        </w:tc>
        <w:tc>
          <w:tcPr>
            <w:tcW w:type="dxa" w:w="3742"/>
          </w:tcPr>
          <w:p>
            <w:pPr>
              <w:keepNext/>
              <w:jc w:val="center"/>
            </w:pPr>
            <w:r/>
            <w:r>
              <w:rPr>
                <w:rFonts w:ascii="Times New Roman" w:hAnsi="Times New Roman"/>
                <w:sz w:val="15"/>
              </w:rPr>
              <w:t>13 DEGs no GTEx, 175 no tumor, 90 após composição</w:t>
            </w:r>
          </w:p>
        </w:tc>
        <w:tc>
          <w:tcPr>
            <w:tcW w:type="dxa" w:w="3742"/>
          </w:tcPr>
          <w:p>
            <w:pPr>
              <w:keepNext/>
              <w:jc w:val="center"/>
            </w:pPr>
            <w:r/>
            <w:r>
              <w:rPr>
                <w:rFonts w:ascii="Times New Roman" w:hAnsi="Times New Roman"/>
                <w:sz w:val="15"/>
              </w:rPr>
              <w:t>Sexo é biológico, mas não é só proporção de hepatócitos.</w:t>
            </w:r>
          </w:p>
        </w:tc>
      </w:tr>
      <w:tr>
        <w:trPr>
          <w:cantSplit/>
        </w:trPr>
        <w:tc>
          <w:tcPr>
            <w:tcW w:type="dxa" w:w="1928"/>
          </w:tcPr>
          <w:p>
            <w:pPr>
              <w:keepNext/>
              <w:jc w:val="left"/>
            </w:pPr>
            <w:r/>
            <w:r>
              <w:rPr>
                <w:rFonts w:ascii="Times New Roman" w:hAnsi="Times New Roman"/>
                <w:sz w:val="15"/>
              </w:rPr>
              <w:t>Subgrupos pequenos</w:t>
            </w:r>
          </w:p>
        </w:tc>
        <w:tc>
          <w:tcPr>
            <w:tcW w:type="dxa" w:w="3742"/>
          </w:tcPr>
          <w:p>
            <w:pPr>
              <w:keepNext/>
              <w:jc w:val="center"/>
            </w:pPr>
            <w:r/>
            <w:r>
              <w:rPr>
                <w:rFonts w:ascii="Times New Roman" w:hAnsi="Times New Roman"/>
                <w:sz w:val="15"/>
              </w:rPr>
              <w:t>Estágio IV n = 5; G4 n = 11; histologia Other n = 10</w:t>
            </w:r>
          </w:p>
        </w:tc>
        <w:tc>
          <w:tcPr>
            <w:tcW w:type="dxa" w:w="3742"/>
          </w:tcPr>
          <w:p>
            <w:pPr>
              <w:keepNext/>
              <w:jc w:val="center"/>
            </w:pPr>
            <w:r/>
            <w:r>
              <w:rPr>
                <w:rFonts w:ascii="Times New Roman" w:hAnsi="Times New Roman"/>
                <w:sz w:val="15"/>
              </w:rPr>
              <w:t>Poder baixo; resultados descritivos, não confirmatórios.</w:t>
            </w:r>
          </w:p>
        </w:tc>
      </w:tr>
      <w:tr>
        <w:trPr>
          <w:cantSplit/>
        </w:trPr>
        <w:tc>
          <w:tcPr>
            <w:tcW w:type="dxa" w:w="1928"/>
          </w:tcPr>
          <w:p>
            <w:pPr>
              <w:jc w:val="left"/>
            </w:pPr>
            <w:r/>
            <w:r>
              <w:rPr>
                <w:rFonts w:ascii="Times New Roman" w:hAnsi="Times New Roman"/>
                <w:sz w:val="15"/>
              </w:rPr>
              <w:t>Missingness</w:t>
            </w:r>
          </w:p>
        </w:tc>
        <w:tc>
          <w:tcPr>
            <w:tcW w:type="dxa" w:w="3742"/>
          </w:tcPr>
          <w:p>
            <w:pPr>
              <w:jc w:val="center"/>
            </w:pPr>
            <w:r/>
            <w:r>
              <w:rPr>
                <w:rFonts w:ascii="Times New Roman" w:hAnsi="Times New Roman"/>
                <w:sz w:val="15"/>
              </w:rPr>
              <w:t>Invasão vascular 70,7%; sorologia 55,8%; fibrose 43,1%; Child-Pugh 35,8%</w:t>
            </w:r>
          </w:p>
        </w:tc>
        <w:tc>
          <w:tcPr>
            <w:tcW w:type="dxa" w:w="3742"/>
          </w:tcPr>
          <w:p>
            <w:pPr>
              <w:jc w:val="center"/>
            </w:pPr>
            <w:r/>
            <w:r>
              <w:rPr>
                <w:rFonts w:ascii="Times New Roman" w:hAnsi="Times New Roman"/>
                <w:sz w:val="15"/>
              </w:rPr>
              <w:t>Casos completos não são representativos; viés de seleção.</w:t>
            </w:r>
          </w:p>
        </w:tc>
      </w:tr>
    </w:tbl>
    <w:p>
      <w:pPr>
        <w:keepNext/>
        <w:spacing w:before="80" w:after="160" w:line="240" w:lineRule="auto"/>
        <w:jc w:val="left"/>
      </w:pPr>
      <w:r>
        <w:rPr>
          <w:rFonts w:ascii="Times New Roman" w:hAnsi="Times New Roman"/>
          <w:b/>
          <w:sz w:val="22"/>
        </w:rPr>
        <w:t xml:space="preserve">Tabela 9. </w:t>
      </w:r>
      <w:r>
        <w:rPr>
          <w:rFonts w:ascii="Times New Roman" w:hAnsi="Times New Roman"/>
          <w:sz w:val="22"/>
        </w:rPr>
        <w:t>Reanálise da via KEGG hsa05417 com as mesmas covariáveis. A via mantém sinal no tumor vs. adjacente e no tumor vs. GTEx, mas perde sinal no estágio e quase todo no grau/sexo.</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3402"/>
            <w:shd w:fill="D9E2F3"/>
          </w:tcPr>
          <w:p>
            <w:pPr>
              <w:keepNext/>
              <w:jc w:val="center"/>
            </w:pPr>
            <w:r/>
            <w:r>
              <w:rPr>
                <w:rFonts w:ascii="Times New Roman" w:hAnsi="Times New Roman"/>
                <w:b/>
                <w:sz w:val="16"/>
              </w:rPr>
              <w:t>Modelo da via LA</w:t>
            </w:r>
          </w:p>
        </w:tc>
        <w:tc>
          <w:tcPr>
            <w:tcW w:type="dxa" w:w="1134"/>
            <w:shd w:fill="D9E2F3"/>
          </w:tcPr>
          <w:p>
            <w:pPr>
              <w:keepNext/>
              <w:jc w:val="center"/>
            </w:pPr>
            <w:r/>
            <w:r>
              <w:rPr>
                <w:rFonts w:ascii="Times New Roman" w:hAnsi="Times New Roman"/>
                <w:b/>
                <w:sz w:val="16"/>
              </w:rPr>
              <w:t>Genes</w:t>
            </w:r>
          </w:p>
        </w:tc>
        <w:tc>
          <w:tcPr>
            <w:tcW w:type="dxa" w:w="1134"/>
            <w:shd w:fill="D9E2F3"/>
          </w:tcPr>
          <w:p>
            <w:pPr>
              <w:keepNext/>
              <w:jc w:val="center"/>
            </w:pPr>
            <w:r/>
            <w:r>
              <w:rPr>
                <w:rFonts w:ascii="Times New Roman" w:hAnsi="Times New Roman"/>
                <w:b/>
                <w:sz w:val="16"/>
              </w:rPr>
              <w:t>Up</w:t>
            </w:r>
          </w:p>
        </w:tc>
        <w:tc>
          <w:tcPr>
            <w:tcW w:type="dxa" w:w="1134"/>
            <w:shd w:fill="D9E2F3"/>
          </w:tcPr>
          <w:p>
            <w:pPr>
              <w:keepNext/>
              <w:jc w:val="center"/>
            </w:pPr>
            <w:r/>
            <w:r>
              <w:rPr>
                <w:rFonts w:ascii="Times New Roman" w:hAnsi="Times New Roman"/>
                <w:b/>
                <w:sz w:val="16"/>
              </w:rPr>
              <w:t>Down</w:t>
            </w:r>
          </w:p>
        </w:tc>
        <w:tc>
          <w:tcPr>
            <w:tcW w:type="dxa" w:w="1134"/>
            <w:shd w:fill="D9E2F3"/>
          </w:tcPr>
          <w:p>
            <w:pPr>
              <w:keepNext/>
              <w:jc w:val="center"/>
            </w:pPr>
            <w:r/>
            <w:r>
              <w:rPr>
                <w:rFonts w:ascii="Times New Roman" w:hAnsi="Times New Roman"/>
                <w:b/>
                <w:sz w:val="16"/>
              </w:rPr>
              <w:t>DEGs</w:t>
            </w:r>
          </w:p>
        </w:tc>
      </w:tr>
      <w:tr>
        <w:trPr>
          <w:cantSplit/>
        </w:trPr>
        <w:tc>
          <w:tcPr>
            <w:tcW w:type="dxa" w:w="3402"/>
          </w:tcPr>
          <w:p>
            <w:pPr>
              <w:keepNext/>
              <w:jc w:val="left"/>
            </w:pPr>
            <w:r/>
            <w:r>
              <w:rPr>
                <w:rFonts w:ascii="Times New Roman" w:hAnsi="Times New Roman"/>
                <w:sz w:val="16"/>
              </w:rPr>
              <w:t>Tumor vs. adjacente (basal)</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32</w:t>
            </w:r>
          </w:p>
        </w:tc>
        <w:tc>
          <w:tcPr>
            <w:tcW w:type="dxa" w:w="1134"/>
          </w:tcPr>
          <w:p>
            <w:pPr>
              <w:keepNext/>
              <w:jc w:val="center"/>
            </w:pPr>
            <w:r/>
            <w:r>
              <w:rPr>
                <w:rFonts w:ascii="Times New Roman" w:hAnsi="Times New Roman"/>
                <w:sz w:val="16"/>
              </w:rPr>
              <w:t>17</w:t>
            </w:r>
          </w:p>
        </w:tc>
        <w:tc>
          <w:tcPr>
            <w:tcW w:type="dxa" w:w="1134"/>
          </w:tcPr>
          <w:p>
            <w:pPr>
              <w:keepNext/>
              <w:jc w:val="center"/>
            </w:pPr>
            <w:r/>
            <w:r>
              <w:rPr>
                <w:rFonts w:ascii="Times New Roman" w:hAnsi="Times New Roman"/>
                <w:sz w:val="16"/>
              </w:rPr>
              <w:t>49</w:t>
            </w:r>
          </w:p>
        </w:tc>
      </w:tr>
      <w:tr>
        <w:trPr>
          <w:cantSplit/>
        </w:trPr>
        <w:tc>
          <w:tcPr>
            <w:tcW w:type="dxa" w:w="3402"/>
          </w:tcPr>
          <w:p>
            <w:pPr>
              <w:keepNext/>
              <w:jc w:val="left"/>
            </w:pPr>
            <w:r/>
            <w:r>
              <w:rPr>
                <w:rFonts w:ascii="Times New Roman" w:hAnsi="Times New Roman"/>
                <w:sz w:val="16"/>
              </w:rPr>
              <w:t>Tumor vs. adjacente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30</w:t>
            </w:r>
          </w:p>
        </w:tc>
        <w:tc>
          <w:tcPr>
            <w:tcW w:type="dxa" w:w="1134"/>
          </w:tcPr>
          <w:p>
            <w:pPr>
              <w:keepNext/>
              <w:jc w:val="center"/>
            </w:pPr>
            <w:r/>
            <w:r>
              <w:rPr>
                <w:rFonts w:ascii="Times New Roman" w:hAnsi="Times New Roman"/>
                <w:sz w:val="16"/>
              </w:rPr>
              <w:t>16</w:t>
            </w:r>
          </w:p>
        </w:tc>
        <w:tc>
          <w:tcPr>
            <w:tcW w:type="dxa" w:w="1134"/>
          </w:tcPr>
          <w:p>
            <w:pPr>
              <w:keepNext/>
              <w:jc w:val="center"/>
            </w:pPr>
            <w:r/>
            <w:r>
              <w:rPr>
                <w:rFonts w:ascii="Times New Roman" w:hAnsi="Times New Roman"/>
                <w:sz w:val="16"/>
              </w:rPr>
              <w:t>46</w:t>
            </w:r>
          </w:p>
        </w:tc>
      </w:tr>
      <w:tr>
        <w:trPr>
          <w:cantSplit/>
        </w:trPr>
        <w:tc>
          <w:tcPr>
            <w:tcW w:type="dxa" w:w="3402"/>
          </w:tcPr>
          <w:p>
            <w:pPr>
              <w:keepNext/>
              <w:jc w:val="left"/>
            </w:pPr>
            <w:r/>
            <w:r>
              <w:rPr>
                <w:rFonts w:ascii="Times New Roman" w:hAnsi="Times New Roman"/>
                <w:sz w:val="16"/>
              </w:rPr>
              <w:t>Tumor vs. adjacente (composição)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14</w:t>
            </w:r>
          </w:p>
        </w:tc>
        <w:tc>
          <w:tcPr>
            <w:tcW w:type="dxa" w:w="1134"/>
          </w:tcPr>
          <w:p>
            <w:pPr>
              <w:keepNext/>
              <w:jc w:val="center"/>
            </w:pPr>
            <w:r/>
            <w:r>
              <w:rPr>
                <w:rFonts w:ascii="Times New Roman" w:hAnsi="Times New Roman"/>
                <w:sz w:val="16"/>
              </w:rPr>
              <w:t>7</w:t>
            </w:r>
          </w:p>
        </w:tc>
        <w:tc>
          <w:tcPr>
            <w:tcW w:type="dxa" w:w="1134"/>
          </w:tcPr>
          <w:p>
            <w:pPr>
              <w:keepNext/>
              <w:jc w:val="center"/>
            </w:pPr>
            <w:r/>
            <w:r>
              <w:rPr>
                <w:rFonts w:ascii="Times New Roman" w:hAnsi="Times New Roman"/>
                <w:sz w:val="16"/>
              </w:rPr>
              <w:t>21</w:t>
            </w:r>
          </w:p>
        </w:tc>
      </w:tr>
      <w:tr>
        <w:trPr>
          <w:cantSplit/>
        </w:trPr>
        <w:tc>
          <w:tcPr>
            <w:tcW w:type="dxa" w:w="3402"/>
          </w:tcPr>
          <w:p>
            <w:pPr>
              <w:keepNext/>
              <w:jc w:val="left"/>
            </w:pPr>
            <w:r/>
            <w:r>
              <w:rPr>
                <w:rFonts w:ascii="Times New Roman" w:hAnsi="Times New Roman"/>
                <w:sz w:val="16"/>
              </w:rPr>
              <w:t>Tumor vs. GTEx (basal)</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30</w:t>
            </w:r>
          </w:p>
        </w:tc>
        <w:tc>
          <w:tcPr>
            <w:tcW w:type="dxa" w:w="1134"/>
          </w:tcPr>
          <w:p>
            <w:pPr>
              <w:keepNext/>
              <w:jc w:val="center"/>
            </w:pPr>
            <w:r/>
            <w:r>
              <w:rPr>
                <w:rFonts w:ascii="Times New Roman" w:hAnsi="Times New Roman"/>
                <w:sz w:val="16"/>
              </w:rPr>
              <w:t>18</w:t>
            </w:r>
          </w:p>
        </w:tc>
        <w:tc>
          <w:tcPr>
            <w:tcW w:type="dxa" w:w="1134"/>
          </w:tcPr>
          <w:p>
            <w:pPr>
              <w:keepNext/>
              <w:jc w:val="center"/>
            </w:pPr>
            <w:r/>
            <w:r>
              <w:rPr>
                <w:rFonts w:ascii="Times New Roman" w:hAnsi="Times New Roman"/>
                <w:sz w:val="16"/>
              </w:rPr>
              <w:t>48</w:t>
            </w:r>
          </w:p>
        </w:tc>
      </w:tr>
      <w:tr>
        <w:trPr>
          <w:cantSplit/>
        </w:trPr>
        <w:tc>
          <w:tcPr>
            <w:tcW w:type="dxa" w:w="3402"/>
          </w:tcPr>
          <w:p>
            <w:pPr>
              <w:keepNext/>
              <w:jc w:val="left"/>
            </w:pPr>
            <w:r/>
            <w:r>
              <w:rPr>
                <w:rFonts w:ascii="Times New Roman" w:hAnsi="Times New Roman"/>
                <w:sz w:val="16"/>
              </w:rPr>
              <w:t>Tumor vs. GTEx (composição)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15</w:t>
            </w:r>
          </w:p>
        </w:tc>
        <w:tc>
          <w:tcPr>
            <w:tcW w:type="dxa" w:w="1134"/>
          </w:tcPr>
          <w:p>
            <w:pPr>
              <w:keepNext/>
              <w:jc w:val="center"/>
            </w:pPr>
            <w:r/>
            <w:r>
              <w:rPr>
                <w:rFonts w:ascii="Times New Roman" w:hAnsi="Times New Roman"/>
                <w:sz w:val="16"/>
              </w:rPr>
              <w:t>18</w:t>
            </w:r>
          </w:p>
        </w:tc>
        <w:tc>
          <w:tcPr>
            <w:tcW w:type="dxa" w:w="1134"/>
          </w:tcPr>
          <w:p>
            <w:pPr>
              <w:keepNext/>
              <w:jc w:val="center"/>
            </w:pPr>
            <w:r/>
            <w:r>
              <w:rPr>
                <w:rFonts w:ascii="Times New Roman" w:hAnsi="Times New Roman"/>
                <w:sz w:val="16"/>
              </w:rPr>
              <w:t>33</w:t>
            </w:r>
          </w:p>
        </w:tc>
      </w:tr>
      <w:tr>
        <w:trPr>
          <w:cantSplit/>
        </w:trPr>
        <w:tc>
          <w:tcPr>
            <w:tcW w:type="dxa" w:w="3402"/>
          </w:tcPr>
          <w:p>
            <w:pPr>
              <w:keepNext/>
              <w:jc w:val="left"/>
            </w:pPr>
            <w:r/>
            <w:r>
              <w:rPr>
                <w:rFonts w:ascii="Times New Roman" w:hAnsi="Times New Roman"/>
                <w:sz w:val="16"/>
              </w:rPr>
              <w:t>Estágio III–IV vs. I–II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r>
      <w:tr>
        <w:trPr>
          <w:cantSplit/>
        </w:trPr>
        <w:tc>
          <w:tcPr>
            <w:tcW w:type="dxa" w:w="3402"/>
          </w:tcPr>
          <w:p>
            <w:pPr>
              <w:keepNext/>
              <w:jc w:val="left"/>
            </w:pPr>
            <w:r/>
            <w:r>
              <w:rPr>
                <w:rFonts w:ascii="Times New Roman" w:hAnsi="Times New Roman"/>
                <w:sz w:val="16"/>
              </w:rPr>
              <w:t>Grau G3–G4 vs. G1–G2 (clínico)</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1</w:t>
            </w:r>
          </w:p>
        </w:tc>
        <w:tc>
          <w:tcPr>
            <w:tcW w:type="dxa" w:w="1134"/>
          </w:tcPr>
          <w:p>
            <w:pPr>
              <w:keepNext/>
              <w:jc w:val="center"/>
            </w:pPr>
            <w:r/>
            <w:r>
              <w:rPr>
                <w:rFonts w:ascii="Times New Roman" w:hAnsi="Times New Roman"/>
                <w:sz w:val="16"/>
              </w:rPr>
              <w:t>5</w:t>
            </w:r>
          </w:p>
        </w:tc>
        <w:tc>
          <w:tcPr>
            <w:tcW w:type="dxa" w:w="1134"/>
          </w:tcPr>
          <w:p>
            <w:pPr>
              <w:keepNext/>
              <w:jc w:val="center"/>
            </w:pPr>
            <w:r/>
            <w:r>
              <w:rPr>
                <w:rFonts w:ascii="Times New Roman" w:hAnsi="Times New Roman"/>
                <w:sz w:val="16"/>
              </w:rPr>
              <w:t>6</w:t>
            </w:r>
          </w:p>
        </w:tc>
      </w:tr>
      <w:tr>
        <w:trPr>
          <w:cantSplit/>
        </w:trPr>
        <w:tc>
          <w:tcPr>
            <w:tcW w:type="dxa" w:w="3402"/>
          </w:tcPr>
          <w:p>
            <w:pPr>
              <w:keepNext/>
              <w:jc w:val="left"/>
            </w:pPr>
            <w:r/>
            <w:r>
              <w:rPr>
                <w:rFonts w:ascii="Times New Roman" w:hAnsi="Times New Roman"/>
                <w:sz w:val="16"/>
              </w:rPr>
              <w:t>Sexo no GTEx</w:t>
            </w:r>
          </w:p>
        </w:tc>
        <w:tc>
          <w:tcPr>
            <w:tcW w:type="dxa" w:w="1134"/>
          </w:tcPr>
          <w:p>
            <w:pPr>
              <w:keepNext/>
              <w:jc w:val="center"/>
            </w:pPr>
            <w:r/>
            <w:r>
              <w:rPr>
                <w:rFonts w:ascii="Times New Roman" w:hAnsi="Times New Roman"/>
                <w:sz w:val="16"/>
              </w:rPr>
              <w:t>165</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c>
          <w:tcPr>
            <w:tcW w:type="dxa" w:w="1134"/>
          </w:tcPr>
          <w:p>
            <w:pPr>
              <w:keepNext/>
              <w:jc w:val="center"/>
            </w:pPr>
            <w:r/>
            <w:r>
              <w:rPr>
                <w:rFonts w:ascii="Times New Roman" w:hAnsi="Times New Roman"/>
                <w:sz w:val="16"/>
              </w:rPr>
              <w:t>0</w:t>
            </w:r>
          </w:p>
        </w:tc>
      </w:tr>
      <w:tr>
        <w:trPr>
          <w:cantSplit/>
        </w:trPr>
        <w:tc>
          <w:tcPr>
            <w:tcW w:type="dxa" w:w="3402"/>
          </w:tcPr>
          <w:p>
            <w:pPr>
              <w:jc w:val="left"/>
            </w:pPr>
            <w:r/>
            <w:r>
              <w:rPr>
                <w:rFonts w:ascii="Times New Roman" w:hAnsi="Times New Roman"/>
                <w:sz w:val="16"/>
              </w:rPr>
              <w:t>Sexo no tumor</w:t>
            </w:r>
          </w:p>
        </w:tc>
        <w:tc>
          <w:tcPr>
            <w:tcW w:type="dxa" w:w="1134"/>
          </w:tcPr>
          <w:p>
            <w:pPr>
              <w:jc w:val="center"/>
            </w:pPr>
            <w:r/>
            <w:r>
              <w:rPr>
                <w:rFonts w:ascii="Times New Roman" w:hAnsi="Times New Roman"/>
                <w:sz w:val="16"/>
              </w:rPr>
              <w:t>165</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bl>
    <w:p>
      <w:pPr>
        <w:keepNext/>
        <w:spacing w:before="280" w:after="120"/>
        <w:jc w:val="left"/>
      </w:pPr>
      <w:r>
        <w:rPr>
          <w:rFonts w:ascii="Times New Roman" w:hAnsi="Times New Roman"/>
          <w:b/>
          <w:sz w:val="26"/>
        </w:rPr>
        <w:t>DISCUSSÃO</w:t>
      </w:r>
    </w:p>
    <w:p>
      <w:pPr>
        <w:spacing w:before="0" w:after="120" w:line="360" w:lineRule="auto"/>
        <w:ind w:firstLine="709"/>
        <w:jc w:val="both"/>
      </w:pPr>
      <w:r>
        <w:rPr>
          <w:rFonts w:ascii="Times New Roman" w:hAnsi="Times New Roman" w:eastAsia="Times New Roman"/>
          <w:b w:val="0"/>
          <w:i w:val="0"/>
          <w:sz w:val="24"/>
        </w:rPr>
        <w:t>O resultado mais importante deste estudo é negativo e metodológico: nem todo contraste clínico que parece significativo em transcriptômica de bulk sobrevive a ajustes honestos. O tumor vs. adjacente é robusto; o grau tem um núcleo estável; o estágio, a sorologia, o Child-Pugh, a histologia, a fibrose e a invasão vascular não sustentam uma assinatura transcriptômica forte neste desenho. Isso não significa que essas variáveis não tenham biologia; significa que o desenho, o missingness e o confundimento com centro não permitem separá-las.</w:t>
      </w:r>
    </w:p>
    <w:p>
      <w:pPr>
        <w:spacing w:before="0" w:after="120" w:line="360" w:lineRule="auto"/>
        <w:ind w:firstLine="709"/>
        <w:jc w:val="both"/>
      </w:pPr>
      <w:r>
        <w:rPr>
          <w:rFonts w:ascii="Times New Roman" w:hAnsi="Times New Roman" w:eastAsia="Times New Roman"/>
          <w:b w:val="0"/>
          <w:i w:val="0"/>
          <w:sz w:val="24"/>
        </w:rPr>
        <w:t>A robustez do tumor vs. adjacente é consistente com a ideia de campo de cancerização: o parênquima adjacente já tem alterações inflamatórias e de adesão, mas o tumor acrescenta perda de identidade hepática, proliferação e remodelamento vascular/matricial [8,9]. A reanálise da via LA manteve 49 DEGs no basal e 21 após composição, com IRAK1, TRAF2, MAPK3, BAX e HSP90AB1 induzidos. Isso dialoga com a literatura de reprogramação lipídica, inflamação e aterosclerose [4,5,15], e com o achado original de MMP1/MMP9/CXCL2 e sobrevida [7,10]. Ao mesmo tempo, a queda de 4.130 para 1.897 DEGs após xCell mostra que parte do sinal é composição: menos hepatócitos, mais endotélio e mais macrófagos no tumor/adjacente.</w:t>
      </w:r>
    </w:p>
    <w:p>
      <w:pPr>
        <w:spacing w:before="0" w:after="120" w:line="360" w:lineRule="auto"/>
        <w:ind w:firstLine="709"/>
        <w:jc w:val="both"/>
      </w:pPr>
      <w:r>
        <w:rPr>
          <w:rFonts w:ascii="Times New Roman" w:hAnsi="Times New Roman" w:eastAsia="Times New Roman"/>
          <w:b w:val="0"/>
          <w:i w:val="0"/>
          <w:sz w:val="24"/>
        </w:rPr>
        <w:t>O estágio é o exemplo mais claro de confundimento. O centro CC, que concentra 26/90 tumores III–IV e 100% dos casos sem Child-Pugh, tem perfil de expressão próprio. Quando o TSS é ajustado, o sinal de estágio desaparece; quando se restringe aos casos completos, também. O estágio continua sendo o preditor clínico mais forte (HR = 2,56; log-rank p = 4,5 × 10⁻⁸), mas isso é prognóstico clínico, não uma assinatura transcriptômica identificável. A distinção é crucial: um gene pode prever desfecho sem ser causa ou marcador específico de estágio. O mesmo vale para AFP: 455 DEGs e AFP como gene mais alterado são um controle positivo de dediferenciação, não uma descoberta independente.</w:t>
      </w:r>
    </w:p>
    <w:p>
      <w:pPr>
        <w:spacing w:before="0" w:after="120" w:line="360" w:lineRule="auto"/>
        <w:ind w:firstLine="709"/>
        <w:jc w:val="both"/>
      </w:pPr>
      <w:r>
        <w:rPr>
          <w:rFonts w:ascii="Times New Roman" w:hAnsi="Times New Roman" w:eastAsia="Times New Roman"/>
          <w:b w:val="0"/>
          <w:i w:val="0"/>
          <w:sz w:val="24"/>
        </w:rPr>
        <w:t>O grau tem sinal mais estável, provavelmente porque reflete proliferação e dediferenciação, processos intrínsecos ao tumor. Ainda assim, o ajuste por composição zera os DEGs. Há duas leituras possíveis: (i) o grau é, em parte, uma mudança de proporção celular (menos hepatócitos, mais células imunes/estroma); (ii) o ajuste é sobreajuste, porque a composição é estimada da expressão e é consequência do grau. A segunda leitura é particularmente provável para genes de hepatócito, que são usados tanto para estimar a composição quanto para medir o grau. Estudos com single-cell ou histologia espacial poderiam separar as duas.</w:t>
      </w:r>
    </w:p>
    <w:p>
      <w:pPr>
        <w:spacing w:before="0" w:after="120" w:line="360" w:lineRule="auto"/>
        <w:ind w:firstLine="709"/>
        <w:jc w:val="both"/>
      </w:pPr>
      <w:r>
        <w:rPr>
          <w:rFonts w:ascii="Times New Roman" w:hAnsi="Times New Roman" w:eastAsia="Times New Roman"/>
          <w:b w:val="0"/>
          <w:i w:val="0"/>
          <w:sz w:val="24"/>
        </w:rPr>
        <w:t>O sexo é uma variável biológica que não deve ser reduzida a 'covariável de ajuste'. A revisão de Kočar et al. descreve dimorfismo sexual hepático em metabolismo, resposta imune, receptores hormonais, cromossomos sexuais, envelhecimento e ritmo circadiano [16]. Nossos dados mostram 13 DEGs no GTEx normal e 175 no tumor, com XIST e genes do Y como controles positivos. O ajuste por composição reduziu o tumor para 90 DEGs, mas não zerou; a diferença de hepatócitos por sexo foi pequena e não significativa após FDR no tumor. Isso sugere que o dimorfismo sexual é, em parte, intrínseco ao hepatócito e a outros tipos celulares, não apenas uma diferença de proporção. A implicação prática é que estudos de LIHC devem incluir sexo no desenho e reportar análises estratificadas, em vez de apenas ajustar.</w:t>
      </w:r>
    </w:p>
    <w:p>
      <w:pPr>
        <w:spacing w:before="0" w:after="120" w:line="360" w:lineRule="auto"/>
        <w:ind w:firstLine="709"/>
        <w:jc w:val="both"/>
      </w:pPr>
      <w:r>
        <w:rPr>
          <w:rFonts w:ascii="Times New Roman" w:hAnsi="Times New Roman" w:eastAsia="Times New Roman"/>
          <w:b w:val="0"/>
          <w:i w:val="0"/>
          <w:sz w:val="24"/>
        </w:rPr>
        <w:t>A deconvolução celular foi o componente mais instável. EPIC, quanTIseq e xCell não concordaram (Spearman mediano 0,01), e o EPIC otherCells não se comportou como hepatócito. Isso não invalida a deconvolução como ideia, mas invalida o uso acrítico de qualquer método. A escolha do método deve ser guiada por marcadores biológicos e pelo tecido: xCell foi o único que recuperou hepatócitos de forma coerente; EPIC foi útil para CAFs; quanTIseq foi útil para macrófagos M1/M2, mas com muitos zeros. A literatura de deconvolução já alerta para spillover, dependência da assinatura e limitações em tecidos com células muito abundantes [23-26,29]. Nossos resultados reforçam que 'fração celular' não é uma medida absoluta.</w:t>
      </w:r>
    </w:p>
    <w:p>
      <w:pPr>
        <w:spacing w:before="0" w:after="120" w:line="360" w:lineRule="auto"/>
        <w:ind w:firstLine="709"/>
        <w:jc w:val="both"/>
      </w:pPr>
      <w:r>
        <w:rPr>
          <w:rFonts w:ascii="Times New Roman" w:hAnsi="Times New Roman" w:eastAsia="Times New Roman"/>
          <w:b w:val="0"/>
          <w:i w:val="0"/>
          <w:sz w:val="24"/>
        </w:rPr>
        <w:t>ComBat também não é uma varinha mágica. Quando o lote é perfeitamente confundido com a condição, não há solução estatística: remover o lote remove a condição. O experimento com mod = NULL mostrou 3.391 → 1 DEG, e o mean.only mostrou 1.947 DEGs com R² de lote ainda em 0,119. Dentro do TCGA, o ComBat com TSS foi capaz de reduzir a variância do lote e preservar grau e tumor vs. adjacente, mas apagou estágio. Isso é coerente com a estrutura de confundimento: o estágio é mais dependente do centro do que o grau. A mensagem prática é: ComBat deve ser usado com mod explícito, em cenários identificáveis, e com métricas de preservação biológica; nunca como etapa automática [17-19].</w:t>
      </w:r>
    </w:p>
    <w:p>
      <w:pPr>
        <w:spacing w:before="0" w:after="120" w:line="360" w:lineRule="auto"/>
        <w:ind w:firstLine="709"/>
        <w:jc w:val="both"/>
      </w:pPr>
      <w:r>
        <w:rPr>
          <w:rFonts w:ascii="Times New Roman" w:hAnsi="Times New Roman" w:eastAsia="Times New Roman"/>
          <w:b w:val="0"/>
          <w:i w:val="0"/>
          <w:sz w:val="24"/>
        </w:rPr>
        <w:t>Os achados devem ser comparados à literatura com cautela. A via LA e o metabolismo lipídico são relevantes no LIHC [4,9], a inflamação NF-κB/STAT3 conecta hepatite crônica e tumor [5], os macrófagos associados ao tumor favorecem imunossupressão [13], e a reprogramação celular sustentada por alterações genéticas/epigenéticas explica parte da heterogeneidade [12]. Estudos de biomarcadores downregulated [14], lactato/G6PD [11], perfis lipídicos [6] e CXCL2 [7,10] convergem para um cenário de reprogramação metabólica e imune. Nossos dados não testam causalidade; eles mostram quais desses sinais sobrevivem a ajustes. A resposta é: tumor vs. adjacente e grau sobrevivem parcialmente; estágio e subgrupos clínicos, não.</w:t>
      </w:r>
    </w:p>
    <w:p>
      <w:pPr>
        <w:spacing w:before="0" w:after="120" w:line="360" w:lineRule="auto"/>
        <w:ind w:firstLine="709"/>
        <w:jc w:val="both"/>
      </w:pPr>
      <w:r>
        <w:rPr>
          <w:rFonts w:ascii="Times New Roman" w:hAnsi="Times New Roman" w:eastAsia="Times New Roman"/>
          <w:b w:val="0"/>
          <w:i w:val="0"/>
          <w:sz w:val="24"/>
        </w:rPr>
        <w:t>As limitações devem ser lidas como parte do resultado. (1) O estudo é observacional, in silico e sem validação experimental (qPCR, IHC, Western blot) ou coorte independente. (2) TCGA e GTEx são coortes diferentes, com protocolos e populações diferentes; o logFC tumor vs. GTEx combina biologia e lote. (3) A transcriptômica de bulk não resolve tipos celulares; a deconvolução é uma inferência, não uma medida. (4) TPM é escala relativa; não usamos contagens brutas, voom ou modelos binomial negativo [27]. (5) O missingness é alto e não aleatório: invasão vascular 70,7%, sorologia 55,8%, fibrose 43,1%, Child-Pugh 35,8%, AFP 25,2%. (6) Os subgrupos extremos são pequenos: estágio IV n = 5, G4 n = 11, histologia 'outros' n = 10. (7) O TSS é um proxy imperfeito de lote e está confundido com estágio, grau e histologia. (8) Os métodos de deconvolução não concordam; EPIC otherCells não é hepatócito; xCell é escore, não fração. (9) A idade do GTEx é o ponto médio da faixa etária, o que introduz erro de medida. (10) Não há dados de menopausa, hormônios, genótipo do HCV, carga viral ou tratamento; a análise de sexo é incompleta. (11) O FDR controla falsos positivos, mas não corrige viés de seleção, confundimento ou circularidade. (12) A IA foi usada como assistente; apesar da revisão, erros de código ou interpretação podem persistir, e a responsabilidade é humana.</w:t>
      </w:r>
    </w:p>
    <w:p>
      <w:pPr>
        <w:spacing w:before="0" w:after="120" w:line="360" w:lineRule="auto"/>
        <w:ind w:firstLine="709"/>
        <w:jc w:val="both"/>
      </w:pPr>
      <w:r>
        <w:rPr>
          <w:rFonts w:ascii="Times New Roman" w:hAnsi="Times New Roman" w:eastAsia="Times New Roman"/>
          <w:b w:val="0"/>
          <w:i w:val="0"/>
          <w:sz w:val="24"/>
        </w:rPr>
        <w:t>Apesar disso, o estudo tem pontos fortes. A coorte é grande para LIHC (528 amostras), a matriz é profunda (12.401 genes), o desenho de modelos é explícito, os resultados negativos são reportados, o código e as saídas estão versionados, e a auditoria é reprodutível. A combinação de DE com covariáveis, ComBat e deconvolução é mais informativa do que qualquer uma das análises isoladas. O artigo não promete um biomarcador; ele entrega um mapa de robustez e uma lista de armadilhas para quem for reanalisar TCGA-LIHC.</w:t>
      </w:r>
    </w:p>
    <w:p>
      <w:pPr>
        <w:keepNext/>
        <w:spacing w:before="280" w:after="120"/>
        <w:jc w:val="left"/>
      </w:pPr>
      <w:r>
        <w:rPr>
          <w:rFonts w:ascii="Times New Roman" w:hAnsi="Times New Roman"/>
          <w:b/>
          <w:sz w:val="26"/>
        </w:rPr>
        <w:t>CONCLUSÃO</w:t>
      </w:r>
    </w:p>
    <w:p>
      <w:pPr>
        <w:spacing w:before="0" w:after="120" w:line="360" w:lineRule="auto"/>
        <w:ind w:firstLine="709"/>
        <w:jc w:val="both"/>
      </w:pPr>
      <w:r>
        <w:rPr>
          <w:rFonts w:ascii="Times New Roman" w:hAnsi="Times New Roman" w:eastAsia="Times New Roman"/>
          <w:b w:val="0"/>
          <w:i w:val="0"/>
          <w:sz w:val="24"/>
        </w:rPr>
        <w:t>O sinal transcriptômico mais robusto no LIHC é o contraste tumor vs. adjacente, com 4.130 DEGs no basal, 3.710 no pareado e 3.740 no clínico. O grau histológico tem um núcleo estável (172–337 DEGs), mas é sensível à composição celular. O estágio não é identificável separadamente do centro TCGA e do missingness: 46 DEGs na coorte completa, zero nos mesmos casos completos, com TSS ou com composição. Sorologia, Child-Pugh, fibrose, invasão vascular e histologia não sustentam inferência forte neste desenho. ComBat remove lote, mas não resolve confundimento estrutural; sem covariável biológica, apaga a biologia. A deconvolução celular é útil, mas os métodos não são intercambiáveis; xCell Hepatocytes foi o único escore coerente com marcadores hepáticos. O sexo altera o transcriptoma hepático e não é explicado apenas pela proporção de hepatócitos, consistente com o dimorfismo sexual descrito na literatura [16]. Conclui-se que, em transcriptômica de bulk, a pergunta correta não é apenas 'quais genes são diferentes?', mas 'quais diferenças sobrevivem ao desenho?'. Neste estudo, poucas sobrevivem; e saber quais são é o principal resultado.</w:t>
      </w:r>
    </w:p>
    <w:p>
      <w:pPr>
        <w:keepNext/>
        <w:spacing w:before="280" w:after="120"/>
        <w:jc w:val="left"/>
      </w:pPr>
      <w:r>
        <w:rPr>
          <w:rFonts w:ascii="Times New Roman" w:hAnsi="Times New Roman"/>
          <w:b/>
          <w:sz w:val="26"/>
        </w:rPr>
        <w:t>ABREVIAÇÕES</w:t>
      </w:r>
    </w:p>
    <w:p>
      <w:pPr>
        <w:spacing w:before="0" w:after="120" w:line="360" w:lineRule="auto"/>
        <w:jc w:val="both"/>
      </w:pPr>
      <w:r>
        <w:rPr>
          <w:rFonts w:ascii="Times New Roman" w:hAnsi="Times New Roman" w:eastAsia="Times New Roman"/>
          <w:b w:val="0"/>
          <w:i w:val="0"/>
          <w:sz w:val="24"/>
        </w:rPr>
        <w:t>AFP: alfa-fetoproteína; AUC: área sob a curva; BH: Benjamini-Hochberg; CAF: fibroblasto associado ao câncer; DEG: gene diferencialmente expresso; FDR: taxa de falsos descobrimentos; GTEx: Genotype-Tissue Expression; HCC: carcinoma hepatocelular; HBV: vírus da hepatite B; HCV: vírus da hepatite C; HR: hazard ratio; IC: intervalo de confiança; LA: lipídios e aterosclerose; LIHC: liver hepatocellular carcinoma; logFC: log2 fold change; OS: sobrevida global; PCA: análise de componentes principais; PERMANOVA: análise multivariada de variância por permutação; SD: desvio-padrão; TCGA: The Cancer Genome Atlas; TPM: transcripts per million; TSS: tissue source site; UMAP: Uniform Manifold Approximation and Projection.</w:t>
      </w:r>
    </w:p>
    <w:p>
      <w:pPr>
        <w:keepNext/>
        <w:spacing w:before="280" w:after="120"/>
        <w:jc w:val="left"/>
      </w:pPr>
      <w:r>
        <w:rPr>
          <w:rFonts w:ascii="Times New Roman" w:hAnsi="Times New Roman"/>
          <w:b/>
          <w:sz w:val="26"/>
        </w:rPr>
        <w:t>BENCHMARK COMPUTACIONAL E CONFORMIDADE</w:t>
      </w:r>
    </w:p>
    <w:p>
      <w:pPr>
        <w:spacing w:before="0" w:after="120" w:line="360" w:lineRule="auto"/>
        <w:ind w:firstLine="709"/>
        <w:jc w:val="both"/>
      </w:pPr>
      <w:r>
        <w:rPr>
          <w:rFonts w:ascii="Times New Roman" w:hAnsi="Times New Roman" w:eastAsia="Times New Roman"/>
          <w:b w:val="0"/>
          <w:i w:val="0"/>
          <w:sz w:val="24"/>
        </w:rPr>
        <w:t>O pipeline foi executado em R 4.6.1 com 933,5 MB de memória máxima e 79,1 s de tempo total (Tabela 10). Os tempos incluem leitura, limma, ComBat, EPIC, quanTIseq e xCell, mas não incluem a geração do DOCX. Os benchmarks detalhados e a comparação de DEGs estão em auditorias/benchmarks_analises_avancadas.md. A conformidade verificou: dados públicos e anonimizados; ausência de necessidade de CEP/CONEP; declaração de IA; disponibilidade de código; licença; definição de TPM; critérios de inclusão/exclusão; datas de acesso; espécie; limitações; sintaxe dos scripts; sementes; figuras em 300 dpi; e presença das tabelas e figuras. O checklist completo está em auditorias/compliance_analises_avancadas.md. Todos os itens obrigatórios passaram; as ressalvas são as limitações científicas já discutidas (missingness, confundimento, subgrupos pequenos e deconvolução).</w:t>
      </w:r>
    </w:p>
    <w:p>
      <w:pPr>
        <w:keepNext/>
        <w:spacing w:before="80" w:after="160" w:line="240" w:lineRule="auto"/>
        <w:jc w:val="left"/>
      </w:pPr>
      <w:r>
        <w:rPr>
          <w:rFonts w:ascii="Times New Roman" w:hAnsi="Times New Roman"/>
          <w:b/>
          <w:sz w:val="22"/>
        </w:rPr>
        <w:t xml:space="preserve">Tabela 10. </w:t>
      </w:r>
      <w:r>
        <w:rPr>
          <w:rFonts w:ascii="Times New Roman" w:hAnsi="Times New Roman"/>
          <w:sz w:val="22"/>
        </w:rPr>
        <w:t>Benchmark computacional das análises avançadas.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969"/>
            <w:shd w:fill="D9E2F3"/>
          </w:tcPr>
          <w:p>
            <w:pPr>
              <w:keepNext/>
              <w:jc w:val="center"/>
            </w:pPr>
            <w:r/>
            <w:r>
              <w:rPr>
                <w:rFonts w:ascii="Times New Roman" w:hAnsi="Times New Roman"/>
                <w:b/>
                <w:sz w:val="16"/>
              </w:rPr>
              <w:t>Etapa</w:t>
            </w:r>
          </w:p>
        </w:tc>
        <w:tc>
          <w:tcPr>
            <w:tcW w:type="dxa" w:w="1417"/>
            <w:shd w:fill="D9E2F3"/>
          </w:tcPr>
          <w:p>
            <w:pPr>
              <w:keepNext/>
              <w:jc w:val="center"/>
            </w:pPr>
            <w:r/>
            <w:r>
              <w:rPr>
                <w:rFonts w:ascii="Times New Roman" w:hAnsi="Times New Roman"/>
                <w:b/>
                <w:sz w:val="16"/>
              </w:rPr>
              <w:t>Tempo (s)</w:t>
            </w:r>
          </w:p>
        </w:tc>
        <w:tc>
          <w:tcPr>
            <w:tcW w:type="dxa" w:w="3969"/>
            <w:shd w:fill="D9E2F3"/>
          </w:tcPr>
          <w:p>
            <w:pPr>
              <w:keepNext/>
              <w:jc w:val="center"/>
            </w:pPr>
            <w:r/>
            <w:r>
              <w:rPr>
                <w:rFonts w:ascii="Times New Roman" w:hAnsi="Times New Roman"/>
                <w:b/>
                <w:sz w:val="16"/>
              </w:rPr>
              <w:t>Detalhe</w:t>
            </w:r>
          </w:p>
        </w:tc>
      </w:tr>
      <w:tr>
        <w:trPr>
          <w:cantSplit/>
        </w:trPr>
        <w:tc>
          <w:tcPr>
            <w:tcW w:type="dxa" w:w="3969"/>
          </w:tcPr>
          <w:p>
            <w:pPr>
              <w:keepNext/>
              <w:jc w:val="left"/>
            </w:pPr>
            <w:r/>
            <w:r>
              <w:rPr>
                <w:rFonts w:ascii="Times New Roman" w:hAnsi="Times New Roman"/>
                <w:sz w:val="16"/>
              </w:rPr>
              <w:t>Leitura de metadados + matriz</w:t>
            </w:r>
          </w:p>
        </w:tc>
        <w:tc>
          <w:tcPr>
            <w:tcW w:type="dxa" w:w="1417"/>
          </w:tcPr>
          <w:p>
            <w:pPr>
              <w:keepNext/>
              <w:jc w:val="center"/>
            </w:pPr>
            <w:r/>
            <w:r>
              <w:rPr>
                <w:rFonts w:ascii="Times New Roman" w:hAnsi="Times New Roman"/>
                <w:sz w:val="16"/>
              </w:rPr>
              <w:t>2,19</w:t>
            </w:r>
          </w:p>
        </w:tc>
        <w:tc>
          <w:tcPr>
            <w:tcW w:type="dxa" w:w="3969"/>
          </w:tcPr>
          <w:p>
            <w:pPr>
              <w:keepNext/>
              <w:jc w:val="center"/>
            </w:pPr>
            <w:r/>
            <w:r>
              <w:rPr>
                <w:rFonts w:ascii="Times New Roman" w:hAnsi="Times New Roman"/>
                <w:sz w:val="16"/>
              </w:rPr>
              <w:t>12401 genes × 529 amostras</w:t>
            </w:r>
          </w:p>
        </w:tc>
      </w:tr>
      <w:tr>
        <w:trPr>
          <w:cantSplit/>
        </w:trPr>
        <w:tc>
          <w:tcPr>
            <w:tcW w:type="dxa" w:w="3969"/>
          </w:tcPr>
          <w:p>
            <w:pPr>
              <w:keepNext/>
              <w:jc w:val="left"/>
            </w:pPr>
            <w:r/>
            <w:r>
              <w:rPr>
                <w:rFonts w:ascii="Times New Roman" w:hAnsi="Times New Roman"/>
                <w:sz w:val="16"/>
              </w:rPr>
              <w:t>limma: tumor vs adjacente basal</w:t>
            </w:r>
          </w:p>
        </w:tc>
        <w:tc>
          <w:tcPr>
            <w:tcW w:type="dxa" w:w="1417"/>
          </w:tcPr>
          <w:p>
            <w:pPr>
              <w:keepNext/>
              <w:jc w:val="center"/>
            </w:pPr>
            <w:r/>
            <w:r>
              <w:rPr>
                <w:rFonts w:ascii="Times New Roman" w:hAnsi="Times New Roman"/>
                <w:sz w:val="16"/>
              </w:rPr>
              <w:t>2,93</w:t>
            </w:r>
          </w:p>
        </w:tc>
        <w:tc>
          <w:tcPr>
            <w:tcW w:type="dxa" w:w="3969"/>
          </w:tcPr>
          <w:p>
            <w:pPr>
              <w:keepNext/>
              <w:jc w:val="center"/>
            </w:pPr>
            <w:r/>
            <w:r>
              <w:rPr>
                <w:rFonts w:ascii="Times New Roman" w:hAnsi="Times New Roman"/>
                <w:sz w:val="16"/>
              </w:rPr>
              <w:t>12401 genes; 4130 DEGs</w:t>
            </w:r>
          </w:p>
        </w:tc>
      </w:tr>
      <w:tr>
        <w:trPr>
          <w:cantSplit/>
        </w:trPr>
        <w:tc>
          <w:tcPr>
            <w:tcW w:type="dxa" w:w="3969"/>
          </w:tcPr>
          <w:p>
            <w:pPr>
              <w:keepNext/>
              <w:jc w:val="left"/>
            </w:pPr>
            <w:r/>
            <w:r>
              <w:rPr>
                <w:rFonts w:ascii="Times New Roman" w:hAnsi="Times New Roman"/>
                <w:sz w:val="16"/>
              </w:rPr>
              <w:t>limma: estágio clínico</w:t>
            </w:r>
          </w:p>
        </w:tc>
        <w:tc>
          <w:tcPr>
            <w:tcW w:type="dxa" w:w="1417"/>
          </w:tcPr>
          <w:p>
            <w:pPr>
              <w:keepNext/>
              <w:jc w:val="center"/>
            </w:pPr>
            <w:r/>
            <w:r>
              <w:rPr>
                <w:rFonts w:ascii="Times New Roman" w:hAnsi="Times New Roman"/>
                <w:sz w:val="16"/>
              </w:rPr>
              <w:t>0,72</w:t>
            </w:r>
          </w:p>
        </w:tc>
        <w:tc>
          <w:tcPr>
            <w:tcW w:type="dxa" w:w="3969"/>
          </w:tcPr>
          <w:p>
            <w:pPr>
              <w:keepNext/>
              <w:jc w:val="center"/>
            </w:pPr>
            <w:r/>
            <w:r>
              <w:rPr>
                <w:rFonts w:ascii="Times New Roman" w:hAnsi="Times New Roman"/>
                <w:sz w:val="16"/>
              </w:rPr>
              <w:t>12401 genes; 0 DEGs</w:t>
            </w:r>
          </w:p>
        </w:tc>
      </w:tr>
      <w:tr>
        <w:trPr>
          <w:cantSplit/>
        </w:trPr>
        <w:tc>
          <w:tcPr>
            <w:tcW w:type="dxa" w:w="3969"/>
          </w:tcPr>
          <w:p>
            <w:pPr>
              <w:keepNext/>
              <w:jc w:val="left"/>
            </w:pPr>
            <w:r/>
            <w:r>
              <w:rPr>
                <w:rFonts w:ascii="Times New Roman" w:hAnsi="Times New Roman"/>
                <w:sz w:val="16"/>
              </w:rPr>
              <w:t>ComBat: TCGA vs GTEx sem covariável</w:t>
            </w:r>
          </w:p>
        </w:tc>
        <w:tc>
          <w:tcPr>
            <w:tcW w:type="dxa" w:w="1417"/>
          </w:tcPr>
          <w:p>
            <w:pPr>
              <w:keepNext/>
              <w:jc w:val="center"/>
            </w:pPr>
            <w:r/>
            <w:r>
              <w:rPr>
                <w:rFonts w:ascii="Times New Roman" w:hAnsi="Times New Roman"/>
                <w:sz w:val="16"/>
              </w:rPr>
              <w:t>5,80</w:t>
            </w:r>
          </w:p>
        </w:tc>
        <w:tc>
          <w:tcPr>
            <w:tcW w:type="dxa" w:w="3969"/>
          </w:tcPr>
          <w:p>
            <w:pPr>
              <w:keepNext/>
              <w:jc w:val="center"/>
            </w:pPr>
            <w:r/>
            <w:r>
              <w:rPr>
                <w:rFonts w:ascii="Times New Roman" w:hAnsi="Times New Roman"/>
                <w:sz w:val="16"/>
              </w:rPr>
              <w:t>477 amostras; 12401 genes</w:t>
            </w:r>
          </w:p>
        </w:tc>
      </w:tr>
      <w:tr>
        <w:trPr>
          <w:cantSplit/>
        </w:trPr>
        <w:tc>
          <w:tcPr>
            <w:tcW w:type="dxa" w:w="3969"/>
          </w:tcPr>
          <w:p>
            <w:pPr>
              <w:keepNext/>
              <w:jc w:val="left"/>
            </w:pPr>
            <w:r/>
            <w:r>
              <w:rPr>
                <w:rFonts w:ascii="Times New Roman" w:hAnsi="Times New Roman"/>
                <w:sz w:val="16"/>
              </w:rPr>
              <w:t>ComBat: TSS no tumor (grau + estágio)</w:t>
            </w:r>
          </w:p>
        </w:tc>
        <w:tc>
          <w:tcPr>
            <w:tcW w:type="dxa" w:w="1417"/>
          </w:tcPr>
          <w:p>
            <w:pPr>
              <w:keepNext/>
              <w:jc w:val="center"/>
            </w:pPr>
            <w:r/>
            <w:r>
              <w:rPr>
                <w:rFonts w:ascii="Times New Roman" w:hAnsi="Times New Roman"/>
                <w:sz w:val="16"/>
              </w:rPr>
              <w:t>4,06</w:t>
            </w:r>
          </w:p>
        </w:tc>
        <w:tc>
          <w:tcPr>
            <w:tcW w:type="dxa" w:w="3969"/>
          </w:tcPr>
          <w:p>
            <w:pPr>
              <w:keepNext/>
              <w:jc w:val="center"/>
            </w:pPr>
            <w:r/>
            <w:r>
              <w:rPr>
                <w:rFonts w:ascii="Times New Roman" w:hAnsi="Times New Roman"/>
                <w:sz w:val="16"/>
              </w:rPr>
              <w:t>342 amostras; 9 lotes</w:t>
            </w:r>
          </w:p>
        </w:tc>
      </w:tr>
      <w:tr>
        <w:trPr>
          <w:cantSplit/>
        </w:trPr>
        <w:tc>
          <w:tcPr>
            <w:tcW w:type="dxa" w:w="3969"/>
          </w:tcPr>
          <w:p>
            <w:pPr>
              <w:keepNext/>
              <w:jc w:val="left"/>
            </w:pPr>
            <w:r/>
            <w:r>
              <w:rPr>
                <w:rFonts w:ascii="Times New Roman" w:hAnsi="Times New Roman"/>
                <w:sz w:val="16"/>
              </w:rPr>
              <w:t>EPIC</w:t>
            </w:r>
          </w:p>
        </w:tc>
        <w:tc>
          <w:tcPr>
            <w:tcW w:type="dxa" w:w="1417"/>
          </w:tcPr>
          <w:p>
            <w:pPr>
              <w:keepNext/>
              <w:jc w:val="center"/>
            </w:pPr>
            <w:r/>
            <w:r>
              <w:rPr>
                <w:rFonts w:ascii="Times New Roman" w:hAnsi="Times New Roman"/>
                <w:sz w:val="16"/>
              </w:rPr>
              <w:t>28,33</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quanTIseq</w:t>
            </w:r>
          </w:p>
        </w:tc>
        <w:tc>
          <w:tcPr>
            <w:tcW w:type="dxa" w:w="1417"/>
          </w:tcPr>
          <w:p>
            <w:pPr>
              <w:keepNext/>
              <w:jc w:val="center"/>
            </w:pPr>
            <w:r/>
            <w:r>
              <w:rPr>
                <w:rFonts w:ascii="Times New Roman" w:hAnsi="Times New Roman"/>
                <w:sz w:val="16"/>
              </w:rPr>
              <w:t>9,03</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xCell</w:t>
            </w:r>
          </w:p>
        </w:tc>
        <w:tc>
          <w:tcPr>
            <w:tcW w:type="dxa" w:w="1417"/>
          </w:tcPr>
          <w:p>
            <w:pPr>
              <w:keepNext/>
              <w:jc w:val="center"/>
            </w:pPr>
            <w:r/>
            <w:r>
              <w:rPr>
                <w:rFonts w:ascii="Times New Roman" w:hAnsi="Times New Roman"/>
                <w:sz w:val="16"/>
              </w:rPr>
              <w:t>14,40</w:t>
            </w:r>
          </w:p>
        </w:tc>
        <w:tc>
          <w:tcPr>
            <w:tcW w:type="dxa" w:w="3969"/>
          </w:tcPr>
          <w:p>
            <w:pPr>
              <w:keepNext/>
              <w:jc w:val="center"/>
            </w:pPr>
            <w:r/>
            <w:r>
              <w:rPr>
                <w:rFonts w:ascii="Times New Roman" w:hAnsi="Times New Roman"/>
                <w:sz w:val="16"/>
              </w:rPr>
              <w:t>528 amostras</w:t>
            </w:r>
          </w:p>
        </w:tc>
      </w:tr>
      <w:tr>
        <w:trPr>
          <w:cantSplit/>
        </w:trPr>
        <w:tc>
          <w:tcPr>
            <w:tcW w:type="dxa" w:w="3969"/>
          </w:tcPr>
          <w:p>
            <w:pPr>
              <w:keepNext/>
              <w:jc w:val="left"/>
            </w:pPr>
            <w:r/>
            <w:r>
              <w:rPr>
                <w:rFonts w:ascii="Times New Roman" w:hAnsi="Times New Roman"/>
                <w:sz w:val="16"/>
              </w:rPr>
              <w:t>Tempo total do benchmark</w:t>
            </w:r>
          </w:p>
        </w:tc>
        <w:tc>
          <w:tcPr>
            <w:tcW w:type="dxa" w:w="1417"/>
          </w:tcPr>
          <w:p>
            <w:pPr>
              <w:keepNext/>
              <w:jc w:val="center"/>
            </w:pPr>
            <w:r/>
            <w:r>
              <w:rPr>
                <w:rFonts w:ascii="Times New Roman" w:hAnsi="Times New Roman"/>
                <w:sz w:val="16"/>
              </w:rPr>
              <w:t>79,13</w:t>
            </w:r>
          </w:p>
        </w:tc>
        <w:tc>
          <w:tcPr>
            <w:tcW w:type="dxa" w:w="3969"/>
          </w:tcPr>
          <w:p>
            <w:pPr>
              <w:keepNext/>
              <w:jc w:val="center"/>
            </w:pPr>
            <w:r/>
            <w:r>
              <w:rPr>
                <w:rFonts w:ascii="Times New Roman" w:hAnsi="Times New Roman"/>
                <w:sz w:val="16"/>
              </w:rPr>
              <w:t>Inclui as etapas acima</w:t>
            </w:r>
          </w:p>
        </w:tc>
      </w:tr>
      <w:tr>
        <w:trPr>
          <w:cantSplit/>
        </w:trPr>
        <w:tc>
          <w:tcPr>
            <w:tcW w:type="dxa" w:w="3969"/>
          </w:tcPr>
          <w:p>
            <w:pPr>
              <w:jc w:val="left"/>
            </w:pPr>
            <w:r/>
            <w:r>
              <w:rPr>
                <w:rFonts w:ascii="Times New Roman" w:hAnsi="Times New Roman"/>
                <w:sz w:val="16"/>
              </w:rPr>
              <w:t>Memória máxima</w:t>
            </w:r>
          </w:p>
        </w:tc>
        <w:tc>
          <w:tcPr>
            <w:tcW w:type="dxa" w:w="1417"/>
          </w:tcPr>
          <w:p>
            <w:pPr>
              <w:jc w:val="center"/>
            </w:pPr>
            <w:r/>
            <w:r>
              <w:rPr>
                <w:rFonts w:ascii="Times New Roman" w:hAnsi="Times New Roman"/>
                <w:sz w:val="16"/>
              </w:rPr>
              <w:t>933,5 MB</w:t>
            </w:r>
          </w:p>
        </w:tc>
        <w:tc>
          <w:tcPr>
            <w:tcW w:type="dxa" w:w="3969"/>
          </w:tcPr>
          <w:p>
            <w:pPr>
              <w:jc w:val="center"/>
            </w:pPr>
            <w:r/>
            <w:r>
              <w:rPr>
                <w:rFonts w:ascii="Times New Roman" w:hAnsi="Times New Roman"/>
                <w:sz w:val="16"/>
              </w:rPr>
              <w:t>R, pico observado</w:t>
            </w:r>
          </w:p>
        </w:tc>
      </w:tr>
    </w:tbl>
    <w:p>
      <w:pPr>
        <w:keepNext/>
        <w:spacing w:before="280" w:after="120"/>
        <w:jc w:val="left"/>
      </w:pPr>
      <w:r>
        <w:rPr>
          <w:rFonts w:ascii="Times New Roman" w:hAnsi="Times New Roman"/>
          <w:b/>
          <w:sz w:val="26"/>
        </w:rPr>
        <w:t>CONFLITOS DE INTERESSE</w:t>
      </w:r>
    </w:p>
    <w:p>
      <w:pPr>
        <w:spacing w:before="0" w:after="120" w:line="360" w:lineRule="auto"/>
        <w:ind w:firstLine="709"/>
        <w:jc w:val="both"/>
      </w:pPr>
      <w:r>
        <w:rPr>
          <w:rFonts w:ascii="Times New Roman" w:hAnsi="Times New Roman" w:eastAsia="Times New Roman"/>
          <w:b w:val="0"/>
          <w:i w:val="0"/>
          <w:sz w:val="24"/>
        </w:rPr>
        <w:t>O autor declara não haver conflitos de interesse financeiros, pessoais ou institucionais relacionados a este estudo. O estudo utilizou apenas dados públicos e não recebeu financiamento específico.</w:t>
      </w:r>
    </w:p>
    <w:p>
      <w:pPr>
        <w:keepNext/>
        <w:spacing w:before="280" w:after="120"/>
        <w:jc w:val="left"/>
      </w:pPr>
      <w:r>
        <w:rPr>
          <w:rFonts w:ascii="Times New Roman" w:hAnsi="Times New Roman"/>
          <w:b/>
          <w:sz w:val="26"/>
        </w:rPr>
        <w:t>DISPONIBILIDADE DE DADOS E CÓDIGO</w:t>
      </w:r>
    </w:p>
    <w:p>
      <w:pPr>
        <w:spacing w:before="0" w:after="120" w:line="360" w:lineRule="auto"/>
        <w:ind w:firstLine="709"/>
        <w:jc w:val="both"/>
      </w:pPr>
      <w:r>
        <w:rPr>
          <w:rFonts w:ascii="Times New Roman" w:hAnsi="Times New Roman" w:eastAsia="Times New Roman"/>
          <w:b w:val="0"/>
          <w:i w:val="0"/>
          <w:sz w:val="24"/>
        </w:rPr>
        <w:t>Os dados de expressão e clínicos são públicos e foram obtidos do UCSC Xena (TCGA-LIHC e GTEx). As matrizes processadas, tabelas, figuras, scripts, auditorias e benchmarks estão no repositório https://github.com/mducosta/hepatocellular-carcinoma.git, na pasta seminários_ryan. As referências citadas estão listadas ao final do artigo; os PDFs/XMLs/HTMLs completos são mantidos apenas localmente e não são versionados.</w:t>
      </w:r>
    </w:p>
    <w:p>
      <w:r>
        <w:br w:type="page"/>
      </w:r>
    </w:p>
    <w:p>
      <w:pPr>
        <w:keepNext/>
        <w:spacing w:before="280" w:after="120"/>
        <w:jc w:val="left"/>
      </w:pPr>
      <w:r>
        <w:rPr>
          <w:rFonts w:ascii="Times New Roman" w:hAnsi="Times New Roman"/>
          <w:b/>
          <w:sz w:val="26"/>
        </w:rPr>
        <w:t>REFERÊNCIAS</w:t>
      </w:r>
    </w:p>
    <w:p>
      <w:pPr>
        <w:spacing w:line="240" w:lineRule="auto" w:after="80"/>
        <w:ind w:left="425" w:hanging="425"/>
        <w:jc w:val="both"/>
      </w:pPr>
      <w:r>
        <w:rPr>
          <w:rFonts w:ascii="Times New Roman" w:hAnsi="Times New Roman"/>
          <w:sz w:val="20"/>
        </w:rPr>
        <w:t xml:space="preserve">[1] </w:t>
      </w:r>
      <w:r>
        <w:rPr>
          <w:rFonts w:ascii="Times New Roman" w:hAnsi="Times New Roman"/>
          <w:sz w:val="20"/>
        </w:rPr>
        <w:t>Sung H, Ferlay J, Siegel RL, Laversanne M, Soerjomataram I, Jemal A, et al. Global Cancer Statistics 2020: GLOBOCAN estimates of incidence and mortality worldwide for 36 cancers in 185 countries. CA: A Cancer Journal for Clinicians. 2021;71(3):209-249. doi:10.3322/caac.21660. Disponível em: https://doi.org/10.3322/caac.21660. Acesso em: 26 out. 2026.</w:t>
      </w:r>
    </w:p>
    <w:p>
      <w:pPr>
        <w:spacing w:line="240" w:lineRule="auto" w:after="80"/>
        <w:ind w:left="425" w:hanging="425"/>
        <w:jc w:val="both"/>
      </w:pPr>
      <w:r>
        <w:rPr>
          <w:rFonts w:ascii="Times New Roman" w:hAnsi="Times New Roman"/>
          <w:sz w:val="20"/>
        </w:rPr>
        <w:t xml:space="preserve">[2] </w:t>
      </w:r>
      <w:r>
        <w:rPr>
          <w:rFonts w:ascii="Times New Roman" w:hAnsi="Times New Roman"/>
          <w:sz w:val="20"/>
        </w:rPr>
        <w:t>Choi JH, Thung SN. Advances in histological and molecular classification of hepatocellular carcinoma. Biomedicines. 2023;11(9):2582. doi:10.3390/biomedicines11092582. Disponível em: https://doi.org/10.3390/biomedicines11092582. Acesso em: 26 out. 2026.</w:t>
      </w:r>
    </w:p>
    <w:p>
      <w:pPr>
        <w:spacing w:line="240" w:lineRule="auto" w:after="80"/>
        <w:ind w:left="425" w:hanging="425"/>
        <w:jc w:val="both"/>
      </w:pPr>
      <w:r>
        <w:rPr>
          <w:rFonts w:ascii="Times New Roman" w:hAnsi="Times New Roman"/>
          <w:sz w:val="20"/>
        </w:rPr>
        <w:t xml:space="preserve">[3] </w:t>
      </w:r>
      <w:r>
        <w:rPr>
          <w:rFonts w:ascii="Times New Roman" w:hAnsi="Times New Roman"/>
          <w:sz w:val="20"/>
        </w:rPr>
        <w:t>Ding Y, Liu Y, Zhang M, Chen Z, Wang X, Li H, et al. Hepatocellular carcinoma: pathogenesis, molecular mechanisms, and treatment advances. Frontiers in Oncology. 2025;15:1526206. doi:10.3389/fonc.2025.1526206. Disponível em: https://doi.org/10.3389/fonc.2025.1526206. Acesso em: 26 out. 2026.</w:t>
      </w:r>
    </w:p>
    <w:p>
      <w:pPr>
        <w:spacing w:line="240" w:lineRule="auto" w:after="80"/>
        <w:ind w:left="425" w:hanging="425"/>
        <w:jc w:val="both"/>
      </w:pPr>
      <w:r>
        <w:rPr>
          <w:rFonts w:ascii="Times New Roman" w:hAnsi="Times New Roman"/>
          <w:sz w:val="20"/>
        </w:rPr>
        <w:t xml:space="preserve">[4] </w:t>
      </w:r>
      <w:r>
        <w:rPr>
          <w:rFonts w:ascii="Times New Roman" w:hAnsi="Times New Roman"/>
          <w:sz w:val="20"/>
        </w:rPr>
        <w:t>Cheng Y, He J, Zuo B, He Y. Role of lipid metabolism in hepatocellular carcinoma. Discover Oncology. 2024;15(1):214. doi:10.1007/s12672-024-01069-y. Disponível em: https://doi.org/10.1007/s12672-024-01069-y. Acesso em: 26 out. 2026.</w:t>
      </w:r>
    </w:p>
    <w:p>
      <w:pPr>
        <w:spacing w:line="240" w:lineRule="auto" w:after="80"/>
        <w:ind w:left="425" w:hanging="425"/>
        <w:jc w:val="both"/>
      </w:pPr>
      <w:r>
        <w:rPr>
          <w:rFonts w:ascii="Times New Roman" w:hAnsi="Times New Roman"/>
          <w:sz w:val="20"/>
        </w:rPr>
        <w:t xml:space="preserve">[5] </w:t>
      </w:r>
      <w:r>
        <w:rPr>
          <w:rFonts w:ascii="Times New Roman" w:hAnsi="Times New Roman"/>
          <w:sz w:val="20"/>
        </w:rPr>
        <w:t>He G, Karin M. NF-κB and STAT3 – key players in liver inflammation and cancer. Cell Research. 2011;21(1):159-168. doi:10.1038/cr.2010.183. Disponível em: https://doi.org/10.1038/cr.2010.183. Acesso em: 26 out. 2026.</w:t>
      </w:r>
    </w:p>
    <w:p>
      <w:pPr>
        <w:spacing w:line="240" w:lineRule="auto" w:after="80"/>
        <w:ind w:left="425" w:hanging="425"/>
        <w:jc w:val="both"/>
      </w:pPr>
      <w:r>
        <w:rPr>
          <w:rFonts w:ascii="Times New Roman" w:hAnsi="Times New Roman"/>
          <w:sz w:val="20"/>
        </w:rPr>
        <w:t xml:space="preserve">[6] </w:t>
      </w:r>
      <w:r>
        <w:rPr>
          <w:rFonts w:ascii="Times New Roman" w:hAnsi="Times New Roman"/>
          <w:sz w:val="20"/>
        </w:rPr>
        <w:t>Cho Y, Kim BH, Park JW, Kim SS, Jung YJ, Lee JS, et al. Association between lipid profiles and the incidence of hepatocellular carcinoma: a nationwide population-based study. Cancers. 2021;13(7):1599. doi:10.3390/cancers13071599. Disponível em: https://doi.org/10.3390/cancers13071599. Acesso em: 26 out. 2026.</w:t>
      </w:r>
    </w:p>
    <w:p>
      <w:pPr>
        <w:spacing w:line="240" w:lineRule="auto" w:after="80"/>
        <w:ind w:left="425" w:hanging="425"/>
        <w:jc w:val="both"/>
      </w:pPr>
      <w:r>
        <w:rPr>
          <w:rFonts w:ascii="Times New Roman" w:hAnsi="Times New Roman"/>
          <w:sz w:val="20"/>
        </w:rPr>
        <w:t xml:space="preserve">[7] </w:t>
      </w:r>
      <w:r>
        <w:rPr>
          <w:rFonts w:ascii="Times New Roman" w:hAnsi="Times New Roman"/>
          <w:sz w:val="20"/>
        </w:rPr>
        <w:t>Lin T, Zhang E, Mai P, Zhang Y, Chen X, Peng L. CXCL2/10/12/14 are prognostic biomarkers and correlated with immune infiltration in hepatocellular carcinoma. Bioscience Reports. 2021;41(6):BSR20204312. doi:10.1042/BSR20204312. Disponível em: https://doi.org/10.1042/BSR20204312. Acesso em: 26 out. 2026.</w:t>
      </w:r>
    </w:p>
    <w:p>
      <w:pPr>
        <w:spacing w:line="240" w:lineRule="auto" w:after="80"/>
        <w:ind w:left="425" w:hanging="425"/>
        <w:jc w:val="both"/>
      </w:pPr>
      <w:r>
        <w:rPr>
          <w:rFonts w:ascii="Times New Roman" w:hAnsi="Times New Roman"/>
          <w:sz w:val="20"/>
        </w:rPr>
        <w:t xml:space="preserve">[8] </w:t>
      </w:r>
      <w:r>
        <w:rPr>
          <w:rFonts w:ascii="Times New Roman" w:hAnsi="Times New Roman"/>
          <w:sz w:val="20"/>
        </w:rPr>
        <w:t>Huang L, Zhou S, Dai Z, Xiong Y. Field cancerization profile-based prognosis signatures lead to more robust risk evaluation in hepatocellular carcinoma. iScience. 2022;25(2):103747. doi:10.1016/j.isci.2022.103747. Disponível em: https://doi.org/10.1016/j.isci.2022.103747. Acesso em: 26 out. 2026.</w:t>
      </w:r>
    </w:p>
    <w:p>
      <w:pPr>
        <w:spacing w:line="240" w:lineRule="auto" w:after="80"/>
        <w:ind w:left="425" w:hanging="425"/>
        <w:jc w:val="both"/>
      </w:pPr>
      <w:r>
        <w:rPr>
          <w:rFonts w:ascii="Times New Roman" w:hAnsi="Times New Roman"/>
          <w:sz w:val="20"/>
        </w:rPr>
        <w:t xml:space="preserve">[9] </w:t>
      </w:r>
      <w:r>
        <w:rPr>
          <w:rFonts w:ascii="Times New Roman" w:hAnsi="Times New Roman"/>
          <w:sz w:val="20"/>
        </w:rPr>
        <w:t>Dai P, Wang Y, Chen X, Liu H, Zhang L, Wu J, et al. Metabolic reprogramming in hepatocellular carcinoma: an integrated omics study of lipid pathways and their diagnostic potential. Journal of Translational Medicine. 2025;23(1):521. doi:10.1186/s12967-025-06698-7. Disponível em: https://doi.org/10.1186/s12967-025-06698-7. Acesso em: 26 out. 2026.</w:t>
      </w:r>
    </w:p>
    <w:p>
      <w:pPr>
        <w:spacing w:line="240" w:lineRule="auto" w:after="80"/>
        <w:ind w:left="425" w:hanging="425"/>
        <w:jc w:val="both"/>
      </w:pPr>
      <w:r>
        <w:rPr>
          <w:rFonts w:ascii="Times New Roman" w:hAnsi="Times New Roman"/>
          <w:sz w:val="20"/>
        </w:rPr>
        <w:t xml:space="preserve">[10] </w:t>
      </w:r>
      <w:r>
        <w:rPr>
          <w:rFonts w:ascii="Times New Roman" w:hAnsi="Times New Roman"/>
          <w:sz w:val="20"/>
        </w:rPr>
        <w:t>Lv Y, Zhang Z, Hu J, Wang X, Chen L, Zhao M, et al. CXCL2: a key player in the tumor microenvironment and inflammatory diseases. Cancer Cell International. 2025;25(1):9. doi:10.1186/s12935-025-03765-3. Disponível em: https://doi.org/10.1186/s12935-025-03765-3. Acesso em: 26 out. 2026.</w:t>
      </w:r>
    </w:p>
    <w:p>
      <w:pPr>
        <w:spacing w:line="240" w:lineRule="auto" w:after="80"/>
        <w:ind w:left="425" w:hanging="425"/>
        <w:jc w:val="both"/>
      </w:pPr>
      <w:r>
        <w:rPr>
          <w:rFonts w:ascii="Times New Roman" w:hAnsi="Times New Roman"/>
          <w:sz w:val="20"/>
        </w:rPr>
        <w:t xml:space="preserve">[11] </w:t>
      </w:r>
      <w:r>
        <w:rPr>
          <w:rFonts w:ascii="Times New Roman" w:hAnsi="Times New Roman"/>
          <w:sz w:val="20"/>
        </w:rPr>
        <w:t>Qu HR, Wang X, Zhang Y, Li M, Chen J, Liu Q, et al. Bioinformatics identification of lactate-associated genes in hepatocellular carcinoma: G6PD's role in immune modulation. Cancer Medicine. 2025;14(6):e70801. doi:10.1002/cam4.70801. Disponível em: https://doi.org/10.1002/cam4.70801. Acesso em: 26 out. 2026.</w:t>
      </w:r>
    </w:p>
    <w:p>
      <w:pPr>
        <w:spacing w:line="240" w:lineRule="auto" w:after="80"/>
        <w:ind w:left="425" w:hanging="425"/>
        <w:jc w:val="both"/>
      </w:pPr>
      <w:r>
        <w:rPr>
          <w:rFonts w:ascii="Times New Roman" w:hAnsi="Times New Roman"/>
          <w:sz w:val="20"/>
        </w:rPr>
        <w:t xml:space="preserve">[12] </w:t>
      </w:r>
      <w:r>
        <w:rPr>
          <w:rFonts w:ascii="Times New Roman" w:hAnsi="Times New Roman"/>
          <w:sz w:val="20"/>
        </w:rPr>
        <w:t>Shenoy S. Cell reprogramming in cancer: interplay of genetic, epigenetic mechanisms, and the tumor microenvironment in carcinogenesis and metastasis. World Journal of Clinical Oncology. 2025;16(8):106838. doi:10.5306/wjco.v16.i8.106838. Disponível em: https://doi.org/10.5306/wjco.v16.i8.106838. Acesso em: 26 out. 2026.</w:t>
      </w:r>
    </w:p>
    <w:p>
      <w:pPr>
        <w:spacing w:line="240" w:lineRule="auto" w:after="80"/>
        <w:ind w:left="425" w:hanging="425"/>
        <w:jc w:val="both"/>
      </w:pPr>
      <w:r>
        <w:rPr>
          <w:rFonts w:ascii="Times New Roman" w:hAnsi="Times New Roman"/>
          <w:sz w:val="20"/>
        </w:rPr>
        <w:t xml:space="preserve">[13] </w:t>
      </w:r>
      <w:r>
        <w:rPr>
          <w:rFonts w:ascii="Times New Roman" w:hAnsi="Times New Roman"/>
          <w:sz w:val="20"/>
        </w:rPr>
        <w:t>Liu Z, Ding J, Wang Y, Zhao X, Chen H, Li S, et al. The role of macrophages in cancer: from basic research to clinical applications. MedComm. 2026;7(1):e70547. doi:10.1002/mco2.70547. Disponível em: https://doi.org/10.1002/mco2.70547. Acesso em: 26 out. 2026.</w:t>
      </w:r>
    </w:p>
    <w:p>
      <w:pPr>
        <w:spacing w:line="240" w:lineRule="auto" w:after="80"/>
        <w:ind w:left="425" w:hanging="425"/>
        <w:jc w:val="both"/>
      </w:pPr>
      <w:r>
        <w:rPr>
          <w:rFonts w:ascii="Times New Roman" w:hAnsi="Times New Roman"/>
          <w:sz w:val="20"/>
        </w:rPr>
        <w:t xml:space="preserve">[14] </w:t>
      </w:r>
      <w:r>
        <w:rPr>
          <w:rFonts w:ascii="Times New Roman" w:hAnsi="Times New Roman"/>
          <w:sz w:val="20"/>
        </w:rPr>
        <w:t>Mestareehi A. Global gene expression profiling and bioinformatics analysis reveal downregulated biomarkers as potential indicators for hepatocellular carcinoma. ACS Omega. 2024;9(24):26075-26096. doi:10.1021/acsomega.4c01496. Disponível em: https://doi.org/10.1021/acsomega.4c01496. Acesso em: 26 out. 2026.</w:t>
      </w:r>
    </w:p>
    <w:p>
      <w:pPr>
        <w:spacing w:line="240" w:lineRule="auto" w:after="80"/>
        <w:ind w:left="425" w:hanging="425"/>
        <w:jc w:val="both"/>
      </w:pPr>
      <w:r>
        <w:rPr>
          <w:rFonts w:ascii="Times New Roman" w:hAnsi="Times New Roman"/>
          <w:sz w:val="20"/>
        </w:rPr>
        <w:t xml:space="preserve">[15] </w:t>
      </w:r>
      <w:r>
        <w:rPr>
          <w:rFonts w:ascii="Times New Roman" w:hAnsi="Times New Roman"/>
          <w:sz w:val="20"/>
        </w:rPr>
        <w:t>Izar MCO, Fonseca FAH. Desvendando a ligação entre a fibrose hepática associada ao DHEADM e a aterosclerose subclínica. Arquivos Brasileiros de Cardiologia. 2025;122(8):e20250503. doi:10.36660/abc.20250503. Disponível em: https://doi.org/10.36660/abc.20250503. Acesso em: 26 out. 2026.</w:t>
      </w:r>
    </w:p>
    <w:p>
      <w:pPr>
        <w:spacing w:line="240" w:lineRule="auto" w:after="80"/>
        <w:ind w:left="425" w:hanging="425"/>
        <w:jc w:val="both"/>
      </w:pPr>
      <w:r>
        <w:rPr>
          <w:rFonts w:ascii="Times New Roman" w:hAnsi="Times New Roman"/>
          <w:sz w:val="20"/>
        </w:rPr>
        <w:t xml:space="preserve">[16] </w:t>
      </w:r>
      <w:r>
        <w:rPr>
          <w:rFonts w:ascii="Times New Roman" w:hAnsi="Times New Roman"/>
          <w:sz w:val="20"/>
        </w:rPr>
        <w:t>Kočar E, Blagotinšek Cokan K, Kreft T, Režen T, Rozman D. The importance of sex dimorphism in liver metabolism and progressive liver diseases. Biology of Sex Differences. 2026;17(1):14. doi:10.1186/s13293-025-00811-7. Disponível em: https://doi.org/10.1186/s13293-025-00811-7. Acesso em: 26 out. 2026.</w:t>
      </w:r>
    </w:p>
    <w:p>
      <w:pPr>
        <w:spacing w:line="240" w:lineRule="auto" w:after="80"/>
        <w:ind w:left="425" w:hanging="425"/>
        <w:jc w:val="both"/>
      </w:pPr>
      <w:r>
        <w:rPr>
          <w:rFonts w:ascii="Times New Roman" w:hAnsi="Times New Roman"/>
          <w:sz w:val="20"/>
        </w:rPr>
        <w:t xml:space="preserve">[17] </w:t>
      </w:r>
      <w:r>
        <w:rPr>
          <w:rFonts w:ascii="Times New Roman" w:hAnsi="Times New Roman"/>
          <w:sz w:val="20"/>
        </w:rPr>
        <w:t>Ritchie ME, Phipson B, Wu D, Hu Y, Law CW, Shi W, et al. limma powers differential expression analyses for RNA-sequencing and microarray studies. Nucleic Acids Research. 2015;43(7):e47. doi:10.1093/nar/gkv007. Disponível em: https://doi.org/10.1093/nar/gkv007. Acesso em: 26 out. 2026.</w:t>
      </w:r>
    </w:p>
    <w:p>
      <w:pPr>
        <w:spacing w:line="240" w:lineRule="auto" w:after="80"/>
        <w:ind w:left="425" w:hanging="425"/>
        <w:jc w:val="both"/>
      </w:pPr>
      <w:r>
        <w:rPr>
          <w:rFonts w:ascii="Times New Roman" w:hAnsi="Times New Roman"/>
          <w:sz w:val="20"/>
        </w:rPr>
        <w:t xml:space="preserve">[18] </w:t>
      </w:r>
      <w:r>
        <w:rPr>
          <w:rFonts w:ascii="Times New Roman" w:hAnsi="Times New Roman"/>
          <w:sz w:val="20"/>
        </w:rPr>
        <w:t>Leek JT, Johnson WE, Parker HS, Jaffe AE, Storey JD. The sva package for removing batch effects and other unwanted variation in high-throughput experiments. Bioinformatics. 2012;28(6):882-883. doi:10.1093/bioinformatics/bts034. Disponível em: https://doi.org/10.1093/bioinformatics/bts034. Acesso em: 26 out. 2026.</w:t>
      </w:r>
    </w:p>
    <w:p>
      <w:pPr>
        <w:spacing w:line="240" w:lineRule="auto" w:after="80"/>
        <w:ind w:left="425" w:hanging="425"/>
        <w:jc w:val="both"/>
      </w:pPr>
      <w:r>
        <w:rPr>
          <w:rFonts w:ascii="Times New Roman" w:hAnsi="Times New Roman"/>
          <w:sz w:val="20"/>
        </w:rPr>
        <w:t xml:space="preserve">[19] </w:t>
      </w:r>
      <w:r>
        <w:rPr>
          <w:rFonts w:ascii="Times New Roman" w:hAnsi="Times New Roman"/>
          <w:sz w:val="20"/>
        </w:rPr>
        <w:t>Zhang Y, Parmigiani G, Johnson WE. ComBat-seq: batch effect adjustment for RNA-seq count data. NAR Genomics and Bioinformatics. 2020;2(3):lqaa078. doi:10.1093/nargab/lqaa078. Disponível em: https://doi.org/10.1093/nargab/lqaa078. Acesso em: 26 out. 2026.</w:t>
      </w:r>
    </w:p>
    <w:p>
      <w:pPr>
        <w:spacing w:line="240" w:lineRule="auto" w:after="80"/>
        <w:ind w:left="425" w:hanging="425"/>
        <w:jc w:val="both"/>
      </w:pPr>
      <w:r>
        <w:rPr>
          <w:rFonts w:ascii="Times New Roman" w:hAnsi="Times New Roman"/>
          <w:sz w:val="20"/>
        </w:rPr>
        <w:t xml:space="preserve">[20] </w:t>
      </w:r>
      <w:r>
        <w:rPr>
          <w:rFonts w:ascii="Times New Roman" w:hAnsi="Times New Roman"/>
          <w:sz w:val="20"/>
        </w:rPr>
        <w:t>Goldman MJ, Craft B, Hastie M, Repečka K, McDade F, Kamath A, et al. Visualizing and interpreting cancer genomics data via the Xena platform. Nature Biotechnology. 2020;38(6):675-678. doi:10.1038/s41587-020-0546-8. Disponível em: https://doi.org/10.1038/s41587-020-0546-8. Acesso em: 26 out. 2026.</w:t>
      </w:r>
    </w:p>
    <w:p>
      <w:pPr>
        <w:spacing w:line="240" w:lineRule="auto" w:after="80"/>
        <w:ind w:left="425" w:hanging="425"/>
        <w:jc w:val="both"/>
      </w:pPr>
      <w:r>
        <w:rPr>
          <w:rFonts w:ascii="Times New Roman" w:hAnsi="Times New Roman"/>
          <w:sz w:val="20"/>
        </w:rPr>
        <w:t xml:space="preserve">[21] </w:t>
      </w:r>
      <w:r>
        <w:rPr>
          <w:rFonts w:ascii="Times New Roman" w:hAnsi="Times New Roman"/>
          <w:sz w:val="20"/>
        </w:rPr>
        <w:t>GTEx Consortium. The GTEx Consortium atlas of genetic regulatory effects across human tissues. Science. 2020;369(6509):1318-1330. doi:10.1126/science.aaz1776. Disponível em: https://doi.org/10.1126/science.aaz1776. Acesso em: 26 out. 2026.</w:t>
      </w:r>
    </w:p>
    <w:p>
      <w:pPr>
        <w:spacing w:line="240" w:lineRule="auto" w:after="80"/>
        <w:ind w:left="425" w:hanging="425"/>
        <w:jc w:val="both"/>
      </w:pPr>
      <w:r>
        <w:rPr>
          <w:rFonts w:ascii="Times New Roman" w:hAnsi="Times New Roman"/>
          <w:sz w:val="20"/>
        </w:rPr>
        <w:t xml:space="preserve">[22] </w:t>
      </w:r>
      <w:r>
        <w:rPr>
          <w:rFonts w:ascii="Times New Roman" w:hAnsi="Times New Roman"/>
          <w:sz w:val="20"/>
        </w:rPr>
        <w:t>Cancer Genome Atlas Research Network. Comprehensive and integrative genomic characterization of hepatocellular carcinoma. Cell. 2017;169(7):1327-1341.e23. doi:10.1016/j.cell.2017.05.046. Disponível em: https://doi.org/10.1016/j.cell.2017.05.046. Acesso em: 26 out. 2026.</w:t>
      </w:r>
    </w:p>
    <w:p>
      <w:pPr>
        <w:spacing w:line="240" w:lineRule="auto" w:after="80"/>
        <w:ind w:left="425" w:hanging="425"/>
        <w:jc w:val="both"/>
      </w:pPr>
      <w:r>
        <w:rPr>
          <w:rFonts w:ascii="Times New Roman" w:hAnsi="Times New Roman"/>
          <w:sz w:val="20"/>
        </w:rPr>
        <w:t xml:space="preserve">[23] </w:t>
      </w:r>
      <w:r>
        <w:rPr>
          <w:rFonts w:ascii="Times New Roman" w:hAnsi="Times New Roman"/>
          <w:sz w:val="20"/>
        </w:rPr>
        <w:t>Aran D, Hu Z, Butte AJ. xCell: digitally portraying the tissue cellular heterogeneity landscape. Genome Biology. 2017;18(1):220. doi:10.1186/s13059-017-1349-1. Disponível em: https://doi.org/10.1186/s13059-017-1349-1. Acesso em: 26 out. 2026.</w:t>
      </w:r>
    </w:p>
    <w:p>
      <w:pPr>
        <w:spacing w:line="240" w:lineRule="auto" w:after="80"/>
        <w:ind w:left="425" w:hanging="425"/>
        <w:jc w:val="both"/>
      </w:pPr>
      <w:r>
        <w:rPr>
          <w:rFonts w:ascii="Times New Roman" w:hAnsi="Times New Roman"/>
          <w:sz w:val="20"/>
        </w:rPr>
        <w:t xml:space="preserve">[24] </w:t>
      </w:r>
      <w:r>
        <w:rPr>
          <w:rFonts w:ascii="Times New Roman" w:hAnsi="Times New Roman"/>
          <w:sz w:val="20"/>
        </w:rPr>
        <w:t>Wang X, Park J, Susztak K, Zhang NR, Li M. Bulk tissue cell type deconvolution with multi-subject single-cell expression reference. Nature Communications. 2019;10:380. doi:10.1038/s41467-018-08023-x. Disponível em: https://doi.org/10.1038/s41467-018-08023-x. Acesso em: 26 out. 2026.</w:t>
      </w:r>
    </w:p>
    <w:p>
      <w:pPr>
        <w:spacing w:line="240" w:lineRule="auto" w:after="80"/>
        <w:ind w:left="425" w:hanging="425"/>
        <w:jc w:val="both"/>
      </w:pPr>
      <w:r>
        <w:rPr>
          <w:rFonts w:ascii="Times New Roman" w:hAnsi="Times New Roman"/>
          <w:sz w:val="20"/>
        </w:rPr>
        <w:t xml:space="preserve">[25] </w:t>
      </w:r>
      <w:r>
        <w:rPr>
          <w:rFonts w:ascii="Times New Roman" w:hAnsi="Times New Roman"/>
          <w:sz w:val="20"/>
        </w:rPr>
        <w:t>Finotello F, Mayer C, Plattner C, Laschober G, Rieder D, Hackl H, et al. Molecular and pharmacological modulators of the tumor immune contexture revealed by deconvolution of RNA-seq data. Genome Medicine. 2019;11(1):34. doi:10.1186/s13073-019-0638-6. Disponível em: https://doi.org/10.1186/s13073-019-0638-6. Acesso em: 26 out. 2026.</w:t>
      </w:r>
    </w:p>
    <w:p>
      <w:pPr>
        <w:spacing w:line="240" w:lineRule="auto" w:after="80"/>
        <w:ind w:left="425" w:hanging="425"/>
        <w:jc w:val="both"/>
      </w:pPr>
      <w:r>
        <w:rPr>
          <w:rFonts w:ascii="Times New Roman" w:hAnsi="Times New Roman"/>
          <w:sz w:val="20"/>
        </w:rPr>
        <w:t xml:space="preserve">[26] </w:t>
      </w:r>
      <w:r>
        <w:rPr>
          <w:rFonts w:ascii="Times New Roman" w:hAnsi="Times New Roman"/>
          <w:sz w:val="20"/>
        </w:rPr>
        <w:t>Newman AM, Steen CB, Liu CL, Gentles AJ, Chaudhuri AA, Scherer F, et al. Determining cell type abundance and expression from bulk tissues with digital cytometry. Nature Biotechnology. 2019;37(7):773-782. doi:10.1038/s41587-019-0114-2. Disponível em: https://doi.org/10.1038/s41587-019-0114-2. Acesso em: 26 out. 2026.</w:t>
      </w:r>
    </w:p>
    <w:p>
      <w:pPr>
        <w:spacing w:line="240" w:lineRule="auto" w:after="80"/>
        <w:ind w:left="425" w:hanging="425"/>
        <w:jc w:val="both"/>
      </w:pPr>
      <w:r>
        <w:rPr>
          <w:rFonts w:ascii="Times New Roman" w:hAnsi="Times New Roman"/>
          <w:sz w:val="20"/>
        </w:rPr>
        <w:t xml:space="preserve">[27] </w:t>
      </w:r>
      <w:r>
        <w:rPr>
          <w:rFonts w:ascii="Times New Roman" w:hAnsi="Times New Roman"/>
          <w:sz w:val="20"/>
        </w:rPr>
        <w:t>Love MI, Huber W, Anders S. Moderated estimation of fold change and dispersion for RNA-seq data with DESeq2. Genome Biology. 2014;15(12):550. doi:10.1186/s13059-014-0550-8. Disponível em: https://doi.org/10.1186/s13059-014-0550-8. Acesso em: 26 out. 2026.</w:t>
      </w:r>
    </w:p>
    <w:p>
      <w:pPr>
        <w:spacing w:line="240" w:lineRule="auto" w:after="80"/>
        <w:ind w:left="425" w:hanging="425"/>
        <w:jc w:val="both"/>
      </w:pPr>
      <w:r>
        <w:rPr>
          <w:rFonts w:ascii="Times New Roman" w:hAnsi="Times New Roman"/>
          <w:sz w:val="20"/>
        </w:rPr>
        <w:t xml:space="preserve">[28] </w:t>
      </w:r>
      <w:r>
        <w:rPr>
          <w:rFonts w:ascii="Times New Roman" w:hAnsi="Times New Roman"/>
          <w:sz w:val="20"/>
        </w:rPr>
        <w:t>Noble WS. How does multiple testing correction work? Nature Biotechnology. 2009;27(12):1135-1137. doi:10.1038/nbt1209-1135. Disponível em: https://doi.org/10.1038/nbt1209-1135. Acesso em: 26 out. 2026.</w:t>
      </w:r>
    </w:p>
    <w:p>
      <w:pPr>
        <w:spacing w:line="240" w:lineRule="auto" w:after="80"/>
        <w:ind w:left="425" w:hanging="425"/>
        <w:jc w:val="both"/>
      </w:pPr>
      <w:r>
        <w:rPr>
          <w:rFonts w:ascii="Times New Roman" w:hAnsi="Times New Roman"/>
          <w:sz w:val="20"/>
        </w:rPr>
        <w:t xml:space="preserve">[29] </w:t>
      </w:r>
      <w:r>
        <w:rPr>
          <w:rFonts w:ascii="Times New Roman" w:hAnsi="Times New Roman"/>
          <w:sz w:val="20"/>
        </w:rPr>
        <w:t>Becht E, Giraldo NA, Lacroix L, Buttard B, Elarouci N, Petitprez F, et al. Estimating the population abundance of tissue-infiltrating immune and stromal cell populations using gene expression. Genome Biology. 2016;17(1):218. doi:10.1186/s13059-016-1070-5. Disponível em: https://doi.org/10.1186/s13059-016-1070-5. Acesso em: 26 out. 2026.</w:t>
      </w:r>
    </w:p>
    <w:p>
      <w:pPr>
        <w:spacing w:line="240" w:lineRule="auto" w:after="80"/>
        <w:ind w:left="425" w:hanging="425"/>
        <w:jc w:val="both"/>
      </w:pPr>
      <w:r>
        <w:rPr>
          <w:rFonts w:ascii="Times New Roman" w:hAnsi="Times New Roman"/>
          <w:sz w:val="20"/>
        </w:rPr>
        <w:t xml:space="preserve">[30] </w:t>
      </w:r>
      <w:r>
        <w:rPr>
          <w:rFonts w:ascii="Times New Roman" w:hAnsi="Times New Roman"/>
          <w:sz w:val="20"/>
        </w:rPr>
        <w:t>BRASIL. Conselho Nacional de Desenvolvimento Científico e Tecnológico (CNPq). Portaria n° 2.664, de 2026. Dispõe sobre o uso de inteligência artificial na pesquisa científica. Brasília: CNPq, 2026. Disponível em: https://www.gov.br/cnpq/pt-br/acesso-a-informacao/legislacao. Acesso em: 26 out. 2026.</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