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ТЕСТ-ПЛАН</w:t>
        <w:br/>
        <w:br/>
        <w:t>Программа: StudentGradeCalculator</w:t>
        <w:br/>
        <w:br/>
      </w:r>
    </w:p>
    <w:p>
      <w:pPr>
        <w:jc w:val="center"/>
      </w:pPr>
      <w:r>
        <w:t>Составитель: _________________________</w:t>
        <w:br/>
      </w:r>
      <w:r>
        <w:t>Группа: _________________________</w:t>
        <w:br/>
      </w:r>
      <w:r>
        <w:t>Дата: _________________________</w:t>
      </w:r>
    </w:p>
    <w:p>
      <w:r>
        <w:br w:type="page"/>
      </w:r>
    </w:p>
    <w:p>
      <w:pPr>
        <w:pStyle w:val="Heading1"/>
      </w:pPr>
      <w:r>
        <w:t>1. Назначение приложения</w:t>
      </w:r>
    </w:p>
    <w:p>
      <w:r>
        <w:t>StudentGradeCalculator — графическое приложение для расчёта итогового результата студента на основе введённых оценок по предметам. Приложение позволяет авторизоваться, указать количество предметов, ввести названия и оценки, рассчитать средний балл и определить статус студента (Отличник, Хорошист, Троечник, Не аттестован).</w:t>
      </w:r>
    </w:p>
    <w:p>
      <w:pPr>
        <w:pStyle w:val="Heading1"/>
      </w:pPr>
      <w:r>
        <w:t>2. Описание интерфейса</w:t>
      </w:r>
    </w:p>
    <w:p>
      <w:r>
        <w:t>Назначение элементов интерфейса: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Поле «Email»</w:t>
            </w:r>
          </w:p>
        </w:tc>
        <w:tc>
          <w:tcPr>
            <w:tcW w:type="dxa" w:w="4320"/>
          </w:tcPr>
          <w:p>
            <w:r>
              <w:t>Ввод логина (должен быть в формате email)</w:t>
            </w:r>
          </w:p>
        </w:tc>
      </w:tr>
      <w:tr>
        <w:tc>
          <w:tcPr>
            <w:tcW w:type="dxa" w:w="4320"/>
          </w:tcPr>
          <w:p>
            <w:r>
              <w:t>Поле «Пароль»</w:t>
            </w:r>
          </w:p>
        </w:tc>
        <w:tc>
          <w:tcPr>
            <w:tcW w:type="dxa" w:w="4320"/>
          </w:tcPr>
          <w:p>
            <w:r>
              <w:t>Ввод пароля при авторизации/регистрации</w:t>
            </w:r>
          </w:p>
        </w:tc>
      </w:tr>
      <w:tr>
        <w:tc>
          <w:tcPr>
            <w:tcW w:type="dxa" w:w="4320"/>
          </w:tcPr>
          <w:p>
            <w:r>
              <w:t>Кнопка «Войти»</w:t>
            </w:r>
          </w:p>
        </w:tc>
        <w:tc>
          <w:tcPr>
            <w:tcW w:type="dxa" w:w="4320"/>
          </w:tcPr>
          <w:p>
            <w:r>
              <w:t>Авторизация зарегистрированного пользователя</w:t>
            </w:r>
          </w:p>
        </w:tc>
      </w:tr>
      <w:tr>
        <w:tc>
          <w:tcPr>
            <w:tcW w:type="dxa" w:w="4320"/>
          </w:tcPr>
          <w:p>
            <w:r>
              <w:t>Кнопка «Регистрация»</w:t>
            </w:r>
          </w:p>
        </w:tc>
        <w:tc>
          <w:tcPr>
            <w:tcW w:type="dxa" w:w="4320"/>
          </w:tcPr>
          <w:p>
            <w:r>
              <w:t>Создание нового аккаунта</w:t>
            </w:r>
          </w:p>
        </w:tc>
      </w:tr>
      <w:tr>
        <w:tc>
          <w:tcPr>
            <w:tcW w:type="dxa" w:w="4320"/>
          </w:tcPr>
          <w:p>
            <w:r>
              <w:t>Поле «Количество предметов»</w:t>
            </w:r>
          </w:p>
        </w:tc>
        <w:tc>
          <w:tcPr>
            <w:tcW w:type="dxa" w:w="4320"/>
          </w:tcPr>
          <w:p>
            <w:r>
              <w:t>Ввод числа предметов (от 1 до 20)</w:t>
            </w:r>
          </w:p>
        </w:tc>
      </w:tr>
      <w:tr>
        <w:tc>
          <w:tcPr>
            <w:tcW w:type="dxa" w:w="4320"/>
          </w:tcPr>
          <w:p>
            <w:r>
              <w:t>Кнопка «Создать поля»</w:t>
            </w:r>
          </w:p>
        </w:tc>
        <w:tc>
          <w:tcPr>
            <w:tcW w:type="dxa" w:w="4320"/>
          </w:tcPr>
          <w:p>
            <w:r>
              <w:t>Динамическое создание полей для ввода названий и оценок</w:t>
            </w:r>
          </w:p>
        </w:tc>
      </w:tr>
      <w:tr>
        <w:tc>
          <w:tcPr>
            <w:tcW w:type="dxa" w:w="4320"/>
          </w:tcPr>
          <w:p>
            <w:r>
              <w:t>Поля «Название предмета»</w:t>
            </w:r>
          </w:p>
        </w:tc>
        <w:tc>
          <w:tcPr>
            <w:tcW w:type="dxa" w:w="4320"/>
          </w:tcPr>
          <w:p>
            <w:r>
              <w:t>Ввод названия каждого предмета</w:t>
            </w:r>
          </w:p>
        </w:tc>
      </w:tr>
      <w:tr>
        <w:tc>
          <w:tcPr>
            <w:tcW w:type="dxa" w:w="4320"/>
          </w:tcPr>
          <w:p>
            <w:r>
              <w:t>Поля «Оценка»</w:t>
            </w:r>
          </w:p>
        </w:tc>
        <w:tc>
          <w:tcPr>
            <w:tcW w:type="dxa" w:w="4320"/>
          </w:tcPr>
          <w:p>
            <w:r>
              <w:t>Ввод оценки по предмету (целое число 1–5)</w:t>
            </w:r>
          </w:p>
        </w:tc>
      </w:tr>
      <w:tr>
        <w:tc>
          <w:tcPr>
            <w:tcW w:type="dxa" w:w="4320"/>
          </w:tcPr>
          <w:p>
            <w:r>
              <w:t>Кнопка «Рассчитать результат»</w:t>
            </w:r>
          </w:p>
        </w:tc>
        <w:tc>
          <w:tcPr>
            <w:tcW w:type="dxa" w:w="4320"/>
          </w:tcPr>
          <w:p>
            <w:r>
              <w:t>Вычисление среднего балла и статуса студента</w:t>
            </w:r>
          </w:p>
        </w:tc>
      </w:tr>
      <w:tr>
        <w:tc>
          <w:tcPr>
            <w:tcW w:type="dxa" w:w="4320"/>
          </w:tcPr>
          <w:p>
            <w:r>
              <w:t>Область результата</w:t>
            </w:r>
          </w:p>
        </w:tc>
        <w:tc>
          <w:tcPr>
            <w:tcW w:type="dxa" w:w="4320"/>
          </w:tcPr>
          <w:p>
            <w:r>
              <w:t>Отображение среднего балла и статуса</w:t>
            </w:r>
          </w:p>
        </w:tc>
      </w:tr>
      <w:tr>
        <w:tc>
          <w:tcPr>
            <w:tcW w:type="dxa" w:w="4320"/>
          </w:tcPr>
          <w:p>
            <w:r>
              <w:t>Сообщения об ошибках</w:t>
            </w:r>
          </w:p>
        </w:tc>
        <w:tc>
          <w:tcPr>
            <w:tcW w:type="dxa" w:w="4320"/>
          </w:tcPr>
          <w:p>
            <w:r>
              <w:t>Информирование о некорректном вводе</w:t>
            </w:r>
          </w:p>
        </w:tc>
      </w:tr>
    </w:tbl>
    <w:p/>
    <w:p>
      <w:r>
        <w:t>Основной сценарий работы пользователя:</w:t>
      </w:r>
    </w:p>
    <w:p>
      <w:r>
        <w:t>1. Пользователь открывает приложение</w:t>
      </w:r>
    </w:p>
    <w:p>
      <w:r>
        <w:t>2. Регистрируется или авторизуется (email + пароль)</w:t>
      </w:r>
    </w:p>
    <w:p>
      <w:r>
        <w:t>3. Вводит количество предметов (1–20)</w:t>
      </w:r>
    </w:p>
    <w:p>
      <w:r>
        <w:t>4. Нажимает «Создать поля»</w:t>
      </w:r>
    </w:p>
    <w:p>
      <w:r>
        <w:t>5. Заполняет названия предметов и оценки (1–5)</w:t>
      </w:r>
    </w:p>
    <w:p>
      <w:r>
        <w:t>6. Нажимает «Рассчитать результат»</w:t>
      </w:r>
    </w:p>
    <w:p>
      <w:r>
        <w:t>7. Просматривает средний балл и статус студента</w:t>
      </w:r>
    </w:p>
    <w:p>
      <w:pPr>
        <w:pStyle w:val="Heading1"/>
      </w:pPr>
      <w:r>
        <w:t>3. Цели тестирования</w:t>
      </w:r>
    </w:p>
    <w:p>
      <w:pPr>
        <w:pStyle w:val="ListBullet"/>
      </w:pPr>
      <w:r>
        <w:t>Проверить корректность авторизации и регистрации пользователей</w:t>
      </w:r>
    </w:p>
    <w:p>
      <w:pPr>
        <w:pStyle w:val="ListBullet"/>
      </w:pPr>
      <w:r>
        <w:t>Убедиться в правильности валидации вводимых данных (оценки, количество предметов, пароль)</w:t>
      </w:r>
    </w:p>
    <w:p>
      <w:pPr>
        <w:pStyle w:val="ListBullet"/>
      </w:pPr>
      <w:r>
        <w:t>Проверить корректность расчёта среднего балла и определения статуса студента</w:t>
      </w:r>
    </w:p>
    <w:p>
      <w:pPr>
        <w:pStyle w:val="ListBullet"/>
      </w:pPr>
      <w:r>
        <w:t>Подтвердить соответствие интерфейса требованиям ТЗ</w:t>
      </w:r>
    </w:p>
    <w:p>
      <w:pPr>
        <w:pStyle w:val="ListBullet"/>
      </w:pPr>
      <w:r>
        <w:t>Выявить дефекты до передачи продукта пользователю</w:t>
      </w:r>
    </w:p>
    <w:p>
      <w:pPr>
        <w:pStyle w:val="Heading1"/>
      </w:pPr>
      <w:r>
        <w:t>4. Тестируемые требования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FR-01: Регистрация с email в качестве логина</w:t>
      </w:r>
    </w:p>
    <w:p>
      <w:pPr>
        <w:pStyle w:val="ListBullet"/>
      </w:pPr>
      <w:r>
        <w:t>FR-02: Пароль — минимум 6 символов, заглавные буквы, цифры, спецсимволы</w:t>
      </w:r>
    </w:p>
    <w:p>
      <w:pPr>
        <w:pStyle w:val="ListBullet"/>
      </w:pPr>
      <w:r>
        <w:t>FR-03: Авторизация зарегистрированного пользователя</w:t>
      </w:r>
    </w:p>
    <w:p>
      <w:pPr>
        <w:pStyle w:val="ListBullet"/>
      </w:pPr>
      <w:r>
        <w:t>FR-04: Ввод количества предметов от 1 до 20</w:t>
      </w:r>
    </w:p>
    <w:p>
      <w:pPr>
        <w:pStyle w:val="ListBullet"/>
      </w:pPr>
      <w:r>
        <w:t>FR-05: Кнопка «Создать поля» создаёт нужное количество строк</w:t>
      </w:r>
    </w:p>
    <w:p>
      <w:pPr>
        <w:pStyle w:val="ListBullet"/>
      </w:pPr>
      <w:r>
        <w:t>FR-06: Ввод названия предмета для каждой строки</w:t>
      </w:r>
    </w:p>
    <w:p>
      <w:pPr>
        <w:pStyle w:val="ListBullet"/>
      </w:pPr>
      <w:r>
        <w:t>FR-07: Ввод оценки — целое число от 1 до 5</w:t>
      </w:r>
    </w:p>
    <w:p>
      <w:pPr>
        <w:pStyle w:val="ListBullet"/>
      </w:pPr>
      <w:r>
        <w:t>FR-08: Ошибка при вводе нечислового значения в оценку</w:t>
      </w:r>
    </w:p>
    <w:p>
      <w:pPr>
        <w:pStyle w:val="ListBullet"/>
      </w:pPr>
      <w:r>
        <w:t>FR-09: Ошибка при оценке вне диапазона 1–5</w:t>
      </w:r>
    </w:p>
    <w:p>
      <w:pPr>
        <w:pStyle w:val="ListBullet"/>
      </w:pPr>
      <w:r>
        <w:t>FR-10: Расчёт среднего балла с округлением до 2 знаков</w:t>
      </w:r>
    </w:p>
    <w:p>
      <w:pPr>
        <w:pStyle w:val="ListBullet"/>
      </w:pPr>
      <w:r>
        <w:t>FR-11: Статус «Отличник» при среднем балле ≥ 4.6</w:t>
      </w:r>
    </w:p>
    <w:p>
      <w:pPr>
        <w:pStyle w:val="ListBullet"/>
      </w:pPr>
      <w:r>
        <w:t>FR-12: Статус «Хорошист» при среднем балле ≥ 3.5 и &lt; 4.6</w:t>
      </w:r>
    </w:p>
    <w:p>
      <w:pPr>
        <w:pStyle w:val="ListBullet"/>
      </w:pPr>
      <w:r>
        <w:t>FR-13: Статус «Троечник» при среднем балле ≥ 2.5 и &lt; 3.5</w:t>
      </w:r>
    </w:p>
    <w:p>
      <w:pPr>
        <w:pStyle w:val="ListBullet"/>
      </w:pPr>
      <w:r>
        <w:t>FR-14: Статус «Не аттестован» при среднем балле &lt; 2.5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NFR-01: Удобство интерфейса (понятные подписи, читаемые сообщения об ошибках)</w:t>
      </w:r>
    </w:p>
    <w:p>
      <w:pPr>
        <w:pStyle w:val="ListBullet"/>
      </w:pPr>
      <w:r>
        <w:t>NFR-02: Время отклика приложения на действия пользователя — не более 2 секунд</w:t>
      </w:r>
    </w:p>
    <w:p>
      <w:pPr>
        <w:pStyle w:val="ListBullet"/>
      </w:pPr>
      <w:r>
        <w:t>NFR-03: Совместимость с ОС Windows 10/11</w:t>
      </w:r>
    </w:p>
    <w:p>
      <w:pPr>
        <w:pStyle w:val="ListBullet"/>
      </w:pPr>
      <w:r>
        <w:t>NFR-04: Корректное отображение элементов при разрешении 1920×1080</w:t>
      </w:r>
    </w:p>
    <w:p>
      <w:pPr>
        <w:pStyle w:val="Heading2"/>
      </w:pPr>
      <w:r>
        <w:t>4.3. Не тестируемый функционал</w:t>
      </w:r>
    </w:p>
    <w:p>
      <w:pPr>
        <w:pStyle w:val="ListBullet"/>
      </w:pPr>
      <w:r>
        <w:t>Производительность при одновременной работе 1000+ пользователей</w:t>
      </w:r>
    </w:p>
    <w:p>
      <w:pPr>
        <w:pStyle w:val="ListBullet"/>
      </w:pPr>
      <w:r>
        <w:t>Безопасность серверной части (приложение локальное, без сервера)</w:t>
      </w:r>
    </w:p>
    <w:p>
      <w:pPr>
        <w:pStyle w:val="ListBullet"/>
      </w:pPr>
      <w:r>
        <w:t>Совместимость с мобильными устройствами (приложение только для ПК)</w:t>
      </w:r>
    </w:p>
    <w:p>
      <w:pPr>
        <w:pStyle w:val="ListBullet"/>
      </w:pPr>
      <w:r>
        <w:t>Миграция данных между версиями приложения</w:t>
      </w:r>
    </w:p>
    <w:p>
      <w:pPr>
        <w:pStyle w:val="Heading1"/>
      </w:pPr>
      <w:r>
        <w:t>5. Стратегия тестирования</w:t>
      </w:r>
    </w:p>
    <w:p>
      <w:pPr>
        <w:pStyle w:val="Heading2"/>
      </w:pPr>
      <w:r>
        <w:t>5.1. Виды тестирования</w:t>
      </w:r>
    </w:p>
    <w:p>
      <w:pPr>
        <w:pStyle w:val="ListBullet"/>
      </w:pPr>
      <w:r>
        <w:t>Функциональное тестирование — проверка расчёта баллов и статусов</w:t>
      </w:r>
    </w:p>
    <w:p>
      <w:pPr>
        <w:pStyle w:val="ListBullet"/>
      </w:pPr>
      <w:r>
        <w:t>Тестирование пользовательского интерфейса (UI) — элементы формы, кнопки</w:t>
      </w:r>
    </w:p>
    <w:p>
      <w:pPr>
        <w:pStyle w:val="ListBullet"/>
      </w:pPr>
      <w:r>
        <w:t>Негативное тестирование — неверный ввод, граничные значения</w:t>
      </w:r>
    </w:p>
    <w:p>
      <w:pPr>
        <w:pStyle w:val="ListBullet"/>
      </w:pPr>
      <w:r>
        <w:t>Тестирование безопасности — валидация пароля, авторизация</w:t>
      </w:r>
    </w:p>
    <w:p>
      <w:pPr>
        <w:pStyle w:val="ListBullet"/>
      </w:pPr>
      <w:r>
        <w:t>Регрессионное тестирование — после исправления дефектов</w:t>
      </w:r>
    </w:p>
    <w:p>
      <w:pPr>
        <w:pStyle w:val="ListBullet"/>
      </w:pPr>
      <w:r>
        <w:t>Дымовое тестирование (Smoke) — базовая проверка запуска и основного сценария</w:t>
      </w:r>
    </w:p>
    <w:p>
      <w:pPr>
        <w:pStyle w:val="ListBullet"/>
      </w:pPr>
      <w:r>
        <w:t>Интеграционное тестирование — взаимодействие модулей авторизации и расчёта</w:t>
      </w:r>
    </w:p>
    <w:p>
      <w:pPr>
        <w:pStyle w:val="Heading2"/>
      </w:pPr>
      <w:r>
        <w:t>5.2. Уровни тестирования</w:t>
      </w:r>
    </w:p>
    <w:p>
      <w:pPr>
        <w:pStyle w:val="ListBullet"/>
      </w:pPr>
      <w:r>
        <w:t>Модульное — тестирование отдельных функций (расчёт среднего, определение статуса)</w:t>
      </w:r>
    </w:p>
    <w:p>
      <w:pPr>
        <w:pStyle w:val="ListBullet"/>
      </w:pPr>
      <w:r>
        <w:t>Интеграционное — взаимодействие модулей авторизации и расчёта оценок</w:t>
      </w:r>
    </w:p>
    <w:p>
      <w:pPr>
        <w:pStyle w:val="ListBullet"/>
      </w:pPr>
      <w:r>
        <w:t>Системное — тестирование приложения целиком по ТЗ</w:t>
      </w:r>
    </w:p>
    <w:p>
      <w:pPr>
        <w:pStyle w:val="ListBullet"/>
      </w:pPr>
      <w:r>
        <w:t>Приёмочное (UAT) — проверка соответствия ожиданиям заказчика</w:t>
      </w:r>
    </w:p>
    <w:p>
      <w:pPr>
        <w:pStyle w:val="Heading2"/>
      </w:pPr>
      <w:r>
        <w:t>5.3. Методы тестирования</w:t>
      </w:r>
    </w:p>
    <w:p>
      <w:pPr>
        <w:pStyle w:val="ListBullet"/>
      </w:pPr>
      <w:r>
        <w:t>Анализ эквивалентности — группы допустимых и недопустимых значений оценок</w:t>
      </w:r>
    </w:p>
    <w:p>
      <w:pPr>
        <w:pStyle w:val="ListBullet"/>
      </w:pPr>
      <w:r>
        <w:t>Анализ граничных значений — 1, 5, 0, 6 для оценок; 1, 20, 0, 21 для предметов</w:t>
      </w:r>
    </w:p>
    <w:p>
      <w:pPr>
        <w:pStyle w:val="ListBullet"/>
      </w:pPr>
      <w:r>
        <w:t>Таблица принятия решений — комбинации среднего балла и ожидаемого статуса</w:t>
      </w:r>
    </w:p>
    <w:p>
      <w:pPr>
        <w:pStyle w:val="ListBullet"/>
      </w:pPr>
      <w:r>
        <w:t>Тестирование «чёрный ящик» — без знания внутренней реализации</w:t>
      </w:r>
    </w:p>
    <w:p>
      <w:pPr>
        <w:pStyle w:val="ListBullet"/>
      </w:pPr>
      <w:r>
        <w:t>Ручное тестирование — выполнение тест-кейсов тестировщиком</w:t>
      </w:r>
    </w:p>
    <w:p>
      <w:pPr>
        <w:pStyle w:val="Heading1"/>
      </w:pPr>
      <w:r>
        <w:t>6. Риски и ограничения</w:t>
      </w:r>
    </w:p>
    <w:p>
      <w:pPr>
        <w:pStyle w:val="Heading2"/>
      </w:pPr>
      <w:r>
        <w:t>6.1. Риски</w:t>
      </w:r>
    </w:p>
    <w:p>
      <w:pPr>
        <w:pStyle w:val="ListBullet"/>
      </w:pPr>
      <w:r>
        <w:t>Неполное ТЗ — не описаны все сценарии ошибок</w:t>
      </w:r>
    </w:p>
    <w:p>
      <w:pPr>
        <w:pStyle w:val="ListBullet"/>
      </w:pPr>
      <w:r>
        <w:t>Отсутствие готовой сборки приложения на момент начала тестирования</w:t>
      </w:r>
    </w:p>
    <w:p>
      <w:pPr>
        <w:pStyle w:val="ListBullet"/>
      </w:pPr>
      <w:r>
        <w:t>Недостаток времени на полное покрытие тестами</w:t>
      </w:r>
    </w:p>
    <w:p>
      <w:pPr>
        <w:pStyle w:val="ListBullet"/>
      </w:pPr>
      <w:r>
        <w:t>Изменение требований в процессе разработки</w:t>
      </w:r>
    </w:p>
    <w:p>
      <w:pPr>
        <w:pStyle w:val="ListBullet"/>
      </w:pPr>
      <w:r>
        <w:t>Ошибки в формулах расчёта среднего балла и границ статусов</w:t>
      </w:r>
    </w:p>
    <w:p>
      <w:pPr>
        <w:pStyle w:val="ListBullet"/>
      </w:pPr>
      <w:r>
        <w:t>Некорректная валидация пароля может привести к уязвимости</w:t>
      </w:r>
    </w:p>
    <w:p>
      <w:pPr>
        <w:pStyle w:val="Heading2"/>
      </w:pPr>
      <w:r>
        <w:t>6.2. Ограничения</w:t>
      </w:r>
    </w:p>
    <w:p>
      <w:pPr>
        <w:pStyle w:val="ListBullet"/>
      </w:pPr>
      <w:r>
        <w:t>Тестирование проводится вручную</w:t>
      </w:r>
    </w:p>
    <w:p>
      <w:pPr>
        <w:pStyle w:val="ListBullet"/>
      </w:pPr>
      <w:r>
        <w:t>Тестирование только на ОС Windows 10/11</w:t>
      </w:r>
    </w:p>
    <w:p>
      <w:pPr>
        <w:pStyle w:val="ListBullet"/>
      </w:pPr>
      <w:r>
        <w:t>Нет доступа к исходному коду (тестирование «чёрный ящик»)</w:t>
      </w:r>
    </w:p>
    <w:p>
      <w:pPr>
        <w:pStyle w:val="ListBullet"/>
      </w:pPr>
      <w:r>
        <w:t>Ограниченный срок выполнения тестирования — 5 рабочих дней</w:t>
      </w:r>
    </w:p>
    <w:p>
      <w:pPr>
        <w:pStyle w:val="Heading1"/>
      </w:pPr>
      <w:r>
        <w:t>7. Критерии входа и выхода</w:t>
      </w:r>
    </w:p>
    <w:p>
      <w:pPr>
        <w:pStyle w:val="Heading2"/>
      </w:pPr>
      <w:r>
        <w:t>7.1. Критерии входа</w:t>
      </w:r>
    </w:p>
    <w:p>
      <w:pPr>
        <w:pStyle w:val="ListBullet"/>
      </w:pPr>
      <w:r>
        <w:t>Утверждено ТЗ на приложение StudentGradeCalculator</w:t>
      </w:r>
    </w:p>
    <w:p>
      <w:pPr>
        <w:pStyle w:val="ListBullet"/>
      </w:pPr>
      <w:r>
        <w:t>Доступна тестовая сборка приложения</w:t>
      </w:r>
    </w:p>
    <w:p>
      <w:pPr>
        <w:pStyle w:val="ListBullet"/>
      </w:pPr>
      <w:r>
        <w:t>Подготовлена тестовая среда (Windows 10/11)</w:t>
      </w:r>
    </w:p>
    <w:p>
      <w:pPr>
        <w:pStyle w:val="ListBullet"/>
      </w:pPr>
      <w:r>
        <w:t>Составлены тест-кейсы и тестовые данные</w:t>
      </w:r>
    </w:p>
    <w:p>
      <w:pPr>
        <w:pStyle w:val="ListBullet"/>
      </w:pPr>
      <w:r>
        <w:t>Назначен ответственный тестировщик</w:t>
      </w:r>
    </w:p>
    <w:p>
      <w:pPr>
        <w:pStyle w:val="Heading2"/>
      </w:pPr>
      <w:r>
        <w:t>7.2. Критерии выхода</w:t>
      </w:r>
    </w:p>
    <w:p>
      <w:pPr>
        <w:pStyle w:val="ListBullet"/>
      </w:pPr>
      <w:r>
        <w:t>Выполнены все запланированные тест-кейсы</w:t>
      </w:r>
    </w:p>
    <w:p>
      <w:pPr>
        <w:pStyle w:val="ListBullet"/>
      </w:pPr>
      <w:r>
        <w:t>Нет открытых дефектов уровня Blocker и Critical</w:t>
      </w:r>
    </w:p>
    <w:p>
      <w:pPr>
        <w:pStyle w:val="ListBullet"/>
      </w:pPr>
      <w:r>
        <w:t>Покрытие функциональных требований — не менее 95%</w:t>
      </w:r>
    </w:p>
    <w:p>
      <w:pPr>
        <w:pStyle w:val="ListBullet"/>
      </w:pPr>
      <w:r>
        <w:t>Составлен итоговый отчёт о тестировании</w:t>
      </w:r>
    </w:p>
    <w:p>
      <w:pPr>
        <w:pStyle w:val="ListBullet"/>
      </w:pPr>
      <w:r>
        <w:t>Получено одобрение руководителя проекта</w:t>
      </w:r>
    </w:p>
    <w:p>
      <w:pPr>
        <w:pStyle w:val="Heading1"/>
      </w:pPr>
      <w:r>
        <w:t>8. План-график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Сроки</w:t>
            </w:r>
          </w:p>
        </w:tc>
      </w:tr>
      <w:tr>
        <w:tc>
          <w:tcPr>
            <w:tcW w:type="dxa" w:w="4320"/>
          </w:tcPr>
          <w:p>
            <w:r>
              <w:t>Анализ ТЗ</w:t>
            </w:r>
          </w:p>
        </w:tc>
        <w:tc>
          <w:tcPr>
            <w:tcW w:type="dxa" w:w="4320"/>
          </w:tcPr>
          <w:p>
            <w:r>
              <w:t>День 1</w:t>
            </w:r>
          </w:p>
        </w:tc>
      </w:tr>
      <w:tr>
        <w:tc>
          <w:tcPr>
            <w:tcW w:type="dxa" w:w="4320"/>
          </w:tcPr>
          <w:p>
            <w:r>
              <w:t>Создание тест-кейсов</w:t>
            </w:r>
          </w:p>
        </w:tc>
        <w:tc>
          <w:tcPr>
            <w:tcW w:type="dxa" w:w="4320"/>
          </w:tcPr>
          <w:p>
            <w:r>
              <w:t>День 1–2</w:t>
            </w:r>
          </w:p>
        </w:tc>
      </w:tr>
      <w:tr>
        <w:tc>
          <w:tcPr>
            <w:tcW w:type="dxa" w:w="4320"/>
          </w:tcPr>
          <w:p>
            <w:r>
              <w:t>Написание автоматических тестов</w:t>
            </w:r>
          </w:p>
        </w:tc>
        <w:tc>
          <w:tcPr>
            <w:tcW w:type="dxa" w:w="4320"/>
          </w:tcPr>
          <w:p>
            <w:r>
              <w:t>День 2–3</w:t>
            </w:r>
          </w:p>
        </w:tc>
      </w:tr>
      <w:tr>
        <w:tc>
          <w:tcPr>
            <w:tcW w:type="dxa" w:w="4320"/>
          </w:tcPr>
          <w:p>
            <w:r>
              <w:t>Подготовка тестовых данных</w:t>
            </w:r>
          </w:p>
        </w:tc>
        <w:tc>
          <w:tcPr>
            <w:tcW w:type="dxa" w:w="4320"/>
          </w:tcPr>
          <w:p>
            <w:r>
              <w:t>День 2</w:t>
            </w:r>
          </w:p>
        </w:tc>
      </w:tr>
      <w:tr>
        <w:tc>
          <w:tcPr>
            <w:tcW w:type="dxa" w:w="4320"/>
          </w:tcPr>
          <w:p>
            <w:r>
              <w:t>Подготовка тестовой среды</w:t>
            </w:r>
          </w:p>
        </w:tc>
        <w:tc>
          <w:tcPr>
            <w:tcW w:type="dxa" w:w="4320"/>
          </w:tcPr>
          <w:p>
            <w:r>
              <w:t>День 2</w:t>
            </w:r>
          </w:p>
        </w:tc>
      </w:tr>
      <w:tr>
        <w:tc>
          <w:tcPr>
            <w:tcW w:type="dxa" w:w="4320"/>
          </w:tcPr>
          <w:p>
            <w:r>
              <w:t>Выполнение тестов</w:t>
            </w:r>
          </w:p>
        </w:tc>
        <w:tc>
          <w:tcPr>
            <w:tcW w:type="dxa" w:w="4320"/>
          </w:tcPr>
          <w:p>
            <w:r>
              <w:t>День 3–4</w:t>
            </w:r>
          </w:p>
        </w:tc>
      </w:tr>
      <w:tr>
        <w:tc>
          <w:tcPr>
            <w:tcW w:type="dxa" w:w="4320"/>
          </w:tcPr>
          <w:p>
            <w:r>
              <w:t>Составление отчёта</w:t>
            </w:r>
          </w:p>
        </w:tc>
        <w:tc>
          <w:tcPr>
            <w:tcW w:type="dxa" w:w="4320"/>
          </w:tcPr>
          <w:p>
            <w:r>
              <w:t>День 5</w:t>
            </w:r>
          </w:p>
        </w:tc>
      </w:tr>
    </w:tbl>
    <w:p/>
    <w:p>
      <w:pPr>
        <w:pStyle w:val="Heading1"/>
      </w:pPr>
      <w:r>
        <w:t>9. Артефакты тестирования</w:t>
      </w:r>
    </w:p>
    <w:p>
      <w:pPr>
        <w:pStyle w:val="ListBullet"/>
      </w:pPr>
      <w:r>
        <w:t>Тест-план (настоящий документ)</w:t>
      </w:r>
    </w:p>
    <w:p>
      <w:pPr>
        <w:pStyle w:val="ListBullet"/>
      </w:pPr>
      <w:r>
        <w:t>Тест-кейсы</w:t>
      </w:r>
    </w:p>
    <w:p>
      <w:pPr>
        <w:pStyle w:val="ListBullet"/>
      </w:pPr>
      <w:r>
        <w:t>Чек-листы</w:t>
      </w:r>
    </w:p>
    <w:p>
      <w:pPr>
        <w:pStyle w:val="ListBullet"/>
      </w:pPr>
      <w:r>
        <w:t>Тестовые данные</w:t>
      </w:r>
    </w:p>
    <w:p>
      <w:pPr>
        <w:pStyle w:val="ListBullet"/>
      </w:pPr>
      <w:r>
        <w:t>Баг-репорты</w:t>
      </w:r>
    </w:p>
    <w:p>
      <w:pPr>
        <w:pStyle w:val="ListBullet"/>
      </w:pPr>
      <w:r>
        <w:t>Отчёт о тестировании</w:t>
      </w:r>
    </w:p>
    <w:p>
      <w:pPr>
        <w:pStyle w:val="ListBullet"/>
      </w:pPr>
      <w:r>
        <w:t>Матрица трассируемости требований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