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Task 2 – ADR Reporting &amp; Documentation</w:t>
      </w:r>
    </w:p>
    <w:p>
      <w:r>
        <w:rPr>
          <w:b/>
        </w:rPr>
        <w:t xml:space="preserve">Note: </w:t>
      </w:r>
      <w:r>
        <w:t>This is a simulated educational case prepared for pharmacovigilance training. It is not a real patient report.</w:t>
      </w:r>
    </w:p>
    <w:p>
      <w:pPr>
        <w:pStyle w:val="Heading1"/>
      </w:pPr>
      <w:r>
        <w:t>1. Case Scenario</w:t>
      </w:r>
    </w:p>
    <w:p>
      <w:r>
        <w:t>A 24-year-old male patient was prescribed Amoxicillin 500 mg orally three times daily for a bacterial throat infection. After taking the medicine for two days, he developed generalized itching and red raised skin rashes (urticaria). The medicine was stopped, and an antihistamine was given. The symptoms improved within 24 hours and completely resolved after a few days. No hospitalization occurred.</w:t>
      </w:r>
    </w:p>
    <w:p>
      <w:pPr>
        <w:pStyle w:val="Heading1"/>
      </w:pPr>
      <w:r>
        <w:t>2. ADR Reporting Form</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Details</w:t>
            </w:r>
          </w:p>
        </w:tc>
      </w:tr>
      <w:tr>
        <w:tc>
          <w:tcPr>
            <w:tcW w:type="dxa" w:w="4320"/>
          </w:tcPr>
          <w:p>
            <w:r>
              <w:t>Patient</w:t>
            </w:r>
          </w:p>
        </w:tc>
        <w:tc>
          <w:tcPr>
            <w:tcW w:type="dxa" w:w="4320"/>
          </w:tcPr>
          <w:p>
            <w:r>
              <w:t>24-year-old male</w:t>
            </w:r>
          </w:p>
        </w:tc>
      </w:tr>
      <w:tr>
        <w:tc>
          <w:tcPr>
            <w:tcW w:type="dxa" w:w="4320"/>
          </w:tcPr>
          <w:p>
            <w:r>
              <w:t>Suspected drug</w:t>
            </w:r>
          </w:p>
        </w:tc>
        <w:tc>
          <w:tcPr>
            <w:tcW w:type="dxa" w:w="4320"/>
          </w:tcPr>
          <w:p>
            <w:r>
              <w:t>Amoxicillin</w:t>
            </w:r>
          </w:p>
        </w:tc>
      </w:tr>
      <w:tr>
        <w:tc>
          <w:tcPr>
            <w:tcW w:type="dxa" w:w="4320"/>
          </w:tcPr>
          <w:p>
            <w:r>
              <w:t>Strength</w:t>
            </w:r>
          </w:p>
        </w:tc>
        <w:tc>
          <w:tcPr>
            <w:tcW w:type="dxa" w:w="4320"/>
          </w:tcPr>
          <w:p>
            <w:r>
              <w:t>500 mg</w:t>
            </w:r>
          </w:p>
        </w:tc>
      </w:tr>
      <w:tr>
        <w:tc>
          <w:tcPr>
            <w:tcW w:type="dxa" w:w="4320"/>
          </w:tcPr>
          <w:p>
            <w:r>
              <w:t>Dose/Frequency</w:t>
            </w:r>
          </w:p>
        </w:tc>
        <w:tc>
          <w:tcPr>
            <w:tcW w:type="dxa" w:w="4320"/>
          </w:tcPr>
          <w:p>
            <w:r>
              <w:t>500 mg, three times daily</w:t>
            </w:r>
          </w:p>
        </w:tc>
      </w:tr>
      <w:tr>
        <w:tc>
          <w:tcPr>
            <w:tcW w:type="dxa" w:w="4320"/>
          </w:tcPr>
          <w:p>
            <w:r>
              <w:t>Route</w:t>
            </w:r>
          </w:p>
        </w:tc>
        <w:tc>
          <w:tcPr>
            <w:tcW w:type="dxa" w:w="4320"/>
          </w:tcPr>
          <w:p>
            <w:r>
              <w:t>Oral</w:t>
            </w:r>
          </w:p>
        </w:tc>
      </w:tr>
      <w:tr>
        <w:tc>
          <w:tcPr>
            <w:tcW w:type="dxa" w:w="4320"/>
          </w:tcPr>
          <w:p>
            <w:r>
              <w:t>Indication</w:t>
            </w:r>
          </w:p>
        </w:tc>
        <w:tc>
          <w:tcPr>
            <w:tcW w:type="dxa" w:w="4320"/>
          </w:tcPr>
          <w:p>
            <w:r>
              <w:t>Bacterial throat infection</w:t>
            </w:r>
          </w:p>
        </w:tc>
      </w:tr>
      <w:tr>
        <w:tc>
          <w:tcPr>
            <w:tcW w:type="dxa" w:w="4320"/>
          </w:tcPr>
          <w:p>
            <w:r>
              <w:t>Date of starting drug</w:t>
            </w:r>
          </w:p>
        </w:tc>
        <w:tc>
          <w:tcPr>
            <w:tcW w:type="dxa" w:w="4320"/>
          </w:tcPr>
          <w:p>
            <w:r>
              <w:t>Day 1 (simulated)</w:t>
            </w:r>
          </w:p>
        </w:tc>
      </w:tr>
      <w:tr>
        <w:tc>
          <w:tcPr>
            <w:tcW w:type="dxa" w:w="4320"/>
          </w:tcPr>
          <w:p>
            <w:r>
              <w:t>Onset of ADR</w:t>
            </w:r>
          </w:p>
        </w:tc>
        <w:tc>
          <w:tcPr>
            <w:tcW w:type="dxa" w:w="4320"/>
          </w:tcPr>
          <w:p>
            <w:r>
              <w:t>Day 3 of treatment</w:t>
            </w:r>
          </w:p>
        </w:tc>
      </w:tr>
      <w:tr>
        <w:tc>
          <w:tcPr>
            <w:tcW w:type="dxa" w:w="4320"/>
          </w:tcPr>
          <w:p>
            <w:r>
              <w:t>Adverse reaction</w:t>
            </w:r>
          </w:p>
        </w:tc>
        <w:tc>
          <w:tcPr>
            <w:tcW w:type="dxa" w:w="4320"/>
          </w:tcPr>
          <w:p>
            <w:r>
              <w:t>Generalized itching and red raised skin rash (urticaria)</w:t>
            </w:r>
          </w:p>
        </w:tc>
      </w:tr>
      <w:tr>
        <w:tc>
          <w:tcPr>
            <w:tcW w:type="dxa" w:w="4320"/>
          </w:tcPr>
          <w:p>
            <w:r>
              <w:t>Action taken</w:t>
            </w:r>
          </w:p>
        </w:tc>
        <w:tc>
          <w:tcPr>
            <w:tcW w:type="dxa" w:w="4320"/>
          </w:tcPr>
          <w:p>
            <w:r>
              <w:t>Amoxicillin discontinued; antihistamine administered</w:t>
            </w:r>
          </w:p>
        </w:tc>
      </w:tr>
      <w:tr>
        <w:tc>
          <w:tcPr>
            <w:tcW w:type="dxa" w:w="4320"/>
          </w:tcPr>
          <w:p>
            <w:r>
              <w:t>Outcome</w:t>
            </w:r>
          </w:p>
        </w:tc>
        <w:tc>
          <w:tcPr>
            <w:tcW w:type="dxa" w:w="4320"/>
          </w:tcPr>
          <w:p>
            <w:r>
              <w:t>Recovered; symptoms resolved</w:t>
            </w:r>
          </w:p>
        </w:tc>
      </w:tr>
      <w:tr>
        <w:tc>
          <w:tcPr>
            <w:tcW w:type="dxa" w:w="4320"/>
          </w:tcPr>
          <w:p>
            <w:r>
              <w:t>Hospitalization</w:t>
            </w:r>
          </w:p>
        </w:tc>
        <w:tc>
          <w:tcPr>
            <w:tcW w:type="dxa" w:w="4320"/>
          </w:tcPr>
          <w:p>
            <w:r>
              <w:t>No</w:t>
            </w:r>
          </w:p>
        </w:tc>
      </w:tr>
      <w:tr>
        <w:tc>
          <w:tcPr>
            <w:tcW w:type="dxa" w:w="4320"/>
          </w:tcPr>
          <w:p>
            <w:r>
              <w:t>Relevant medical history</w:t>
            </w:r>
          </w:p>
        </w:tc>
        <w:tc>
          <w:tcPr>
            <w:tcW w:type="dxa" w:w="4320"/>
          </w:tcPr>
          <w:p>
            <w:r>
              <w:t>No relevant history reported in the simulated case</w:t>
            </w:r>
          </w:p>
        </w:tc>
      </w:tr>
      <w:tr>
        <w:tc>
          <w:tcPr>
            <w:tcW w:type="dxa" w:w="4320"/>
          </w:tcPr>
          <w:p>
            <w:r>
              <w:t>Concomitant medication</w:t>
            </w:r>
          </w:p>
        </w:tc>
        <w:tc>
          <w:tcPr>
            <w:tcW w:type="dxa" w:w="4320"/>
          </w:tcPr>
          <w:p>
            <w:r>
              <w:t>None reported in the simulated case</w:t>
            </w:r>
          </w:p>
        </w:tc>
      </w:tr>
      <w:tr>
        <w:tc>
          <w:tcPr>
            <w:tcW w:type="dxa" w:w="4320"/>
          </w:tcPr>
          <w:p>
            <w:r>
              <w:t>Dechallenge</w:t>
            </w:r>
          </w:p>
        </w:tc>
        <w:tc>
          <w:tcPr>
            <w:tcW w:type="dxa" w:w="4320"/>
          </w:tcPr>
          <w:p>
            <w:r>
              <w:t>Positive – symptoms improved after withdrawal of amoxicillin</w:t>
            </w:r>
          </w:p>
        </w:tc>
      </w:tr>
      <w:tr>
        <w:tc>
          <w:tcPr>
            <w:tcW w:type="dxa" w:w="4320"/>
          </w:tcPr>
          <w:p>
            <w:r>
              <w:t>Rechallenge</w:t>
            </w:r>
          </w:p>
        </w:tc>
        <w:tc>
          <w:tcPr>
            <w:tcW w:type="dxa" w:w="4320"/>
          </w:tcPr>
          <w:p>
            <w:r>
              <w:t>Not performed</w:t>
            </w:r>
          </w:p>
        </w:tc>
      </w:tr>
      <w:tr>
        <w:tc>
          <w:tcPr>
            <w:tcW w:type="dxa" w:w="4320"/>
          </w:tcPr>
          <w:p>
            <w:r>
              <w:t>Reporter</w:t>
            </w:r>
          </w:p>
        </w:tc>
        <w:tc>
          <w:tcPr>
            <w:tcW w:type="dxa" w:w="4320"/>
          </w:tcPr>
          <w:p>
            <w:r>
              <w:t>Student Pharmacovigilance Case Report – simulated training exercise</w:t>
            </w:r>
          </w:p>
        </w:tc>
      </w:tr>
    </w:tbl>
    <w:p>
      <w:pPr>
        <w:pStyle w:val="Heading1"/>
      </w:pPr>
      <w:r>
        <w:t>3. ADR Assessment</w:t>
      </w:r>
    </w:p>
    <w:p>
      <w:r>
        <w:t>The reported reaction is temporally associated with amoxicillin administration. The patient developed urticaria after starting the drug and improved after the drug was discontinued. The pattern is clinically compatible with a hypersensitivity-type adverse drug reaction.</w:t>
      </w:r>
    </w:p>
    <w:p>
      <w:pPr>
        <w:pStyle w:val="Heading1"/>
      </w:pPr>
      <w:r>
        <w:t>4. Documentation Summary</w:t>
      </w:r>
    </w:p>
    <w:p>
      <w:r>
        <w:t>Suspected ADR: Amoxicillin-associated urticaria. The suspected medicine was withdrawn, symptomatic treatment was provided, and the patient recovered. Rechallenge was not performed.</w:t>
      </w:r>
    </w:p>
    <w:p>
      <w:pPr>
        <w:pStyle w:val="Heading1"/>
      </w:pPr>
      <w:r>
        <w:t>5. Final Statement</w:t>
      </w:r>
    </w:p>
    <w:p>
      <w:r>
        <w:t>This simulated case has been documented as an Individual ADR report for pharmacovigilance training. The report contains the patient profile, suspected medicine, reaction, treatment/action taken, outcome, and relevant assessment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