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rPr/>
        <w:t xml:space="preserve">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microbially-explicit 4-pool versus Century stabilization (Supplementary Figure S5, Supplementary table 2),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S12–S13, added in revision, document the crop-response calibration and the OFRA tropical validation. (vi) Supplementary Note 8, added in this revision, documents two internal-consistency corrections applied to the model, the invariance tests that now guard against their recurrence, 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rPr/>
        <w:t>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Regional BNF values are: North America 25 kg N ha⁻¹ yr⁻¹, Europe 25, East Asia 20, South Asia 20, Southeast Asia 25, Latin America 35, Sub-Saharan Africa 15, Former Soviet Union 20 kg N ha⁻¹ yr⁻¹.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rPr/>
        <w:t>The Century/RothC framework represents SOM stabilization through abiotic humification transfers between pools. An alternative class of models, grounded in microbially-explicit SOM formation theory and microbially-explicit SOM formation frameworks [15–18], routes all SOM formation through microbial biomass: residue carbon enters a particulate organic matter (POM) pool, decomposes to dissolved organic matter (DOM), is assimilated by microbial biomass (MBC) with a carbon use efficiency (CUE) that determines the fraction retained as biomass versus respired, and upon microbial death partitions as necromass into mineral-associated organic matter (MAOM), POM, and DOM. MAOM accumulation is constrained by mineral sorption capacity (Q</w:t>
      </w:r>
      <w:r>
        <w:rPr>
          <w:vertAlign w:val="subscript"/>
        </w:rPr>
        <w:t>max</w:t>
      </w:r>
      <w:r>
        <w:rPr/>
        <w:t>),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4457700"/>
                    </a:xfrm>
                    <a:prstGeom prst="rect">
                      <a:avLst/>
                    </a:prstGeom>
                    <a:noFill/>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w:t>
      </w:r>
      <m:oMath xmlns:m="http://schemas.openxmlformats.org/officeDocument/2006/math">
        <m:sSub>
          <m:e>
            <m:r>
              <m:t xml:space="preserve">ε</m:t>
            </m:r>
          </m:e>
          <m:sub>
            <m:r>
              <m:t xml:space="preserve">L</m:t>
            </m:r>
          </m:sub>
        </m:sSub>
        <m:r>
          <m:t xml:space="preserve">,</m:t>
        </m:r>
        <m:r>
          <m:t xml:space="preserve">PY</m:t>
        </m:r>
      </m:oMath>
      <w:r>
        <w:rPr/>
        <w:t>).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 xml:space="preserve">All economic variables are written as log-changes from the no-shock baseline (subscript 0): </w:t>
      </w:r>
      <m:oMath xmlns:m="http://schemas.openxmlformats.org/officeDocument/2006/math">
        <m:acc>
          <m:accPr>
            <m:chr m:val="^"/>
          </m:accPr>
          <m:e>
            <m:r>
              <m:t xml:space="preserve">F</m:t>
            </m:r>
          </m:e>
        </m:acc>
        <m:r>
          <m:rPr>
            <m:lit/>
            <m:nor/>
          </m:rPr>
          <m:t xml:space="preserve">=</m:t>
        </m:r>
        <m:r>
          <m:t xml:space="preserve">ln</m:t>
        </m:r>
        <m:d>
          <m:dPr>
            <m:begChr m:val="("/>
            <m:endChr m:val=")"/>
          </m:dPr>
          <m:e>
            <m:f>
              <m:num>
                <m:r>
                  <m:t xml:space="preserve">F</m:t>
                </m:r>
              </m:num>
              <m:den>
                <m:sSup>
                  <m:e>
                    <m:r>
                      <m:t xml:space="preserve">F</m:t>
                    </m:r>
                  </m:e>
                  <m:sup>
                    <m:r>
                      <m:t xml:space="preserve">0</m:t>
                    </m:r>
                  </m:sup>
                </m:sSup>
              </m:den>
            </m:f>
          </m:e>
        </m:d>
        <m:r>
          <m:t xml:space="preserve">,</m:t>
        </m:r>
        <m:r>
          <m:rPr>
            <m:lit/>
            <m:nor/>
          </m:rPr>
          <m:t xml:space="preserve"> </m:t>
        </m:r>
        <m:sSub>
          <m:e>
            <m:acc>
              <m:accPr>
                <m:chr m:val="^"/>
              </m:accPr>
              <m:e>
                <m:r>
                  <m:t xml:space="preserve">P</m:t>
                </m:r>
              </m:e>
            </m:acc>
          </m:e>
          <m:sub>
            <m:r>
              <m:t xml:space="preserve">F</m:t>
            </m:r>
          </m:sub>
        </m:sSub>
        <m:r>
          <m:rPr>
            <m:lit/>
            <m:nor/>
          </m:rPr>
          <m:t xml:space="preserve">=</m:t>
        </m:r>
        <m:r>
          <m:t xml:space="preserve">ln</m:t>
        </m:r>
        <m:d>
          <m:dPr>
            <m:begChr m:val="("/>
            <m:endChr m:val=")"/>
          </m:dPr>
          <m:e>
            <m:f>
              <m:num>
                <m:sSub>
                  <m:e>
                    <m:r>
                      <m:t xml:space="preserve">P</m:t>
                    </m:r>
                  </m:e>
                  <m:sub>
                    <m:r>
                      <m:t xml:space="preserve">F</m:t>
                    </m:r>
                  </m:sub>
                </m:sSub>
              </m:num>
              <m:den>
                <m:sSub>
                  <m:e>
                    <m:r>
                      <m:t xml:space="preserve">P</m:t>
                    </m:r>
                  </m:e>
                  <m:sub>
                    <m:r>
                      <m:t xml:space="preserve">F</m:t>
                    </m:r>
                  </m:sub>
                </m:sSub>
                <m:r>
                  <m:t xml:space="preserve">,</m:t>
                </m:r>
                <m:r>
                  <m:t xml:space="preserve">0</m:t>
                </m:r>
              </m:den>
            </m:f>
          </m:e>
        </m:d>
        <m:r>
          <m:t xml:space="preserve">,</m:t>
        </m:r>
      </m:oMath>
      <w:r>
        <w:rPr/>
        <w:t xml:space="preserve">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 xml:space="preserve">Regional fertilizer use responds to the regional fertilizer price with constant elasticity </w:t>
      </w:r>
      <m:oMath xmlns:m="http://schemas.openxmlformats.org/officeDocument/2006/math">
        <m:sSub>
          <m:e>
            <m:r>
              <m:t xml:space="preserve">ε</m:t>
            </m:r>
          </m:e>
          <m:sub>
            <m:r>
              <m:t xml:space="preserve">F</m:t>
            </m:r>
          </m:sub>
        </m:sSub>
        <m:r>
          <m:t xml:space="preserve">,</m:t>
        </m:r>
        <m:r>
          <m:t xml:space="preserve">PF</m:t>
        </m:r>
      </m:oMath>
      <w:r>
        <w:rPr/>
        <w:t xml:space="preserve"> (regional values −0.20 in North America, −0.50 in Sub-Saharan Africa), to the regional food price with cross-elasticity </w:t>
      </w:r>
      <m:oMath xmlns:m="http://schemas.openxmlformats.org/officeDocument/2006/math">
        <m:sSub>
          <m:e>
            <m:r>
              <m:t xml:space="preserve">ε</m:t>
            </m:r>
          </m:e>
          <m:sub>
            <m:r>
              <m:t xml:space="preserve">F</m:t>
            </m:r>
          </m:sub>
        </m:sSub>
        <m:r>
          <m:t xml:space="preserve">,</m:t>
        </m:r>
        <m:r>
          <m:t xml:space="preserve">PY</m:t>
        </m:r>
      </m:oMath>
      <w:r>
        <w:rPr/>
        <w:t xml:space="preserve"> (positive: higher output prices raise fertilizer use; default 0.10, with 0.03 in SSA), and, under sustained disruption in S3, SC1 and SC2, to the regional soil mineralized-N flux through </w:t>
      </w:r>
      <m:oMath xmlns:m="http://schemas.openxmlformats.org/officeDocument/2006/math">
        <m:sSub>
          <m:e>
            <m:r>
              <m:t xml:space="preserve">ε</m:t>
            </m:r>
          </m:e>
          <m:sub>
            <m:r>
              <m:t xml:space="preserve">F</m:t>
            </m:r>
          </m:sub>
        </m:sSub>
        <m:r>
          <m:t xml:space="preserve">,</m:t>
        </m:r>
        <m:r>
          <m:t xml:space="preserve">N</m:t>
        </m:r>
      </m:oMath>
      <w:r>
        <w:rPr/>
        <w:t xml:space="preserve">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F</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PF</m:t>
        </m:r>
        <m:r>
          <m:rPr>
            <m:lit/>
            <m:nor/>
          </m:rPr>
          <m:t xml:space="preserve"> </m:t>
        </m:r>
        <m:r>
          <m:t xml:space="preserve">·</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PY</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N</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oMath>
      <w:r>
        <w:rPr/>
        <w:tab/>
        <w:t>(1)</w:t>
      </w:r>
    </w:p>
    <w:p>
      <w:pPr>
        <w:pStyle w:val="Normal"/>
        <w:spacing w:lineRule="auto" w:line="480" w:before="0" w:after="160"/>
        <w:rPr/>
      </w:pPr>
      <w:r>
        <w:rPr/>
        <w:t xml:space="preserve">The published </w:t>
      </w:r>
      <m:oMath xmlns:m="http://schemas.openxmlformats.org/officeDocument/2006/math">
        <m:sSub>
          <m:e>
            <m:r>
              <m:t xml:space="preserve">ε</m:t>
            </m:r>
          </m:e>
          <m:sub>
            <m:r>
              <m:t xml:space="preserve">F</m:t>
            </m:r>
          </m:sub>
        </m:sSub>
        <m:r>
          <m:t xml:space="preserve">,</m:t>
        </m:r>
        <m:r>
          <m:t xml:space="preserve">PF</m:t>
        </m:r>
      </m:oMath>
      <w:r>
        <w:rPr/>
        <w:t xml:space="preserve">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Q</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η</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w:r>
        <w:rP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α</m:t>
        </m:r>
        <m:r>
          <m:rPr>
            <m:lit/>
            <m:nor/>
          </m:rPr>
          <m:t xml:space="preserve"> </m:t>
        </m:r>
        <m:r>
          <m:t xml:space="preserve">·</m:t>
        </m:r>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β</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γ</m:t>
        </m:r>
        <m:r>
          <m:rPr>
            <m:lit/>
            <m:nor/>
          </m:rPr>
          <m:t xml:space="preserve"> </m:t>
        </m:r>
        <m:r>
          <m:t xml:space="preserve">·</m:t>
        </m:r>
        <m:r>
          <m:rPr>
            <m:lit/>
            <m:nor/>
          </m:rPr>
          <m:t xml:space="preserve"> </m:t>
        </m:r>
        <m:sSub>
          <m:e>
            <m:acc>
              <m:accPr>
                <m:chr m:val="^"/>
              </m:accPr>
              <m:e>
                <m:r>
                  <m:t xml:space="preserve">F</m:t>
                </m:r>
              </m:e>
            </m:acc>
          </m:e>
          <m:sub>
            <m:r>
              <m:t xml:space="preserve">r</m:t>
            </m:r>
          </m:sub>
        </m:sSub>
        <m:r>
          <m:t xml:space="preserve">,</m:t>
        </m:r>
        <m:r>
          <m:t xml:space="preserve">t</m:t>
        </m:r>
      </m:oMath>
      <w:r>
        <w:rPr/>
        <w:tab/>
        <w:t>(3)</w:t>
      </w:r>
    </w:p>
    <w:p>
      <w:pPr>
        <w:pStyle w:val="Normal"/>
        <w:spacing w:lineRule="auto" w:line="480" w:before="0" w:after="160"/>
        <w:rPr/>
      </w:pPr>
      <w:r>
        <w:t xml:space="preserve">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t>
      </w:r>
      <w:del w:id="9001" w:author="Matthew Wallenstein" w:date="2026-08-29T12:00:00Z">
        <w:r>
          <w:delText xml:space="preserve">Where the stoichiometric N-cost cap on yield binds, β + γ collapse to unity in the linear regime. Market clearing </w:delText>
        </w:r>
      </w:del>
      <w:ins w:id="9002" w:author="Matthew Wallenstein" w:date="2026-08-29T12:00:00Z">
        <w:r>
          <w:t xml:space="preserve">Where the stoichiometric N-cost cap on yield binds, β + γ collapse to unity in the linear regime. These elasticities are reported as diagnostics; the clearing itself equates demand with the realized biophysical production response as described above. Market clearing </w:t>
        </w:r>
      </w:ins>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 xml:space="preserve">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ab/>
        <w:t>(4)</w:t>
      </w:r>
    </w:p>
    <w:p>
      <w:pPr>
        <w:pStyle w:val="Heading3"/>
        <w:spacing w:lineRule="auto" w:line="480"/>
        <w:rPr/>
      </w:pPr>
      <w:r>
        <w:rPr/>
        <w:t>Land allocation</w:t>
      </w:r>
    </w:p>
    <w:p>
      <w:pPr>
        <w:pStyle w:val="Normal"/>
        <w:spacing w:lineRule="auto" w:line="480" w:before="0" w:after="160"/>
        <w:rPr/>
      </w:pPr>
      <w:r>
        <w:rPr/>
        <w:t xml:space="preserve">Land area responds to food-price changes with a derived coefficient </w:t>
      </w:r>
      <m:oMath xmlns:m="http://schemas.openxmlformats.org/officeDocument/2006/math">
        <m:sSub>
          <m:e>
            <m:r>
              <m:t xml:space="preserve">λ</m:t>
            </m:r>
          </m:e>
          <m:sub>
            <m:r>
              <m:t xml:space="preserve">L</m:t>
            </m:r>
          </m:sub>
        </m:sSub>
      </m:oMath>
      <w:r>
        <w:rPr/>
        <w:t xml:space="preserve"> that combines three regional elasticities: a land-demand elasticity with respect to land price (</w:t>
      </w:r>
      <m:oMath xmlns:m="http://schemas.openxmlformats.org/officeDocument/2006/math">
        <m:sSub>
          <m:e>
            <m:r>
              <m:t xml:space="preserve">ε</m:t>
            </m:r>
          </m:e>
          <m:sub>
            <m:r>
              <m:t xml:space="preserve">LD</m:t>
            </m:r>
          </m:sub>
        </m:sSub>
        <m:r>
          <m:t xml:space="preserve">,</m:t>
        </m:r>
        <m:r>
          <m:t xml:space="preserve">PL</m:t>
        </m:r>
      </m:oMath>
      <w:r>
        <w:rPr/>
        <w:t>, default −0.30), a land-demand cross-elasticity with respect to food price (</w:t>
      </w:r>
      <m:oMath xmlns:m="http://schemas.openxmlformats.org/officeDocument/2006/math">
        <m:sSub>
          <m:e>
            <m:r>
              <m:t xml:space="preserve">ε</m:t>
            </m:r>
          </m:e>
          <m:sub>
            <m:r>
              <m:t xml:space="preserve">LD</m:t>
            </m:r>
          </m:sub>
        </m:sSub>
        <m:r>
          <m:t xml:space="preserve">,</m:t>
        </m:r>
        <m:r>
          <m:t xml:space="preserve">PY</m:t>
        </m:r>
      </m:oMath>
      <w:r>
        <w:rPr/>
        <w:t>, 0.15 to 0.25), and a land-supply elasticity with respect to land price (</w:t>
      </w:r>
      <m:oMath xmlns:m="http://schemas.openxmlformats.org/officeDocument/2006/math">
        <m:sSub>
          <m:e>
            <m:r>
              <m:t xml:space="preserve">ε</m:t>
            </m:r>
          </m:e>
          <m:sub>
            <m:r>
              <m:t xml:space="preserve">LS</m:t>
            </m:r>
          </m:sub>
        </m:sSub>
        <m:r>
          <m:t xml:space="preserve">,</m:t>
        </m:r>
        <m:r>
          <m:t xml:space="preserve">PL</m:t>
        </m:r>
      </m:oMath>
      <w:r>
        <w:rPr/>
        <w:t>,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λ</m:t>
            </m:r>
          </m:e>
          <m:sub>
            <m:r>
              <m:t xml:space="preserve">L</m:t>
            </m:r>
          </m:sub>
        </m:sSub>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t xml:space="preserve">,</m:t>
        </m:r>
        <m:sSub>
          <m:e>
            <m:r>
              <m:t xml:space="preserve">λ</m:t>
            </m:r>
          </m:e>
          <m:sub>
            <m:r>
              <m:t xml:space="preserve">L</m:t>
            </m:r>
          </m:sub>
        </m:sSub>
        <m:r>
          <m:rPr>
            <m:lit/>
            <m:nor/>
          </m:rPr>
          <m:t xml:space="preserve">=</m:t>
        </m:r>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r>
        <w:rPr/>
        <w:tab/>
        <w:t>(5)</w:t>
      </w:r>
    </w:p>
    <w:p>
      <w:pPr>
        <w:pStyle w:val="Normal"/>
        <w:spacing w:lineRule="auto" w:line="480" w:before="0" w:after="160"/>
        <w:rPr/>
      </w:pPr>
      <w:r>
        <w:rPr/>
      </w:r>
      <m:oMath xmlns:m="http://schemas.openxmlformats.org/officeDocument/2006/math">
        <m:sSub>
          <m:e>
            <m:r>
              <m:t xml:space="preserve">λ</m:t>
            </m:r>
          </m:e>
          <m:sub>
            <m:r>
              <m:t xml:space="preserve">L</m:t>
            </m:r>
          </m:sub>
        </m:sSub>
      </m:oMath>
      <w:r>
        <w:rPr/>
        <w:t xml:space="preserve"> therefore varies across regions: ~0.07 in Europe and other land-constrained regions, ~0.11 in North America, and ~0.18 in frontier regions (Latin America, Sub-Saharan Africa) where </w:t>
      </w:r>
      <m:oMath xmlns:m="http://schemas.openxmlformats.org/officeDocument/2006/math">
        <m:sSub>
          <m:e>
            <m:r>
              <m:t xml:space="preserve">ε</m:t>
            </m:r>
          </m:e>
          <m:sub>
            <m:r>
              <m:t xml:space="preserve">LS</m:t>
            </m:r>
          </m:sub>
        </m:sSub>
        <m:r>
          <m:t xml:space="preserve">,</m:t>
        </m:r>
        <m:r>
          <m:t xml:space="preserve">PL</m:t>
        </m:r>
      </m:oMath>
      <w:r>
        <w:rPr/>
        <w:t xml:space="preserv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 xml:space="preserve">The economically determined fertilizer rate </w:t>
      </w:r>
      <m:oMath xmlns:m="http://schemas.openxmlformats.org/officeDocument/2006/math">
        <m:sSub>
          <m:e>
            <m:r>
              <m:t xml:space="preserve">F</m:t>
            </m:r>
          </m:e>
          <m:sub>
            <m:r>
              <m:t xml:space="preserve">r</m:t>
            </m:r>
            <m:r>
              <m:t xml:space="preserve">,</m:t>
            </m:r>
            <m:r>
              <m:t xml:space="preserve">t</m:t>
            </m:r>
          </m:sub>
        </m:sSub>
      </m:oMath>
      <w:r>
        <w:rPr/>
        <w:t xml:space="preserv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r>
              <m:t xml:space="preserve">y</m:t>
            </m:r>
          </m:e>
          <m:sub>
            <m:r>
              <m:t xml:space="preserve">r</m:t>
            </m:r>
          </m:sub>
        </m:sSub>
        <m:r>
          <m:t xml:space="preserve">,</m:t>
        </m:r>
        <m:r>
          <m:t xml:space="preserve">t</m:t>
        </m:r>
        <m:r>
          <m:rPr>
            <m:lit/>
            <m:nor/>
          </m:rPr>
          <m:t xml:space="preserve"> </m:t>
        </m:r>
        <m:r>
          <m:rPr>
            <m:lit/>
            <m:nor/>
          </m:rPr>
          <m:t xml:space="preserve">=</m:t>
        </m:r>
        <m:r>
          <m:t xml:space="preserve">min</m:t>
        </m:r>
        <m:d>
          <m:dPr>
            <m:begChr m:val="["/>
            <m:endChr m:val="]"/>
          </m:dPr>
          <m:e>
            <m:r>
              <m:rPr>
                <m:lit/>
                <m:nor/>
              </m:rPr>
              <m:t xml:space="preserve"> </m:t>
            </m:r>
            <m:sSub>
              <m:e>
                <m:r>
                  <m:t xml:space="preserve">y</m:t>
                </m:r>
              </m:e>
              <m:sub>
                <m:r>
                  <m:t xml:space="preserve">max</m:t>
                </m:r>
              </m:sub>
            </m:sSub>
            <m:r>
              <m:t xml:space="preserve">·</m:t>
            </m:r>
            <m:r>
              <m:rPr>
                <m:lit/>
                <m:nor/>
              </m:rPr>
              <m:t xml:space="preserve"> </m:t>
            </m:r>
            <m:d>
              <m:dPr>
                <m:begChr m:val="("/>
                <m:endChr m:val=")"/>
              </m:dPr>
              <m:e>
                <m:r>
                  <m:t xml:space="preserve">1</m:t>
                </m:r>
                <m:r>
                  <m:rPr>
                    <m:lit/>
                    <m:nor/>
                  </m:rPr>
                  <m:t xml:space="preserve"> </m:t>
                </m:r>
                <m:r>
                  <m:rPr>
                    <m:lit/>
                    <m:nor/>
                  </m:rPr>
                  <m:t xml:space="preserve">-</m:t>
                </m:r>
                <m:r>
                  <m:t xml:space="preserve">exp</m:t>
                </m:r>
                <m:d>
                  <m:dPr>
                    <m:begChr m:val="("/>
                    <m:endChr m:val=")"/>
                  </m:dPr>
                  <m:e>
                    <m:r>
                      <m:rPr>
                        <m:lit/>
                        <m:nor/>
                      </m:rPr>
                      <m:t xml:space="preserve">-</m:t>
                    </m:r>
                    <m:r>
                      <m:t xml:space="preserve">c</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e>
                </m:d>
              </m:e>
            </m:d>
            <m:r>
              <m:t xml:space="preserve">·</m:t>
            </m:r>
            <m:r>
              <m:rPr>
                <m:lit/>
                <m:nor/>
              </m:rPr>
              <m:t xml:space="preserve"> </m:t>
            </m:r>
            <m:f>
              <m:num>
                <m:r>
                  <m:t xml:space="preserve">w</m:t>
                </m:r>
                <m:sSub>
                  <m:e>
                    <m:r>
                      <m:t xml:space="preserve">s</m:t>
                    </m:r>
                  </m:e>
                  <m:sub>
                    <m:r>
                      <m:t xml:space="preserve">r</m:t>
                    </m:r>
                  </m:sub>
                </m:sSub>
                <m:r>
                  <m:t xml:space="preserve">,</m:t>
                </m:r>
                <m:r>
                  <m:t xml:space="preserve">t</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num>
              <m:den>
                <m:sSub>
                  <m:e>
                    <m:r>
                      <m:t xml:space="preserve">n</m:t>
                    </m:r>
                  </m:e>
                  <m:sub>
                    <m:r>
                      <m:t xml:space="preserve">cost</m:t>
                    </m:r>
                  </m:sub>
                </m:sSub>
              </m:den>
            </m:f>
          </m:e>
        </m:d>
      </m:oMath>
      <w:r>
        <w:rP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r>
      <m:oMath xmlns:m="http://schemas.openxmlformats.org/officeDocument/2006/math">
        <m:r>
          <m:t xml:space="preserve">Res</m:t>
        </m:r>
        <m:sSub>
          <m:e>
            <m:r>
              <m:t xml:space="preserve">C</m:t>
            </m:r>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y</m:t>
            </m:r>
          </m:e>
          <m:sub>
            <m:r>
              <m:t xml:space="preserve">r</m:t>
            </m:r>
          </m:sub>
        </m:sSub>
        <m:r>
          <m:t xml:space="preserve">,</m:t>
        </m:r>
        <m:r>
          <m:t xml:space="preserve">t</m:t>
        </m:r>
        <m:r>
          <m:rPr>
            <m:lit/>
            <m:nor/>
          </m:rPr>
          <m:t xml:space="preserve"> </m:t>
        </m:r>
        <m:r>
          <m:t xml:space="preserve">·</m:t>
        </m:r>
        <m:r>
          <m:rPr>
            <m:lit/>
            <m:nor/>
          </m:rPr>
          <m:t xml:space="preserve"> </m:t>
        </m:r>
        <m:d>
          <m:dPr>
            <m:begChr m:val="("/>
            <m:endChr m:val=")"/>
          </m:dPr>
          <m:e>
            <m:r>
              <m:t xml:space="preserve">residue</m:t>
            </m:r>
            <m:r>
              <m:t xml:space="preserve">:</m:t>
            </m:r>
            <m:r>
              <m:t xml:space="preserve">grain</m:t>
            </m:r>
          </m:e>
        </m:d>
        <m:r>
          <m:t xml:space="preserve">·</m:t>
        </m:r>
        <m:r>
          <m:rPr>
            <m:lit/>
            <m:nor/>
          </m:rPr>
          <m:t xml:space="preserve"> </m:t>
        </m:r>
        <m:d>
          <m:dPr>
            <m:begChr m:val="("/>
            <m:endChr m:val=")"/>
          </m:dPr>
          <m:e>
            <m:r>
              <m:t xml:space="preserve">C</m:t>
            </m:r>
            <m:r>
              <m:rPr>
                <m:lit/>
                <m:nor/>
              </m:rPr>
              <m:t xml:space="preserve"> </m:t>
            </m:r>
            <m:r>
              <m:t xml:space="preserve">fraction</m:t>
            </m:r>
          </m:e>
        </m:d>
        <m:r>
          <m:t xml:space="preserve">·</m:t>
        </m:r>
        <m:r>
          <m:rPr>
            <m:lit/>
            <m:nor/>
          </m:rPr>
          <m:t xml:space="preserve"> </m:t>
        </m:r>
        <m:r>
          <m:t xml:space="preserve">CRE</m:t>
        </m:r>
        <m:r>
          <m:rPr>
            <m:lit/>
            <m:nor/>
          </m:rPr>
          <m:t xml:space="preserve"> </m:t>
        </m:r>
        <m:r>
          <m:t xml:space="preserve">·</m:t>
        </m:r>
        <m:r>
          <m:rPr>
            <m:lit/>
            <m:nor/>
          </m:rPr>
          <m:t xml:space="preserve"> </m:t>
        </m:r>
        <m:d>
          <m:dPr>
            <m:begChr m:val="["/>
            <m:endChr m:val="]"/>
          </m:dPr>
          <m:e>
            <m:r>
              <m:rPr>
                <m:lit/>
                <m:nor/>
              </m:rPr>
              <m:t xml:space="preserve"> </m:t>
            </m:r>
            <m:r>
              <m:t xml:space="preserve">residue</m:t>
            </m:r>
            <m:r>
              <m:rPr>
                <m:lit/>
                <m:nor/>
              </m:rPr>
              <m:t xml:space="preserve"> </m:t>
            </m:r>
            <m:r>
              <m:t xml:space="preserve">retention</m:t>
            </m:r>
            <m:r>
              <m:rPr>
                <m:lit/>
                <m:nor/>
              </m:rPr>
              <m:t xml:space="preserve"> </m:t>
            </m:r>
            <m:r>
              <m:rPr>
                <m:lit/>
                <m:nor/>
              </m:rPr>
              <m:t xml:space="preserve">+</m:t>
            </m:r>
            <m:r>
              <m:rPr>
                <m:lit/>
                <m:nor/>
              </m:rPr>
              <m:t xml:space="preserve"> </m:t>
            </m:r>
            <m:d>
              <m:dPr>
                <m:begChr m:val="("/>
                <m:endChr m:val=")"/>
              </m:dPr>
              <m:e>
                <m:r>
                  <m:t xml:space="preserve">root</m:t>
                </m:r>
                <m:r>
                  <m:t xml:space="preserve">:</m:t>
                </m:r>
                <m:r>
                  <m:t xml:space="preserve">shoot</m:t>
                </m:r>
                <m:r>
                  <m:rPr>
                    <m:lit/>
                    <m:nor/>
                  </m:rPr>
                  <m:t xml:space="preserve"> </m:t>
                </m:r>
                <m:r>
                  <m:t xml:space="preserve">ratio</m:t>
                </m:r>
              </m:e>
            </m:d>
          </m:e>
        </m:d>
      </m:oMath>
      <w:r>
        <w:rPr/>
        <w:tab/>
        <w:t>(7)</w:t>
      </w:r>
    </w:p>
    <w:p>
      <w:pPr>
        <w:pStyle w:val="Normal"/>
        <w:spacing w:lineRule="auto" w:line="480" w:before="0" w:after="160"/>
        <w:rPr/>
      </w:pPr>
      <w:r>
        <w:rPr/>
      </w:r>
      <m:oMath xmlns:m="http://schemas.openxmlformats.org/officeDocument/2006/math">
        <m:r>
          <m:t xml:space="preserve">SO</m:t>
        </m:r>
        <m:sSub>
          <m:e>
            <m:r>
              <m:t xml:space="preserve">C</m:t>
            </m:r>
          </m:e>
          <m:sub>
            <m:r>
              <m:t xml:space="preserve">r</m:t>
            </m:r>
          </m:sub>
        </m:sSub>
        <m:r>
          <m:t xml:space="preserve">,</m:t>
        </m:r>
        <m:r>
          <m:t xml:space="preserve">t</m:t>
        </m:r>
        <m:r>
          <m:rPr>
            <m:lit/>
            <m:nor/>
          </m:rPr>
          <m:t xml:space="preserve">+</m:t>
        </m:r>
        <m:r>
          <m:t xml:space="preserve">1</m:t>
        </m:r>
      </m:oMath>
      <w:r>
        <w:rPr/>
        <w:t xml:space="preserve"> 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 xml:space="preserve">Fertilizer-demand and food-demand elasticities are drawn from the FDME meta-elasticities framework [23, 25] with regional calibration against the empirical literature [24, 34]. The cross-elasticity </w:t>
      </w:r>
      <m:oMath xmlns:m="http://schemas.openxmlformats.org/officeDocument/2006/math">
        <m:sSub>
          <m:e>
            <m:r>
              <m:t xml:space="preserve">ε</m:t>
            </m:r>
          </m:e>
          <m:sub>
            <m:r>
              <m:t xml:space="preserve">F</m:t>
            </m:r>
          </m:sub>
        </m:sSub>
        <m:r>
          <m:t xml:space="preserve">,</m:t>
        </m:r>
        <m:r>
          <m:t xml:space="preserve">PY</m:t>
        </m:r>
      </m:oMath>
      <w:r>
        <w:rPr/>
        <w:t xml:space="preserve">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2300"/>
        <w:gridCol w:w="43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ε</m:t>
                    </m:r>
                  </m:e>
                  <m:sub>
                    <m:r>
                      <m:t xml:space="preserve">F</m:t>
                    </m:r>
                  </m:sub>
                </m:sSub>
                <m:r>
                  <m:t xml:space="preserve">,</m:t>
                </m:r>
                <m:r>
                  <m:t xml:space="preserve">PY</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channels +</w:t>
            </w:r>
            <w:r>
              <w:rPr/>
            </w:r>
            <m:oMath xmlns:m="http://schemas.openxmlformats.org/officeDocument/2006/math">
              <m:r>
                <m:rPr>
                  <m:lit/>
                  <m:nor/>
                </m:rPr>
                <m:t xml:space="preserve"> </m:t>
              </m:r>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S3 channels + </w:t>
            </w:r>
            <w:r>
              <w:rPr/>
            </w:r>
            <m:oMath xmlns:m="http://schemas.openxmlformats.org/officeDocument/2006/math">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66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Symbol</w:t>
            </w:r>
          </w:p>
        </w:tc>
        <w:tc>
          <w:tcPr>
            <w:tcW w:w="66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F</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F</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F</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Q</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Q</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Y</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Regional crop production = </w:t>
            </w:r>
            <w:r>
              <w:rPr/>
            </w:r>
            <m:oMath xmlns:m="http://schemas.openxmlformats.org/officeDocument/2006/math">
              <m:sSub>
                <m:e>
                  <m:r>
                    <m:t xml:space="preserve">y</m:t>
                  </m:r>
                </m:e>
                <m:sub>
                  <m:r>
                    <m:t xml:space="preserve">r</m:t>
                  </m:r>
                </m:sub>
              </m:sSub>
              <m:r>
                <m:t xml:space="preserve">,</m:t>
              </m:r>
              <m:r>
                <m:t xml:space="preserve">t</m:t>
              </m:r>
              <m:r>
                <m:rPr>
                  <m:lit/>
                  <m:nor/>
                </m:rPr>
                <m:t xml:space="preserve"> </m:t>
              </m:r>
              <m:r>
                <m:t xml:space="preserve">·</m:t>
              </m:r>
              <m:r>
                <m:rPr>
                  <m:lit/>
                  <m:nor/>
                </m:rPr>
                <m:t xml:space="preserve"> </m:t>
              </m:r>
              <m:sSub>
                <m:e>
                  <m:r>
                    <m:t xml:space="preserve">A</m:t>
                  </m:r>
                </m:e>
                <m:sub>
                  <m:r>
                    <m:t xml:space="preserve">r</m:t>
                  </m:r>
                </m:sub>
              </m:sSub>
              <m:r>
                <m:t xml:space="preserve">,</m:t>
              </m:r>
              <m:r>
                <m:t xml:space="preserve">t</m:t>
              </m:r>
            </m:oMath>
            <w:r>
              <w:rPr>
                <w:sz w:val="20"/>
                <w:szCs w:val="20"/>
              </w:rPr>
              <w:t>;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Y</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A</m:t>
                    </m:r>
                  </m:e>
                  <m:sub>
                    <m:r>
                      <m:t xml:space="preserve">r</m:t>
                    </m:r>
                  </m:sub>
                </m:sSub>
                <m:r>
                  <m:t xml:space="preserve">,</m:t>
                </m:r>
                <m:r>
                  <m:t xml:space="preserve">t</m:t>
                </m:r>
                <m:r>
                  <m:rPr>
                    <m:lit/>
                    <m:nor/>
                  </m:rPr>
                  <m:t xml:space="preserve"> </m:t>
                </m:r>
                <m:d>
                  <m:dPr>
                    <m:begChr m:val="("/>
                    <m:endChr m:val=")"/>
                  </m:dPr>
                  <m:e>
                    <m:r>
                      <m:rPr>
                        <m:lit/>
                        <m:nor/>
                      </m:rPr>
                      <m:t xml:space="preserve"> </m:t>
                    </m:r>
                    <m:sSub>
                      <m:e>
                        <m:r>
                          <m:t xml:space="preserve">L</m:t>
                        </m:r>
                      </m:e>
                      <m:sub>
                        <m:r>
                          <m:t xml:space="preserve">r</m:t>
                        </m:r>
                      </m:sub>
                    </m:sSub>
                    <m:r>
                      <m:t xml:space="preserve">,</m:t>
                    </m:r>
                    <m:r>
                      <m:t xml:space="preserve">t</m:t>
                    </m:r>
                  </m:e>
                </m:d>
                <m:r>
                  <m:t xml:space="preserve">,</m:t>
                </m:r>
                <m:r>
                  <m:rPr>
                    <m:lit/>
                    <m:nor/>
                  </m:rPr>
                  <m:t xml:space="preserve"> </m:t>
                </m:r>
                <m:r>
                  <m:rPr>
                    <m:lit/>
                    <m:nor/>
                  </m:rPr>
                  <m:t xml:space="preserve"> </m:t>
                </m:r>
                <m:sSub>
                  <m:e>
                    <m:acc>
                      <m:accPr>
                        <m:chr m:val="^"/>
                      </m:accPr>
                      <m:e>
                        <m:r>
                          <m:t xml:space="preserve">L</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cropland area (Mha); log-change form</w:t>
            </w:r>
            <w:r>
              <w:rPr/>
            </w:r>
            <m:oMath xmlns:m="http://schemas.openxmlformats.org/officeDocument/2006/math">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t xml:space="preserve">ln</m:t>
              </m:r>
              <m:d>
                <m:dPr>
                  <m:begChr m:val="("/>
                  <m:endChr m:val=")"/>
                </m:dPr>
                <m:e>
                  <m:sSub>
                    <m:e>
                      <m:r>
                        <m:t xml:space="preserve">A</m:t>
                      </m:r>
                    </m:e>
                    <m:sub>
                      <m:r>
                        <m:t xml:space="preserve">r</m:t>
                      </m:r>
                    </m:sub>
                  </m:sSub>
                  <m:r>
                    <m:t xml:space="preserve">,</m:t>
                  </m:r>
                  <m:r>
                    <m:t xml:space="preserve">t</m:t>
                  </m:r>
                  <m:r>
                    <m:t xml:space="preserve">÷</m:t>
                  </m:r>
                  <m:sSub>
                    <m:e>
                      <m:r>
                        <m:t xml:space="preserve">A</m:t>
                      </m:r>
                    </m:e>
                    <m:sub>
                      <m:r>
                        <m:t xml:space="preserve">r</m:t>
                      </m:r>
                    </m:sub>
                  </m:sSub>
                  <m:r>
                    <m:t xml:space="preserve">,</m:t>
                  </m:r>
                  <m:r>
                    <m:t xml:space="preserve">0</m:t>
                  </m:r>
                </m:e>
              </m:d>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up</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N</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t>
                </m:r>
                <m:sSub>
                  <m:e>
                    <m:r>
                      <m:t xml:space="preserve">C</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w</m:t>
                </m:r>
                <m:sSub>
                  <m:e>
                    <m:r>
                      <m:t xml:space="preserve">s</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α</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β</m:t>
                </m:r>
                <m:r>
                  <m:t xml:space="preserve">,</m:t>
                </m:r>
                <m:r>
                  <m:rPr>
                    <m:lit/>
                    <m:nor/>
                  </m:rPr>
                  <m:t xml:space="preserve"> </m:t>
                </m:r>
                <m:r>
                  <m:t xml:space="preserve">γ</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del w:id="9001" w:author="Matthew Wallenstein" w:date="2026-08-29T12:00:00Z">
              <w:r>
                <w:rPr>
                  <w:sz w:val="20"/>
                  <w:szCs w:val="20"/>
                </w:rPr>
                <w:delText xml:space="preserve">Local Mitscherlich elasticities of yield with respect to soil N and applied fertilizer, recomputed annually</w:delText>
              </w:r>
            </w:del>
            <w:ins w:id="9002" w:author="Matthew Wallenstein" w:date="2026-08-29T12:00:00Z">
              <w:r>
                <w:rPr>
                  <w:sz w:val="20"/>
                  <w:szCs w:val="20"/>
                </w:rPr>
                <w:t xml:space="preserve">Local Mitscherlich elasticities of yield with respect to soil N and applied fertilizer, recomputed annually; diagnostic only, they do not enter the market clearing</w:t>
              </w:r>
            </w:ins>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η</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PY</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N</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end"/>
              <w:rPr/>
            </w:pPr>
            <w:r>
              <w:rPr/>
            </w:r>
            <m:oMathPara xmlns:m="http://schemas.openxmlformats.org/officeDocument/2006/math">
              <m:oMathParaPr>
                <m:jc m:val="right"/>
              </m:oMathParaPr>
              <m:oMath>
                <m:sSub>
                  <m:e>
                    <m:r>
                      <m:t xml:space="preserve">ε</m:t>
                    </m:r>
                  </m:e>
                  <m:sub>
                    <m:r>
                      <m:t xml:space="preserve">LD</m:t>
                    </m:r>
                  </m:sub>
                </m:sSub>
                <m:r>
                  <m:t xml:space="preserve">,</m:t>
                </m:r>
                <m:r>
                  <m:t xml:space="preserve">PL</m:t>
                </m:r>
                <m:r>
                  <m:t xml:space="preserve">,</m:t>
                </m:r>
                <m:r>
                  <m:rPr>
                    <m:lit/>
                    <m:nor/>
                  </m:rPr>
                  <m:t xml:space="preserve"> </m:t>
                </m:r>
                <m:r>
                  <m:rPr>
                    <m:lit/>
                    <m:nor/>
                  </m:rPr>
                  <m:t xml:space="preserve"> </m:t>
                </m:r>
                <m:sSub>
                  <m:e>
                    <m:r>
                      <m:t xml:space="preserve">ε</m:t>
                    </m:r>
                  </m:e>
                  <m:sub>
                    <m:r>
                      <m:t xml:space="preserve">LD</m:t>
                    </m:r>
                  </m:sub>
                </m:sSub>
                <m:r>
                  <m:t xml:space="preserve">,</m:t>
                </m:r>
                <m:r>
                  <m:t xml:space="preserve">PY</m:t>
                </m:r>
                <m:r>
                  <m:t xml:space="preserve">,</m:t>
                </m:r>
                <m:r>
                  <m:rPr>
                    <m:lit/>
                    <m:nor/>
                  </m:rPr>
                  <m:t xml:space="preserve"> </m:t>
                </m:r>
                <m:r>
                  <m:rPr>
                    <m:lit/>
                    <m:nor/>
                  </m:rPr>
                  <m:t xml:space="preserve"> </m:t>
                </m:r>
                <m:sSub>
                  <m:e>
                    <m:r>
                      <m:t xml:space="preserve">ε</m:t>
                    </m:r>
                  </m:e>
                  <m:sub>
                    <m:r>
                      <m:t xml:space="preserve">LS</m:t>
                    </m:r>
                  </m:sub>
                </m:sSub>
                <m:r>
                  <m:t xml:space="preserve">,</m:t>
                </m:r>
                <m:r>
                  <m:t xml:space="preserve">PL</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λ</m:t>
                    </m:r>
                  </m:e>
                  <m:sub>
                    <m:r>
                      <m:t xml:space="preserve">L</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Derived land-response coefficient = </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CRE</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cost</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t xml:space="preserve">We also examine price spikes of varying magnitude (0–300% increase) and sustained S3 price-shock scenarios generated by a +104% fertilizer price shock calibrated to produce an approximately 20% fertilizer-use reduction under S1; </w:t>
      </w:r>
      <w:del w:id="9001" w:author="Matthew Wallenstein" w:date="2026-08-29T12:00:00Z">
        <w:r>
          <w:delText xml:space="preserve">with the soil-N depletion feedback ε_F,N active,the realized fertilizer-use reduction under S3 averages approximately 20% over the sustained-disruption period.</w:delText>
        </w:r>
      </w:del>
      <w:ins w:id="9002" w:author="Matthew Wallenstein" w:date="2026-08-29T12:00:00Z">
        <w:r>
          <w:t xml:space="preserve">with the soil-N depletion feedback ε_F,N active, the realized fertilizer-use reduction under S3 averages approximately 19% over the sustained-disruption period (production-weighted across regions and averaged over the disruption years).</w:t>
        </w:r>
      </w:ins>
      <w:r>
        <w:t xml:space="preserve">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t xml:space="preserve">Regional fertilizer prices are 2019–2023 averages (smoothing crisis-period distortions) drawn from IFA and FAO commodity price series: </w:t>
      </w:r>
      <w:del w:id="9003" w:author="Matthew Wallenstein" w:date="2026-08-29T12:00:00Z">
        <w:r>
          <w:delText xml:space="preserve">Sub-Saharan Africa $1.40/kg N (reflecting transport and distribution premiums)</w:delText>
        </w:r>
      </w:del>
      <w:ins w:id="9004" w:author="Matthew Wallenstein" w:date="2026-08-29T12:00:00Z">
        <w:r>
          <w:t xml:space="preserve">Sub-Saharan Africa $2.30/kg N (non-subsidised retail, reflecting transport and distribution premiums)</w:t>
        </w:r>
      </w:ins>
      <w:r>
        <w:t xml:space="preserve">, South Asia $1.20/kg N, Latin America $1.15/kg N, North America $1.10/kg N. Regional crop prices are production-weighted cereal price averages drawn from FAOSTAT producer-price series: Sub-Saharan Africa $300/t, South Asia $280/t, Latin America $260/t, North America $250/t. </w:t>
      </w:r>
      <w:del w:id="9001" w:author="Matthew Wallenstein" w:date="2026-08-29T12:00:00Z">
        <w:r>
          <w:delText xml:space="preserve">Gross margin impacts are expressed as percentage changes from the no-shock baseline at each SOC level (formula in main Methods).</w:delText>
        </w:r>
      </w:del>
      <w:ins w:id="9002" w:author="Matthew Wallenstein" w:date="2026-08-29T12:00:00Z">
        <w:r>
          <w:t xml:space="preserve">Net-revenue impacts (crop revenue net of nitrogen-fertilizer expenditure; a partial measure, not whole-farm gross margin) are expressed as percentage changes from the no-shock baseline at each SOC level (formula in main Methods).</w:t>
        </w:r>
      </w:ins>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rPr/>
        <w:t xml:space="preserve">The fraction of crop nitrogen supplied by mineralization rather than synthetic inputs, the soil nitrogen buffer ratio, provides a measure of each region’s internal nitrogen supply capacity. This ratio ranges from 20% in East Asia (where intensive fertilization dominates nitrogen supply)to 62% in Latin America (where soils still supply most crop nitrogen).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start"/>
        <w:tblInd w:w="0" w:type="dxa"/>
        <w:tblLayout w:type="fixed"/>
        <w:tblCellMar>
          <w:top w:w="40" w:type="dxa"/>
          <w:start w:w="60" w:type="dxa"/>
          <w:bottom w:w="40" w:type="dxa"/>
          <w:end w:w="60" w:type="dxa"/>
        </w:tblCellMar>
        <w:tblLook w:noHBand="0" w:noVBand="1" w:firstColumn="1" w:lastRow="0" w:lastColumn="0" w:firstRow="1" w:val="04a0"/>
      </w:tblPr>
      <w:tblGrid>
        <w:gridCol w:w="2398"/>
        <w:gridCol w:w="872"/>
        <w:gridCol w:w="868"/>
        <w:gridCol w:w="872"/>
        <w:gridCol w:w="869"/>
        <w:gridCol w:w="871"/>
        <w:gridCol w:w="869"/>
        <w:gridCol w:w="871"/>
        <w:gridCol w:w="87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SSA</w:t>
            </w:r>
          </w:p>
        </w:tc>
        <w:tc>
          <w:tcPr>
            <w:tcW w:w="870"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Cropland (Mha)</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170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230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SOC (t C ha⁻¹)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42</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Synth. N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76</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110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89</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BNF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Fertilizer demand elasticity (</w:t>
            </w:r>
            <w:r>
              <w:rPr/>
            </w:r>
            <m:oMath xmlns:m="http://schemas.openxmlformats.org/officeDocument/2006/math">
              <m:r>
                <m:t xml:space="preserve">εF</m:t>
              </m:r>
              <m:r>
                <m:t xml:space="preserve">,</m:t>
              </m:r>
              <m:r>
                <m:t xml:space="preserve">PF</m:t>
              </m:r>
            </m:oMath>
            <w:r>
              <w:rPr>
                <w:sz w:val="18"/>
                <w:szCs w:val="18"/>
              </w:rPr>
              <w:t>)</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Food demand elasticity (η)</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Residue retention</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Carbon retention efficiency</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0.28</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0.23</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0.34</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Soil N buffer ratio (%)</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62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54</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49</w:t>
            </w:r>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1699"/>
        <w:gridCol w:w="2299"/>
        <w:gridCol w:w="2762"/>
      </w:tblGrid>
      <w:tr>
        <w:trPr/>
        <w:tc>
          <w:tcPr>
            <w:tcW w:w="2600"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Check</w:t>
            </w:r>
          </w:p>
        </w:tc>
        <w:tc>
          <w:tcPr>
            <w:tcW w:w="22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empirical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SOC trajectories</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Nil and FYM SOC trajectories, 1843–2015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2022 fertilizer-crisis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Mineralizable-N sensitivity</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rPr/>
        <w:t>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The modelled Sub-Saharan African ceiling (y_max = 3.88 t/ha) falls below the observed ceiling median but within the interquartile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Broadbalk empirical benchmark four-panel mini-figure: modern-period yield, modern-period bias, and long-term SOC trajectories for Nil and FYM" title="Supplementary 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Broadbalk empirical benchmark four-panel mini-figure: modern-period yield, modern-period bias, and long-term SOC trajectories for Nil and FYM" title="Supplementary Figure S2"/>
                    <pic:cNvPicPr>
                      <a:picLocks noChangeAspect="1" noChangeArrowheads="1"/>
                    </pic:cNvPicPr>
                  </pic:nvPicPr>
                  <pic:blipFill>
                    <a:blip r:embed="rId3"/>
                    <a:stretch>
                      <a:fillRect/>
                    </a:stretch>
                  </pic:blipFill>
                  <pic:spPr bwMode="auto">
                    <a:xfrm>
                      <a:off x="0" y="0"/>
                      <a:ext cx="5715000" cy="3637280"/>
                    </a:xfrm>
                    <a:prstGeom prst="rect">
                      <a:avLst/>
                    </a:prstGeom>
                    <a:noFill/>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ensitivity of the SOC-buffering result to mineralisable-N parameter assumptions across an SOC gradient in SSA and NA" title="Supplementary 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ensitivity of the SOC-buffering result to mineralisable-N parameter assumptions across an SOC gradient in SSA and NA" title="Supplementary Figure S3"/>
                    <pic:cNvPicPr>
                      <a:picLocks noChangeAspect="1" noChangeArrowheads="1"/>
                    </pic:cNvPicPr>
                  </pic:nvPicPr>
                  <pic:blipFill>
                    <a:blip r:embed="rId4"/>
                    <a:stretch>
                      <a:fillRect/>
                    </a:stretch>
                  </pic:blipFill>
                  <pic:spPr bwMode="auto">
                    <a:xfrm>
                      <a:off x="0" y="0"/>
                      <a:ext cx="5715000" cy="3429000"/>
                    </a:xfrm>
                    <a:prstGeom prst="rect">
                      <a:avLst/>
                    </a:prstGeom>
                    <a:noFill/>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33"/>
            <wp:effectExtent l="0" t="0" r="0" b="0"/>
            <wp:docPr id="4" name="figS4_hindcast_sensitivity" descr="Model-predicted vs observed 2022 fertilizer demand reductions under halved, baseline, and doubled eps_F_PF"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Model-predicted vs observed 2022 fertilizer demand reductions under halved, baseline, and doubled eps_F_PF" title="Supplementary Figure S4"/>
                    <pic:cNvPicPr>
                      <a:picLocks noChangeAspect="1" noChangeArrowheads="1"/>
                    </pic:cNvPicPr>
                  </pic:nvPicPr>
                  <pic:blipFill>
                    <a:blip r:embed="rId5"/>
                    <a:stretch>
                      <a:fillRect/>
                    </a:stretch>
                  </pic:blipFill>
                  <pic:spPr bwMode="auto">
                    <a:xfrm>
                      <a:off x="0" y="0"/>
                      <a:ext cx="5715000" cy="1854233"/>
                    </a:xfrm>
                    <a:prstGeom prst="rect">
                      <a:avLst/>
                    </a:prstGeom>
                    <a:noFill/>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r>
        <w:rPr/>
        <w:t>When the Century SOM engine is replaced by the microbially-explicit 4-pool SOM scheme, relative feedback magnitude ranges from 0.9× to 2.5× across regions. Alternative-engine/Century SOC-loss ratios range from 0.9× in Sub-Saharan Africa, where low initial SOC limits scope for further decline, to 2.5× in Latin America, where higher initial SOC levels provide more substrate for the microbial assimilation pathway. The median ratio is 1.8× at 30 years. The dominant mechanism is the requirement that residue-derived carbon pass through microbial assimilation before entering stabilized pools: in Century, crop residue carbon transfers directly to stable pools through humification, while in the microbially-explicit 4-pool scheme it traverses particulate organic matter (POM) → dissolved organic matter (DOM) → microbial biomass carbon (MBC) → mineral-associated organic matter (MAOM). Each step in this microbial routing imposes a respiratory cost: residue carbon must pass through microbial assimilation before entering stabilized pools, and respiration is concentrated at microbial assimilation (1−CUE on every C atom traversing the biomass pool) and at the non-recycled fraction of microbial necromass. This compounds when residue inputs decline, amplifying SOC loss relative to Century/RothC humification (Supplementary Figure S5).</w:t>
      </w:r>
    </w:p>
    <w:p>
      <w:pPr>
        <w:pStyle w:val="Heading3"/>
        <w:spacing w:lineRule="auto" w:line="480"/>
        <w:rPr/>
      </w:pPr>
      <w:r>
        <w:rPr/>
        <w:t>Supplementary table 2</w:t>
      </w:r>
    </w:p>
    <w:p>
      <w:pPr>
        <w:pStyle w:val="Normal"/>
        <w:spacing w:lineRule="auto" w:line="480" w:before="0" w:after="200"/>
        <w:rPr/>
      </w:pPr>
      <w:r>
        <w:rPr>
          <w:i/>
          <w:iCs/>
        </w:rPr>
        <w:t>Partitioning of microbially-explicit 4-pool SOC loss between CUE downregulation and non-CUE mechanisms, and Alternative-engine/Century SOC-loss ratio.</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398"/>
        <w:gridCol w:w="2102"/>
        <w:gridCol w:w="2300"/>
        <w:gridCol w:w="256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rPr/>
            </w:pPr>
            <w:r>
              <w:rPr>
                <w:b/>
                <w:bCs/>
                <w:sz w:val="20"/>
                <w:szCs w:val="20"/>
              </w:rPr>
              <w:t>Region</w:t>
            </w:r>
          </w:p>
        </w:tc>
        <w:tc>
          <w:tcPr>
            <w:tcW w:w="2102"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CUE contribution (%)</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Non-CUE mechanisms (%)</w:t>
            </w:r>
          </w:p>
        </w:tc>
        <w:tc>
          <w:tcPr>
            <w:tcW w:w="25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Alternative-engine/Century SOC-loss ratio (×)</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North America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6</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94</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1.9×</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Europe</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10</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90</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1.6×</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East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29</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71</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91</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Southeast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98</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Latin America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99</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Sub-Saharan Africa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0.9×</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Former Soviet Union</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1.5×</w:t>
            </w:r>
          </w:p>
        </w:tc>
      </w:tr>
    </w:tbl>
    <w:p>
      <w:pPr>
        <w:pStyle w:val="Normal"/>
        <w:spacing w:lineRule="auto" w:line="480" w:before="120" w:after="200"/>
        <w:rPr>
          <w:i/>
          <w:iCs/>
          <w:sz w:val="18"/>
          <w:szCs w:val="18"/>
        </w:rPr>
      </w:pPr>
      <w:r>
        <w:rPr>
          <w:i/>
          <w:iCs/>
          <w:sz w:val="18"/>
          <w:szCs w:val="18"/>
        </w:rPr>
        <w:t>CUE contribution isolated by running the microbially-explicit 4-pool scheme with CUE held constant at its baseline value; the difference from the full microbially-explicit 4-pool run is attributed to CUE downregulation. Non-CUE mechanisms are dominated by respiratory losses concentrated at microbial assimilation (1−CUE on every C atom traversing the biomass pool) and at the non-recycled fraction of microbial necromass, which compound when residue inputs decline (Supplementary Figure S5). Sub-Saharan Africa is excluded because the microbially-explicit 4-pool scheme produces lower SOC loss than Century in this low-SOC, MAOM-undersaturated regime (relative magnitude &lt; 1), which makes the CUE/non-CUE decomposition ill-defined; the Former Soviet Union is excluded because its fixed-CUE run produces marginally higher SOC loss than the variable-CUE run, reflecting interaction between CUE stabilization and MAOM saturation dynamics. Reported decomposition is for the matched 20% physical supply-constrained scenario (SC1), used to compare the microbially-explicit 4-pool scheme and Century under the same supply-reduction stress test.</w:t>
      </w:r>
    </w:p>
    <w:p>
      <w:pPr>
        <w:pStyle w:val="Normal"/>
        <w:spacing w:lineRule="auto" w:line="480"/>
        <w:rPr>
          <w:i/>
          <w:iCs/>
          <w:sz w:val="18"/>
          <w:szCs w:val="18"/>
        </w:rPr>
      </w:pPr>
      <w:r>
        <w:rPr>
          <w:i/>
          <w:iCs/>
          <w:sz w:val="18"/>
          <w:szCs w:val="18"/>
        </w:rPr>
      </w:r>
      <w:r>
        <w:br w:type="page"/>
      </w:r>
    </w:p>
    <w:p>
      <w:pPr>
        <w:pStyle w:val="Normal"/>
        <w:spacing w:lineRule="auto" w:line="480" w:before="0" w:after="200"/>
        <w:rPr/>
      </w:pPr>
      <w:r>
        <w:rPr/>
      </w:r>
    </w:p>
    <w:p>
      <w:pPr>
        <w:pStyle w:val="Heading3"/>
        <w:spacing w:lineRule="auto" w:line="480"/>
        <w:rPr/>
      </w:pPr>
      <w:r>
        <w:rPr/>
        <w:t>Supplementary Figure S5: microbially-explicit 4-pool flux decomposition under matched 20% SC1 scenario</w:t>
      </w:r>
    </w:p>
    <w:p>
      <w:pPr>
        <w:pStyle w:val="Normal"/>
        <w:spacing w:lineRule="auto" w:line="480" w:before="0" w:after="200"/>
        <w:jc w:val="center"/>
        <w:rPr>
          <w:b/>
          <w:bCs/>
        </w:rPr>
      </w:pPr>
      <w:r>
        <w:rPr/>
        <w:drawing>
          <wp:inline distT="0" distB="0" distL="0" distR="0">
            <wp:extent cx="5715000" cy="2080260"/>
            <wp:effectExtent l="0" t="0" r="0" b="0"/>
            <wp:docPr id="5" name="figS4_4pool_flux_decomposition" descr="Stacked bar chart of cumulative 30-year microbially-explicit 4-pool respired carbon partitioned by mechanism for all 8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S4_4pool_flux_decomposition" descr="Stacked bar chart of cumulative 30-year microbially-explicit 4-pool respired carbon partitioned by mechanism for all 8 regions" title="Supplementary Figure S4"/>
                    <pic:cNvPicPr>
                      <a:picLocks noChangeAspect="1" noChangeArrowheads="1"/>
                    </pic:cNvPicPr>
                  </pic:nvPicPr>
                  <pic:blipFill>
                    <a:blip r:embed="rId6"/>
                    <a:stretch>
                      <a:fillRect/>
                    </a:stretch>
                  </pic:blipFill>
                  <pic:spPr bwMode="auto">
                    <a:xfrm>
                      <a:off x="0" y="0"/>
                      <a:ext cx="5715000" cy="2080260"/>
                    </a:xfrm>
                    <a:prstGeom prst="rect">
                      <a:avLst/>
                    </a:prstGeom>
                    <a:noFill/>
                  </pic:spPr>
                </pic:pic>
              </a:graphicData>
            </a:graphic>
          </wp:inline>
        </w:drawing>
      </w:r>
    </w:p>
    <w:p>
      <w:pPr>
        <w:pStyle w:val="Caption"/>
        <w:rPr/>
      </w:pPr>
      <w:r>
        <w:rPr>
          <w:bCs/>
        </w:rPr>
        <w:t>Supplementary Figure S5</w:t>
      </w:r>
      <w:r>
        <w:rPr>
          <w:b w:val="false"/>
        </w:rPr>
        <w:t>. Microbially-explicit 4-pool carbon flux decomposition under the matched 20% SC1 scenario. a, Cumulative 30-year respiratory loss partitioned between microbial assimilation (1−CUE on every C atom traversing the biomass pool) and the non-recycled fraction of microbial necromass. b, MAOM trajectory under baseline versus SC1 scenarios; the CUE-step respiratory loss before MAOM formation compounds when residue inputs decline.</w:t>
      </w:r>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t xml:space="preserve">Total year-10 yield penalties are most strongly associated with regional structural descriptors that reflect the underlying biophysical and productivity </w:t>
      </w:r>
      <w:del w:id="9003" w:author="Matthew Wallenstein" w:date="2026-08-29T12:00:00Z">
        <w:r>
          <w:delText xml:space="preserve">context of each region.Larger modeled losses</w:delText>
        </w:r>
      </w:del>
      <w:ins w:id="9004" w:author="Matthew Wallenstein" w:date="2026-08-29T12:00:00Z">
        <w:r>
          <w:t xml:space="preserve">context of each region. Larger modeled losses</w:t>
        </w:r>
      </w:ins>
      <w:r>
        <w:t xml:space="preserve"> occur in regions with a lower calibrated yield ceiling (y_max, ρ = −0.86), drier baseline conditions (water deficit ρ = +0.70), currently lower SOC stocks (ρ = −0.67), and lower biological N fixation potential (ρ = −0.45).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rPr/>
        <w:t xml:space="preserve">Economic descriptors show directionally consistent associations with modeled vulnerability but weaker magnitudes in the eight-region diagnostic. Higher fertilizer-demand elasticity magnitude is associated withlarger year-10 yield losses (ρ = +0.60), reflecting that more elastic demand translates a given price shock into a larger fertilizer-use reduction. Food-demand elasticity magnitude shows the same direction at comparable magnitude (ρ = +0.60).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t xml:space="preserve">The soil N buffer ratio (the share of crop N supplied by SOM rather than current-season fertilizer) </w:t>
      </w:r>
      <w:del w:id="9001" w:author="Matthew Wallenstein" w:date="2026-08-29T12:00:00Z">
        <w:r>
          <w:delText xml:space="preserve">is weakly associated with year-10 total yield penalty across the eight modelled regions(Spearman ρ = +0.02; Pearson R² =</w:delText>
        </w:r>
      </w:del>
      <w:ins w:id="9002" w:author="Matthew Wallenstein" w:date="2026-08-29T12:00:00Z">
        <w:r>
          <w:t xml:space="preserve">is weakly associated with year-10 total yield penalty across the eight modelled regions (Spearman ρ = +0.19; Pearson R² =</w:t>
        </w:r>
      </w:ins>
      <w:del w:id="9001" w:author="Matthew Wallenstein" w:date="2026-08-29T12:00:00Z">
        <w:r>
          <w:delText xml:space="preserve"> 0.05, the single cross-regional metric used throughout).</w:delText>
        </w:r>
      </w:del>
      <w:ins w:id="9002" w:author="Matthew Wallenstein" w:date="2026-08-29T12:00:00Z">
        <w:r>
          <w:t xml:space="preserve"> 0.10, the single cross-regional metric used throughout).</w:t>
        </w:r>
      </w:ins>
      <w:r>
        <w:t xml:space="preserve">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The cross-regional ρ ≈ +0.02 reflects the net of these two opposing mechanisms at the year-10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6186"/>
            <wp:effectExtent l="0" t="0" r="0" b="0"/>
            <wp:docPr id="6" name="figS6_pairwise_diagnostics" descr="Six-panel scatter plot showing year-10 (or year-1) yield penalty against six regional descriptors across eight modeled regions, with Spearman rho printed in each panel." title="Supplementary 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ix-panel scatter plot showing year-10 (or year-1) yield penalty against six regional descriptors across eight modeled regions, with Spearman rho printed in each panel." title="Supplementary Figure S6"/>
                    <pic:cNvPicPr>
                      <a:picLocks noChangeAspect="1" noChangeArrowheads="1"/>
                    </pic:cNvPicPr>
                  </pic:nvPicPr>
                  <pic:blipFill>
                    <a:blip r:embed="rId7"/>
                    <a:stretch>
                      <a:fillRect/>
                    </a:stretch>
                  </pic:blipFill>
                  <pic:spPr bwMode="auto">
                    <a:xfrm>
                      <a:off x="0" y="0"/>
                      <a:ext cx="5715000" cy="3516186"/>
                    </a:xfrm>
                    <a:prstGeom prst="rect">
                      <a:avLst/>
                    </a:prstGeom>
                    <a:noFill/>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799"/>
        <w:gridCol w:w="2600"/>
        <w:gridCol w:w="2601"/>
      </w:tblGrid>
      <w:tr>
        <w:trPr/>
        <w:tc>
          <w:tcPr>
            <w:tcW w:w="3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spacing w:lineRule="auto" w:line="480" w:before="0" w:after="60"/>
              <w:rPr/>
            </w:pPr>
            <w:r>
              <w:rPr>
                <w:b/>
                <w:sz w:val="20"/>
              </w:rPr>
              <w:t>Descriptor</w:t>
            </w:r>
          </w:p>
        </w:tc>
        <w:tc>
          <w:tcPr>
            <w:tcW w:w="2600" w:type="dxa"/>
            <w:tcBorders>
              <w:top w:val="single" w:sz="4" w:space="0" w:color="999999"/>
              <w:start w:val="single" w:sz="4" w:space="0" w:color="CCCCCC"/>
              <w:bottom w:val="single" w:sz="4" w:space="0" w:color="CCCCCC"/>
              <w:end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start w:val="single" w:sz="4" w:space="0" w:color="CCCCCC"/>
              <w:bottom w:val="single" w:sz="4" w:space="0" w:color="CCCCCC"/>
              <w:end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SOC stock (t C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−0.67</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Soil N buffer ratio</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t xml:space="preserve">+0.29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+0.02</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Baseline water deficit</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+0.70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Calibrated yield ceiling, y_max (t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−0.71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−0.86</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BNF potential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−0.43</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−0.45</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Synthetic N rate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−0.55</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−0.26</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|Fertilizer-demand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+0.58</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|Food-demand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+0.60</w:t>
            </w:r>
          </w:p>
        </w:tc>
      </w:tr>
      <w:tr>
        <w:trPr/>
        <w:tc>
          <w:tcPr>
            <w:tcW w:w="3799" w:type="dxa"/>
            <w:tcBorders>
              <w:top w:val="single" w:sz="4" w:space="0" w:color="CCCCCC"/>
              <w:start w:val="single" w:sz="4" w:space="0" w:color="999999"/>
              <w:bottom w:val="single" w:sz="4" w:space="0" w:color="999999"/>
              <w:end w:val="single" w:sz="4" w:space="0" w:color="CCCCCC"/>
            </w:tcBorders>
          </w:tcPr>
          <w:p>
            <w:pPr>
              <w:pStyle w:val="Normal"/>
              <w:spacing w:lineRule="auto" w:line="480" w:before="0" w:after="60"/>
              <w:rPr/>
            </w:pPr>
            <w:r>
              <w:rPr>
                <w:sz w:val="20"/>
              </w:rPr>
              <w:t>Land-response coefficient λ_L</w:t>
            </w:r>
          </w:p>
        </w:tc>
        <w:tc>
          <w:tcPr>
            <w:tcW w:w="2600" w:type="dxa"/>
            <w:tcBorders>
              <w:top w:val="single" w:sz="4" w:space="0" w:color="CCCCCC"/>
              <w:start w:val="single" w:sz="4" w:space="0" w:color="CCCCCC"/>
              <w:bottom w:val="single" w:sz="4" w:space="0" w:color="999999"/>
              <w:end w:val="single" w:sz="4" w:space="0" w:color="CCCCCC"/>
            </w:tcBorders>
          </w:tcPr>
          <w:p>
            <w:pPr>
              <w:pStyle w:val="Normal"/>
              <w:spacing w:lineRule="auto" w:line="480" w:before="0" w:after="60"/>
              <w:rPr/>
            </w:pPr>
            <w:r>
              <w:rPr>
                <w:sz w:val="20"/>
              </w:rPr>
              <w:t xml:space="preserve">+0.53</w:t>
            </w:r>
          </w:p>
        </w:tc>
        <w:tc>
          <w:tcPr>
            <w:tcW w:w="2601" w:type="dxa"/>
            <w:tcBorders>
              <w:top w:val="single" w:sz="4" w:space="0" w:color="CCCCCC"/>
              <w:start w:val="single" w:sz="4" w:space="0" w:color="CCCCCC"/>
              <w:bottom w:val="single" w:sz="4" w:space="0" w:color="999999"/>
              <w:end w:val="single" w:sz="4" w:space="0" w:color="999999"/>
            </w:tcBorders>
          </w:tcPr>
          <w:p>
            <w:pPr>
              <w:pStyle w:val="Normal"/>
              <w:spacing w:lineRule="auto" w:line="480" w:before="0" w:after="60"/>
              <w:rPr/>
            </w:pPr>
            <w:r>
              <w:rPr>
                <w:sz w:val="20"/>
              </w:rPr>
              <w:t xml:space="preserve">+0.47</w:t>
            </w:r>
          </w:p>
        </w:tc>
      </w:tr>
    </w:tbl>
    <w:p>
      <w:pPr>
        <w:pStyle w:val="Normal"/>
        <w:spacing w:lineRule="auto" w:line="480" w:before="0" w:after="200"/>
        <w:rPr/>
      </w:pPr>
      <w:r>
        <w:rPr>
          <w:i/>
          <w:iCs/>
          <w:sz w:val="20"/>
        </w:rPr>
        <w:t xml:space="preserve">Values are descriptive Spearman rank associations across the eight modeled regions. They summarize model behavior and are not used for statistical inference. </w:t>
      </w:r>
      <w:r>
        <w:rPr/>
      </w:r>
      <m:oMath xmlns:m="http://schemas.openxmlformats.org/officeDocument/2006/math">
        <m:sSub>
          <m:e>
            <m:r>
              <m:t xml:space="preserve">λ</m:t>
            </m:r>
          </m:e>
          <m:sub>
            <m:r>
              <m:t xml:space="preserve">L</m:t>
            </m:r>
          </m:sub>
        </m:sSub>
      </m:oMath>
      <w:r>
        <w:rPr>
          <w:i/>
          <w:iCs/>
          <w:sz w:val="20"/>
        </w:rPr>
        <w:t xml:space="preserve"> is the derived land-response coefficient</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r>
          <m:t xml:space="preserve">.</m:t>
        </m:r>
        <m:r>
          <m:rPr>
            <m:lit/>
            <m:nor/>
          </m:rPr>
          <m:t xml:space="preserve"> </m:t>
        </m:r>
      </m:oMath>
      <w:del w:id="9003" w:author="Matthew Wallenstein" w:date="2026-08-29T12:00:00Z">
        <w:r>
          <w:rPr>
            <w:i/>
            <w:iCs/>
            <w:sz w:val="20"/>
          </w:rPr>
          <w:delText xml:space="preserve">Year-1 gross-margin loss is not included in this table because regional fertilizer- and crop-price values are reported for only four of the eight regions</w:delText>
        </w:r>
      </w:del>
      <w:ins w:id="9004" w:author="Matthew Wallenstein" w:date="2026-08-29T12:00:00Z">
        <w:r>
          <w:rPr>
            <w:i/>
            <w:iCs/>
            <w:sz w:val="20"/>
          </w:rPr>
          <w:t xml:space="preserve">Year-1 net-revenue change is not included in this table because audited regional fertilizer- and crop-price pairs are reported for only four of the eight regions</w:t>
        </w:r>
      </w:ins>
      <w:r>
        <w:rPr>
          <w:i/>
          <w:iCs/>
          <w:sz w:val="20"/>
        </w:rPr>
        <w:t xml:space="preserve">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385714"/>
            <wp:effectExtent l="0" t="0" r="0" b="0"/>
            <wp:doc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pic:cNvPicPr>
                      <a:picLocks noChangeAspect="1" noChangeArrowheads="1"/>
                    </pic:cNvPicPr>
                  </pic:nvPicPr>
                  <pic:blipFill>
                    <a:blip r:embed="rId8"/>
                    <a:stretch>
                      <a:fillRect/>
                    </a:stretch>
                  </pic:blipFill>
                  <pic:spPr bwMode="auto">
                    <a:xfrm>
                      <a:off x="0" y="0"/>
                      <a:ext cx="5715000" cy="2385714"/>
                    </a:xfrm>
                    <a:prstGeom prst="rect">
                      <a:avLst/>
                    </a:prstGeom>
                    <a:noFill/>
                  </pic:spPr>
                </pic:pic>
              </a:graphicData>
            </a:graphic>
          </wp:inline>
        </w:drawing>
      </w:r>
    </w:p>
    <w:p>
      <w:pPr>
        <w:pStyle w:val="Caption"/>
        <w:rPr/>
      </w:pPr>
      <w:r>
        <w:rPr>
          <w:bCs/>
        </w:rPr>
        <w:t xml:space="preserve">Supplementary Figure S7. </w:t>
      </w:r>
      <w:r>
        <w:rPr>
          <w:b w:val="false"/>
          <w:bCs/>
        </w:rPr>
        <w:t xml:space="preserve">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w:t>
      </w:r>
      <w:del w:id="9005" w:author="Matthew Wallenstein" w:date="2026-08-29T12:00:00Z">
        <w:r>
          <w:rPr>
            <w:b w:val="false"/>
            <w:bCs/>
          </w:rPr>
          <w:delText xml:space="preserve">b, Gross-margin change under the same scenar</w:delText>
        </w:r>
      </w:del>
      <w:ins w:id="9006" w:author="Matthew Wallenstein" w:date="2026-08-29T12:00:00Z">
        <w:r>
          <w:rPr>
            <w:b w:val="false"/>
            <w:bCs/>
          </w:rPr>
          <w:t xml:space="preserve">b, Change in crop revenue net of nitrogen-fertilizer expenditure under the same scenar</w:t>
        </w:r>
      </w:ins>
      <w:r>
        <w:rPr>
          <w:b w:val="false"/>
          <w:bCs/>
        </w:rPr>
        <w:t xml:space="preserve">ios. Halved elasticities produce substantially larger gross-margin losses (2.6 to 10.3 percentage points deeper at the regional mean SOC, and up to 14.1 percentage points on the most degraded Sub-Saharan African farms) because farmers absorb the full fertilizer-cost increase without the elastic substitution channel that otherwise cushions margins. The SOC buffering benefit is robust to elasticity assumptions in gross-margin terms: the gap between SOC = 50% and SOC = 100% is comparable or larger under halved elasticities in all four regions (2.5–4.2 percentage points at baseline against 3.0–5.9 percentage points when halved).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the elasticity-mediated trade-off between yield response and gross-margin response.</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5859"/>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43600" cy="2285859"/>
                    </a:xfrm>
                    <a:prstGeom prst="rect">
                      <a:avLst/>
                    </a:prstGeom>
                    <a:noFill/>
                  </pic:spPr>
                </pic:pic>
              </a:graphicData>
            </a:graphic>
          </wp:inline>
        </w:drawing>
      </w:r>
    </w:p>
    <w:p>
      <w:pPr>
        <w:pStyle w:val="Caption"/>
        <w:rPr/>
      </w:pPr>
      <w:r>
        <w:t xml:space="preserve">Supplementary Figure S8. Economic-parameter sensitivity for the sustained S3 price-shock scenario shown in main-text figure 2. The +104% fertilizer price shock was calibrated to drive an approximately 20% global fertilizer-use reduction under S1; in S3, </w:t>
      </w:r>
      <w:del w:id="9005" w:author="Matthew Wallenstein" w:date="2026-08-29T12:00:00Z">
        <w:r>
          <w:delText xml:space="preserve">the active soil-N depletion-feedback term (ε_F,N) partially offsets the reduction,yielding an approximately 20% realized reduction over the sustained-disruption period.</w:delText>
        </w:r>
      </w:del>
      <w:ins w:id="9006" w:author="Matthew Wallenstein" w:date="2026-08-29T12:00:00Z">
        <w:r>
          <w:t xml:space="preserve">the active soil-N depletion-feedback term (ε_F,N) partially offsets the reduction, yielding an approximately 19% realized reduction over the sustained-disruption period.</w:t>
        </w:r>
      </w:ins>
      <w:r>
        <w:t xml:space="preserve">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w:t>
      </w:r>
      <w:del w:id="9007" w:author="Matthew Wallenstein" w:date="2026-08-29T12:00:00Z">
        <w:r>
          <w:delText xml:space="preserve">Global year-10 loss: 3.4% under baseline, ~1.9% under halved elasticities (~46% reduction in predicted impact). Regional ordering is preserved (Spearman ρ = 0.98).</w:delText>
        </w:r>
      </w:del>
      <w:ins w:id="9008" w:author="Matthew Wallenstein" w:date="2026-08-29T12:00:00Z">
        <w:r>
          <w:t xml:space="preserve">Global year-10 loss: 3.0% under baseline, ~1.5% under halved elasticities (~50% reduction in predicted impact). Regional ordering is preserved (Spearman ρ = 0.98).</w:t>
        </w:r>
      </w:ins>
      <w:r>
        <w:t xml:space="preserve">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t xml:space="preserve">Food-price impacts. The model resolves a regional output-price response P̂_Y,r,t at every annual timestep through market clearing under regional supply and demand elasticities. </w:t>
      </w:r>
      <w:del w:id="9001" w:author="Matthew Wallenstein" w:date="2026-08-29T12:00:00Z">
        <w:r>
          <w:delText xml:space="preserve">Under the sustained S3 disruption (price shock calibrated to drive a 20% reduction under S1;~20% realized under S3), regional output-price indices rise by 2.0–9.2% in year 1, a production-weighted global increase of 5.5%, and by year 10 span 1.0% (Latin America) to 10.3% (FSU/Central Asia), a production-weighted global increase of 5.0%; the largest increases arise where food demand is least elastic rather than where yield losses are largest.</w:delText>
        </w:r>
      </w:del>
      <w:ins w:id="9002" w:author="Matthew Wallenstein" w:date="2026-08-29T12:00:00Z">
        <w:r>
          <w:t xml:space="preserve">Under the sustained S3 disruption (price shock calibrated to drive a 20% reduction under S1; ~19% realized under S3), regional output-price indices rise by 2.4–10.3% in year 1, a production-weighted global increase of 5.2%, and by year 10 span 2.6% (East Asia) to 11.9% (FSU/Central Asia), a production-weighted global increase of 6.7%; the largest increases arise where food demand is least elastic rather than where yield losses are largest. These are the prices that clear the realized biophysical production response, so no separate linearized supply schedule stands behind them.</w:t>
        </w:r>
      </w:ins>
      <w:r>
        <w:t xml:space="preserve">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rPr/>
        <w:t>One thousand joint draws were generated, and each draw was propagated through the full coupled monthly N-balance + Century three-pool SOM + price-clearing system at three SOC levels per region (50%, 100%, 150% of the regional mean). This yielded 24,000 region×SOC×draw evaluations of year-1 yield loss and year-1 gross-margin change.</w:t>
      </w:r>
    </w:p>
    <w:p>
      <w:pPr>
        <w:pStyle w:val="Normal"/>
        <w:spacing w:lineRule="auto" w:line="480"/>
        <w:rPr/>
      </w:pPr>
      <w:r>
        <w:rPr/>
      </w:r>
    </w:p>
    <w:p>
      <w:pPr>
        <w:pStyle w:val="Normal"/>
        <w:spacing w:lineRule="auto" w:line="480"/>
        <w:rPr/>
      </w:pPr>
      <w:r>
        <w:rPr/>
        <w:t xml:space="preserve">Three findings are robust to joint-prior uncertainty. First, SOC buffering is universal in the ensemble: in all 1,000 draws, low-SOC farms sustain larger year-1 yield losses than high-SOC farms in every region, and high-SOC farms retain higher year-1 gross margin than low-SOC farms in every region. The buffering signal is not an artifact of any particular parameter choice. Second, the global cropland-area-weighted year-1 yield loss hasan ensemble median of 2.51%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del w:id="9007" w:author="Matthew Wallenstein" w:date="2026-08-29T12:00:00Z">
        <w:r>
          <w:delText xml:space="preserve">Ranking results are more parameter-sensitive than buffering. Sub-Saharan Africa is the worst region for year-1gross margin in 83.7% of draws, reflecting its high fertilizer-cost share and inelastic food demand, but it is not the worst region for year-1 yield loss in any draw:</w:delText>
        </w:r>
      </w:del>
      <w:ins w:id="9008" w:author="Matthew Wallenstein" w:date="2026-08-29T12:00:00Z">
        <w:r>
          <w:t xml:space="preserve">Ranking results are more parameter-sensitive than buffering. The submitted version reported Sub-Saharan Africa as the worst region for the year-1 financial outcome in 83.7% of draws; that result reflected the pre-audit nitrogen price. In the regenerated ensemble under the audited price pairs (nitrogen-cost share ~15% in South Asia against ~4% in Sub-Saharan Africa), Sub-Saharan Africa is the worst priced region for year-1 net revenue in 0.1% of draws, and the yield-side findings stand: Sub-Saharan Africa is not the worst region for year-1 yield loss in any draw:</w:t>
        </w:r>
      </w:ins>
      <w:r>
        <w:t xml:space="preserve">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6077585"/>
            <wp:effectExtent l="0" t="0" r="0" b="0"/>
            <wp:docPr id="9" name="Picture 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pic:cNvPicPr>
                      <a:picLocks noChangeAspect="1" noChangeArrowheads="1"/>
                    </pic:cNvPicPr>
                  </pic:nvPicPr>
                  <pic:blipFill>
                    <a:blip r:embed="rId10"/>
                    <a:stretch>
                      <a:fillRect/>
                    </a:stretch>
                  </pic:blipFill>
                  <pic:spPr bwMode="auto">
                    <a:xfrm>
                      <a:off x="0" y="0"/>
                      <a:ext cx="5486400" cy="6077585"/>
                    </a:xfrm>
                    <a:prstGeom prst="rect">
                      <a:avLst/>
                    </a:prstGeom>
                    <a:noFill/>
                  </pic:spPr>
                </pic:pic>
              </a:graphicData>
            </a:graphic>
          </wp:inline>
        </w:drawing>
      </w:r>
    </w:p>
    <w:p>
      <w:pPr>
        <w:pStyle w:val="Caption"/>
        <w:rPr/>
      </w:pPr>
      <w:r>
        <w:rPr>
          <w:bCs/>
        </w:rPr>
        <w:t>Supplementary Figure S9.</w:t>
      </w:r>
      <w:r>
        <w:rPr/>
        <w:t xml:space="preserve"> </w:t>
      </w:r>
      <w:r>
        <w:rPr>
          <w:b w:val="false"/>
          <w:bCs/>
        </w:rPr>
        <w:t xml:space="preserve">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b, Year-1 gross-margin change (%) at SOC = 100%. Sub-Saharan Africa ismost negative in 83.7% of draws despite not being the largest yield-loss region in any draw.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 xml:space="preserve">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The two figures that follow are auxiliary diagnostics referenced directly from the main text. (v) Supplementary Table S4 and Supplementary Figures S12–S13, added in revision, 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7484"/>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7484"/>
                    </a:xfrm>
                    <a:prstGeom prst="rect">
                      <a:avLst/>
                    </a:prstGeom>
                    <a:noFill/>
                  </pic:spPr>
                </pic:pic>
              </a:graphicData>
            </a:graphic>
          </wp:inline>
        </w:drawing>
      </w:r>
    </w:p>
    <w:p>
      <w:pPr>
        <w:pStyle w:val="Caption"/>
        <w:rPr/>
      </w:pPr>
      <w:r>
        <w:rPr>
          <w:bCs/>
        </w:rPr>
        <w:t xml:space="preserve">Supplementary Figure S10. </w:t>
      </w:r>
      <w:r>
        <w:rPr>
          <w:b w:val="false"/>
          <w:bCs/>
        </w:rPr>
        <w:t xml:space="preserve">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20% 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21.0% to 9.4%, a 55% 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12976"/>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5943600" cy="4912976"/>
                    </a:xfrm>
                    <a:prstGeom prst="rect">
                      <a:avLst/>
                    </a:prstGeom>
                    <a:noFill/>
                  </pic:spPr>
                </pic:pic>
              </a:graphicData>
            </a:graphic>
          </wp:inline>
        </w:drawing>
      </w:r>
    </w:p>
    <w:p>
      <w:pPr>
        <w:pStyle w:val="Caption"/>
        <w:rPr/>
      </w:pPr>
      <w:r>
        <w:rPr/>
        <w:t xml:space="preserve">Supplementary Figure S11. </w:t>
      </w:r>
      <w:r>
        <w:rPr>
          <w:b w:val="false"/>
          <w:bCs/>
        </w:rPr>
        <w:t xml:space="preserve">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rPr/>
      </w:pPr>
      <w:r>
        <w:rPr/>
        <w:t xml:space="preserve">Supplementary Note 8: Model internal-consistency corrections and reproducibility</w:t>
      </w:r>
    </w:p>
    <w:p>
      <w:pPr>
        <w:pStyle w:val="Normal"/>
        <w:spacing w:lineRule="auto" w:line="480"/>
        <w:rPr/>
      </w:pPr>
      <w:r>
        <w:t xml:space="preserve">Two internal-consistency defects were identified in the model during preparation of this revision. </w:t>
      </w:r>
      <w:del w:id="9005" w:author="Matthew Wallenstein" w:date="2026-08-29T12:00:00Z">
        <w:r>
          <w:delText xml:space="preserve">Every number reported in the manuscript, in this Supplementary Information and in the deposited figures has been regenerated from the corrected code.</w:delText>
        </w:r>
      </w:del>
      <w:ins w:id="9006" w:author="Matthew Wallenstein" w:date="2026-08-29T12:00:00Z">
        <w:r>
          <w:t xml:space="preserve">Every number reported in the manuscript, in this Supplementary Information and in the deposited figures has been regenerated from the corrected code, with one exception: the microbially-explicit 4-pool comparison behind Supplementary Figure S5, whose engine is not part of the deposit (see the note accompanying that figure), retains its previously computed flux decomposition and its quantitative ratios should be read as indicative.</w:t>
        </w:r>
      </w:ins>
      <w:r>
        <w:t xml:space="preserve"> In both cases the implementation did not do what the Methods describe; neither correction changes a parameter value or the structure of the model.</w:t>
      </w:r>
    </w:p>
    <w:p>
      <w:pPr>
        <w:pStyle w:val="Normal"/>
        <w:spacing w:lineRule="auto" w:line="480"/>
        <w:rPr/>
      </w:pPr>
      <w:r>
        <w:rPr/>
        <w:t xml:space="preserve">First, the Century spin-up solved for equilibrium carbon pools without applying the baseline water-stress multiplier that the simulation itself applies at zero SOC change. The pool configuration handed to the simulation was therefore not a fixed point of the simulation’s own dynamics, and every run opened with a spurious transient. The spin-up now applies the same baseline water-stress multiplier, so the equilibrium is a genuine fixed point, and the mineralization baseline is normalized to the year-0 recorded mineralization rather than to the analytic spin-up value, which sets the normalized mineralization anomaly to zero at t = 0 by construction. A zero-shock invariance test is included in the reproducibility deposit: with the shock set to zero, every region must remain at its baseline yield. That test failed before the correction and passes afterwards, with year-10 yield ratios of at least 0.9998 in all eight regions.</w:t>
      </w:r>
    </w:p>
    <w:p>
      <w:pPr>
        <w:pStyle w:val="Normal"/>
        <w:spacing w:lineRule="auto" w:line="480"/>
        <w:rPr/>
      </w:pPr>
      <w:r>
        <w:rPr/>
        <w:t xml:space="preserve">Second, when the physical fertilizer supply ceiling bound, the code clipped the unconstrained equilibrium quantity to the ceiling and left the associated prices unchanged, so the constrained market did not clear. The constrained equilibrium is now re-solved subject to the ceiling. A market-clearing test is included in the deposit and the maximum cap residual is zero to machine precision.</w:t>
      </w:r>
    </w:p>
    <w:p>
      <w:pPr>
        <w:pStyle w:val="Normal"/>
        <w:spacing w:lineRule="auto" w:line="480"/>
        <w:rPr/>
      </w:pPr>
      <w:r>
        <w:rPr/>
        <w:t xml:space="preserve">All reported magnitudes fall relative to the previous version of this work, while the direction of every central result and the within-region SOC ordering are preserved. Two regional shapes in main-text figure 2a change. East Asia, previously a mildly inverted outlier, is now steeply monotone in SOC. Sub-Saharan Africa is now non-monotone, with its largest year-10 loss near 70 to 80 percent of regional mean SOC rather than at the low-SOC end; Latin America and FSU/Central Asia show slighter versions of the same shape.</w:t>
      </w:r>
    </w:p>
    <w:p>
      <w:pPr>
        <w:pStyle w:val="Normal"/>
        <w:spacing w:lineRule="auto" w:line="480"/>
        <w:rPr/>
      </w:pPr>
      <w:r>
        <w:rPr/>
        <w:t xml:space="preserve">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rPr/>
        <w:t xml:space="preserve">The generators for main-text figures 1 and 2, for the Monte Carlo ensemble of Note 6 and Supplementary Figure S9, for the halved-elasticity farm gradient of Supplementary Figure S7, for the monthly N uptake capture efficiency sweep of Supplementary Figure S10 and for the severity sweep of Supplementary Figure S11 were previously held outside the reproducibility deposit. All are now included in it, together with a generator for the regional food-price response quoted above. Running the ported code against the uncorrected model reproduces the previously published panels, which establishes that the differences reported here follow from the two corrections rather than from reconstruction error. One substantive change accompanies the port: the published Monte Carlo ensemble and the Supplementary Figure S10 sweep ran on the model’s built-in expert climate profiles, whereas every other result in the paper derives from the ERA5 forcing. Both now use ERA5, so Note 6 and Supplementary Figure S10 are consistent with the canonical run.</w:t>
      </w:r>
    </w:p>
    <w:p>
      <w:pPr>
        <w:pStyle w:val="Normal"/>
        <w:spacing w:lineRule="auto" w:line="480"/>
        <w:rPr/>
      </w:pPr>
      <w:r>
        <w:rPr/>
        <w:t xml:space="preserve">Supplementary Figure S5 is the one figure that cannot be regenerated from the deposit, because the microbially-explicit 4-pool SOM scheme it visualizes is not part of the deposited code. That figure is illustrative of pool-level flux structure and no number in the manuscript or in this Supplementary Information is derived from it.</w:t>
      </w:r>
    </w:p>
    <w:p>
      <w:pPr>
        <w:pStyle w:val="Normal"/>
        <w:spacing w:lineRule="auto" w:line="480"/>
        <w:rPr/>
      </w:pPr>
      <w:r>
        <w:rPr/>
        <w:t xml:space="preserve">For the same reason, the structural comparison in Supplementary Note 2, which reports alternative-engine to Century SOC-loss ratios of 0.9 to 2.5 across regions with a median of 1.8 at year 30, was computed with both engines running under the uncorrected code and is retained here as originally reported. It is a ratio between two stabilization formulations rather than an absolute magnitude, and the two corrections act on the shared biophysical core rather than on the stabilization pathway that distinguishes the engines, so the comparison should be robust to them. We state plainly that it has not been regenerated.</w:t>
      </w:r>
    </w:p>
    <w:p>
      <w:pPr>
        <w:pStyle w:val="Normal"/>
        <w:spacing w:before="0" w:after="0"/>
        <w:rPr/>
      </w:pPr>
      <w:r>
        <w:rPr>
          <w:b/>
          <w:sz w:val="26"/>
        </w:rPr>
        <w:t>Supplementary figures and table (added in revision)</w:t>
      </w:r>
    </w:p>
    <w:p>
      <w:pPr>
        <w:pStyle w:val="Normal"/>
        <w:rPr/>
      </w:pPr>
      <w:r>
        <w:rPr>
          <w:b/>
        </w:rPr>
        <w:t>Supplementary Table S4. Regional crop nitrogen-response calibration.</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70"/>
        <w:gridCol w:w="1170"/>
        <w:gridCol w:w="1170"/>
        <w:gridCol w:w="1170"/>
        <w:gridCol w:w="1170"/>
        <w:gridCol w:w="1170"/>
        <w:gridCol w:w="1170"/>
        <w:gridCol w:w="1170"/>
      </w:tblGrid>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Region</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FAOSTAT y_obs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N_current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no-synth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y_max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c</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Floor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y(no-synth) sim (t/ha)</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223.9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147.9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1" w:author="Matthew Wallenstein" w:date="2026-08-29T12:00:00Z">
              <w:r>
                <w:rPr>
                  <w:sz w:val="16"/>
                </w:rPr>
                <w:delText xml:space="preserve">6.277</w:delText>
              </w:r>
            </w:del>
            <w:ins w:id="9002" w:author="Matthew Wallenstein" w:date="2026-08-29T12:00:00Z">
              <w:r>
                <w:rPr>
                  <w:sz w:val="16"/>
                </w:rPr>
                <w:t xml:space="preserve">6.198</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1.10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3.71</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Europe</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210.1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125.1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3" w:author="Matthew Wallenstein" w:date="2026-08-29T12:00:00Z">
              <w:r>
                <w:rPr>
                  <w:sz w:val="16"/>
                </w:rPr>
                <w:delText xml:space="preserve">6.119</w:delText>
              </w:r>
            </w:del>
            <w:ins w:id="9004" w:author="Matthew Wallenstein" w:date="2026-08-29T12:00:00Z">
              <w:r>
                <w:rPr>
                  <w:sz w:val="16"/>
                </w:rPr>
                <w:t xml:space="preserve">6.022</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5" w:author="Matthew Wallenstein" w:date="2026-08-29T12:00:00Z">
              <w:r>
                <w:rPr>
                  <w:sz w:val="16"/>
                </w:rPr>
                <w:delText xml:space="preserve">6.095</w:delText>
              </w:r>
            </w:del>
            <w:ins w:id="9006" w:author="Matthew Wallenstein" w:date="2026-08-29T12:00:00Z">
              <w:r>
                <w:rPr>
                  <w:sz w:val="16"/>
                </w:rPr>
                <w:t xml:space="preserve">6.220</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3.13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76.5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7" w:author="Matthew Wallenstein" w:date="2026-08-29T12:00:00Z">
              <w:r>
                <w:rPr>
                  <w:sz w:val="16"/>
                </w:rPr>
                <w:delText xml:space="preserve">3.636</w:delText>
              </w:r>
            </w:del>
            <w:ins w:id="9008" w:author="Matthew Wallenstein" w:date="2026-08-29T12:00:00Z">
              <w:r>
                <w:rPr>
                  <w:sz w:val="16"/>
                </w:rPr>
                <w:t xml:space="preserve">3.773</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7" w:author="Matthew Wallenstein" w:date="2026-08-29T12:00:00Z">
              <w:r>
                <w:rPr>
                  <w:sz w:val="16"/>
                </w:rPr>
                <w:delText xml:space="preserve">1.76</w:delText>
              </w:r>
            </w:del>
            <w:ins w:id="9018" w:author="Matthew Wallenstein" w:date="2026-08-29T12:00:00Z">
              <w:r>
                <w:rPr>
                  <w:sz w:val="16"/>
                </w:rPr>
                <w:t xml:space="preserve">1.83</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96.5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09" w:author="Matthew Wallenstein" w:date="2026-08-29T12:00:00Z">
              <w:r>
                <w:rPr>
                  <w:sz w:val="16"/>
                </w:rPr>
                <w:delText xml:space="preserve">4.871</w:delText>
              </w:r>
            </w:del>
            <w:ins w:id="9010" w:author="Matthew Wallenstein" w:date="2026-08-29T12:00:00Z">
              <w:r>
                <w:rPr>
                  <w:sz w:val="16"/>
                </w:rPr>
                <w:t xml:space="preserve">4.874</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L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133.6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1" w:author="Matthew Wallenstein" w:date="2026-08-29T12:00:00Z">
              <w:r>
                <w:rPr>
                  <w:sz w:val="16"/>
                </w:rPr>
                <w:delText xml:space="preserve">5.602</w:delText>
              </w:r>
            </w:del>
            <w:ins w:id="9012" w:author="Matthew Wallenstein" w:date="2026-08-29T12:00:00Z">
              <w:r>
                <w:rPr>
                  <w:sz w:val="16"/>
                </w:rPr>
                <w:t xml:space="preserve">5.414</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9" w:author="Matthew Wallenstein" w:date="2026-08-29T12:00:00Z">
              <w:r>
                <w:rPr>
                  <w:sz w:val="16"/>
                </w:rPr>
                <w:delText xml:space="preserve">3.56</w:delText>
              </w:r>
            </w:del>
            <w:ins w:id="9020" w:author="Matthew Wallenstein" w:date="2026-08-29T12:00:00Z">
              <w:r>
                <w:rPr>
                  <w:sz w:val="16"/>
                </w:rPr>
                <w:t xml:space="preserve">3.43</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Sub-Saharan Africa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3" w:author="Matthew Wallenstein" w:date="2026-08-29T12:00:00Z">
              <w:r>
                <w:rPr>
                  <w:sz w:val="16"/>
                </w:rPr>
                <w:delText xml:space="preserve">3.876</w:delText>
              </w:r>
            </w:del>
            <w:ins w:id="9014" w:author="Matthew Wallenstein" w:date="2026-08-29T12:00:00Z">
              <w:r>
                <w:rPr>
                  <w:sz w:val="16"/>
                </w:rPr>
                <w:t xml:space="preserve">3.967</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0.40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21" w:author="Matthew Wallenstein" w:date="2026-08-29T12:00:00Z">
              <w:r>
                <w:rPr>
                  <w:sz w:val="16"/>
                </w:rPr>
                <w:delText xml:space="preserve">1.26</w:delText>
              </w:r>
            </w:del>
            <w:ins w:id="9022" w:author="Matthew Wallenstein" w:date="2026-08-29T12:00:00Z">
              <w:r>
                <w:rPr>
                  <w:sz w:val="16"/>
                </w:rPr>
                <w:t xml:space="preserve">1.29</w:t>
              </w:r>
            </w:ins>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FSU/C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143.0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15" w:author="Matthew Wallenstein" w:date="2026-08-29T12:00:00Z">
              <w:r>
                <w:rPr>
                  <w:sz w:val="16"/>
                </w:rPr>
                <w:delText xml:space="preserve">4.293</w:delText>
              </w:r>
            </w:del>
            <w:ins w:id="9016" w:author="Matthew Wallenstein" w:date="2026-08-29T12:00:00Z">
              <w:r>
                <w:rPr>
                  <w:sz w:val="16"/>
                </w:rPr>
                <w:t xml:space="preserve">4.318</w:t>
              </w:r>
            </w:ins>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del w:id="9023" w:author="Matthew Wallenstein" w:date="2026-08-29T12:00:00Z">
              <w:r>
                <w:rPr>
                  <w:sz w:val="16"/>
                </w:rPr>
                <w:delText xml:space="preserve">1.68</w:delText>
              </w:r>
            </w:del>
            <w:ins w:id="9024" w:author="Matthew Wallenstein" w:date="2026-08-29T12:00:00Z">
              <w:r>
                <w:rPr>
                  <w:sz w:val="16"/>
                </w:rPr>
                <w:t xml:space="preserve">1.69</w:t>
              </w:r>
            </w:ins>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725578"/>
            <wp:effectExtent l="0" t="0" r="0" b="0"/>
            <wp:docPr id="12" name="Picture 156109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pic:cNvPicPr>
                      <a:picLocks noChangeAspect="1" noChangeArrowheads="1"/>
                    </pic:cNvPicPr>
                  </pic:nvPicPr>
                  <pic:blipFill>
                    <a:blip r:embed="rId13"/>
                    <a:stretch>
                      <a:fillRect/>
                    </a:stretch>
                  </pic:blipFill>
                  <pic:spPr bwMode="auto">
                    <a:xfrm>
                      <a:off x="0" y="0"/>
                      <a:ext cx="5486400" cy="2725578"/>
                    </a:xfrm>
                    <a:prstGeom prst="rect">
                      <a:avLst/>
                    </a:prstGeom>
                    <a:noFill/>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343632"/>
            <wp:effectExtent l="0" t="0" r="0" b="0"/>
            <wp:docPr id="13" name="Picture 156109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pic:cNvPicPr>
                      <a:picLocks noChangeAspect="1" noChangeArrowheads="1"/>
                    </pic:cNvPicPr>
                  </pic:nvPicPr>
                  <pic:blipFill>
                    <a:blip r:embed="rId14"/>
                    <a:stretch>
                      <a:fillRect/>
                    </a:stretch>
                  </pic:blipFill>
                  <pic:spPr bwMode="auto">
                    <a:xfrm>
                      <a:off x="0" y="0"/>
                      <a:ext cx="5486400" cy="3343632"/>
                    </a:xfrm>
                    <a:prstGeom prst="rect">
                      <a:avLst/>
                    </a:prstGeom>
                    <a:noFill/>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start="360"/>
        <w:rPr/>
      </w:pPr>
      <w:r>
        <w:rPr/>
        <w:t>References 1–37 are listed in the main manuscript.</w:t>
      </w:r>
    </w:p>
    <w:p>
      <w:pPr>
        <w:pStyle w:val="Normal"/>
        <w:spacing w:lineRule="auto" w:line="480" w:before="0" w:after="120"/>
        <w:ind w:hanging="360" w:star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star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Comment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Comment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CommentText">
    <w:name w:val="annotation text"/>
    <w:basedOn w:val="Normal"/>
    <w:link w:val="CommentTextChar"/>
    <w:uiPriority w:val="99"/>
    <w:unhideWhenUsed/>
    <w:rsid w:val="00a16c3f"/>
    <w:pPr/>
    <w:rPr>
      <w:sz w:val="20"/>
      <w:szCs w:val="20"/>
    </w:rPr>
  </w:style>
  <w:style w:type="paragraph" w:styleId="annotationsubject">
    <w:name w:val="annotation subject"/>
    <w:basedOn w:val="CommentText"/>
    <w:next w:val="Comment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LibreOffice/26.2.4.2$Linux_AARCH64 LibreOffice_project/620$Build-2</Application>
  <AppVersion>15.0000</AppVersion>
  <Pages>6</Pages>
  <Words>828</Words>
  <Characters>4871</Characters>
  <CharactersWithSpaces>5603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Matthew Wallenstein</cp:lastModifiedBy>
  <cp:lastPrinted>2026-05-26T16:47:00Z</cp:lastPrinted>
  <dcterms:modified xsi:type="dcterms:W3CDTF">2026-07-24T00:00:00Z</dcterms:modified>
  <cp:revision>4</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