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t xml:space="preserve">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w:t>
      </w:r>
      <w:del w:id="9001" w:author="Matthew Wallenstein" w:date="2026-08-29T12:00:00Z">
        <w:r>
          <w:delText xml:space="preserve">up to2.5-4.2 percentage points smaller gross margin losses, with the largest contrast in Sub-Saharan Africa</w:delText>
        </w:r>
      </w:del>
      <w:ins w:id="9002" w:author="Matthew Wallenstein" w:date="2026-08-29T12:00:00Z">
        <w:r>
          <w:t xml:space="preserve">and, across the four regions with audited nitrogen and crop prices, retain 0.3-1.0 percentage points more crop revenue net of nitrogen-fertilizer expenditure (a partial net-revenue measure), with the largest contrasts in North America and Sub-Saharan Africa</w:t>
        </w:r>
      </w:ins>
      <w:r>
        <w:t xml:space="preserve">. </w:t>
      </w:r>
      <w:del w:id="9001" w:author="Matthew Wallenstein" w:date="2026-08-29T12:00:00Z">
        <w:r>
          <w:delText xml:space="preserve">Across regions, yield and gross-margin losses reflect interactions among soil buffering, fertilizer-demand elasticity, base-yield position and food-demand elasticity.</w:delText>
        </w:r>
      </w:del>
      <w:ins w:id="9002" w:author="Matthew Wallenstein" w:date="2026-08-29T12:00:00Z">
        <w:r>
          <w:t xml:space="preserve">Across regions, yield and net-revenue outcomes reflect interactions among soil buffering, fertilizer-demand elasticity, base-yield position and food-demand elasticity.</w:t>
        </w:r>
      </w:ins>
      <w:r>
        <w:t xml:space="preserve">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t xml:space="preserve">A fertilizer crisis lands differently on each farm. Recent fertilizer market disruptions, from the 2022 Russian and Belarusian fertilizer export restrictions to the 2026 Strait of Hormuz crisis, have shown how quickly geopolitical shocks become farm input shocks. </w:t>
      </w:r>
      <w:del w:id="9001" w:author="Matthew Wallenstein" w:date="2026-08-29T12:00:00Z">
        <w:r>
          <w:delText xml:space="preserve">The 2026 disruption effectively closed a transit corridor carrying roughly one-third of global fertilizer trade</w:delText>
        </w:r>
      </w:del>
      <w:ins w:id="9002" w:author="Matthew Wallenstein" w:date="2026-08-29T12:00:00Z">
        <w:r>
          <w:t xml:space="preserve">The 2026 disruption effectively closed a transit corridor carrying roughly one-fifth of global seaborne fertilizer trade, including close to half of globally traded urea</w:t>
        </w:r>
      </w:ins>
      <w:r>
        <w:t xml:space="preserv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t xml:space="preserve">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w:t>
      </w:r>
      <w:del w:id="9003" w:author="Matthew Wallenstein" w:date="2026-08-29T12:00:00Z">
        <w:r>
          <w:delText xml:space="preserve">sensitivity 8.4 mm per percentage point of SOC (Minasny and McBratney [40])</w:delText>
        </w:r>
      </w:del>
      <w:ins w:id="9004" w:author="Matthew Wallenstein" w:date="2026-08-29T12:00:00Z">
        <w:r>
          <w:t xml:space="preserve">sensitivity 3.5 mm per percentage point of SOC, the meta-analytic central slope (Minasny and McBratney [40]); the 8.4 mm upper end of their reported range is used as a sensitivity bound</w:t>
        </w:r>
      </w:ins>
      <w:r>
        <w:t xml:space="preserve">;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t xml:space="preserve">The water stress multiplier represents the SOM–water-holding capacity (WHC) coupling as a smooth two-sided function of SOC relative to the regional baseline. SOC loss reduces WHC linearly (</w:t>
      </w:r>
      <w:del w:id="9005" w:author="Matthew Wallenstein" w:date="2026-08-29T12:00:00Z">
        <w:r>
          <w:delText xml:space="preserve">sensitivity 8.4 mm WHC per percentage point SOC, consistent with the meta-analytic slope reported by</w:delText>
        </w:r>
      </w:del>
      <w:ins w:id="9006" w:author="Matthew Wallenstein" w:date="2026-08-29T12:00:00Z">
        <w:r>
          <w:t xml:space="preserve">sensitivity 3.5 mm WHC per percentage point SOC, the meta-analytic central slope reported by</w:t>
        </w:r>
      </w:ins>
      <w:r>
        <w:t xml:space="preserve">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t xml:space="preserve">The economic component implements a partial-equilibrium model [22] that resolves fertilizer demand, food prices, and land allocation at each annual timestep across the three price-mediated scenario tiers (S1–S3; table 1).</w:t>
      </w:r>
      <w:ins w:id="9001" w:author="Matthew Wallenstein" w:date="2026-08-29T12:00:00Z">
        <w:r>
          <w:t xml:space="preserve">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w:t>
        </w:r>
      </w:ins>
      <w:r>
        <w:t xml:space="preserve">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t xml:space="preserve">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w:t>
      </w:r>
      <w:ins w:id="9002" w:author="Matthew Wallenstein" w:date="2026-08-29T12:00:00Z">
        <w:r>
          <w:t xml:space="preserv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w:t>
        </w:r>
      </w:ins>
      <w:r>
        <w:t xml:space="preserve"> (full equations in Supplementary Methods).</w:t>
      </w:r>
    </w:p>
    <w:p>
      <w:pPr>
        <w:pStyle w:val="Normal"/>
        <w:spacing w:lineRule="auto" w:line="480" w:before="0" w:after="200"/>
        <w:rPr/>
      </w:pPr>
      <w:del w:id="9003" w:author="Matthew Wallenstein" w:date="2026-08-29T12:00:00Z">
        <w:r>
          <w:delText xml:space="preserve">Farm-level gross margin is computed under the simplifying assumption that producers adjust fertilizer while holding other input quantities and costs constant. We compute it as revenue minus fertilizer cost: revenue (yield × regional crop price, both per hectare) minus fertilizer cost (fertilizer applied × regional fertilizer price × (1 + price shock)).</w:delText>
        </w:r>
      </w:del>
      <w:ins w:id="9004" w:author="Matthew Wallenstein" w:date="2026-08-29T12:00:00Z">
        <w:r>
          <w:t xml:space="preserve">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w:t>
        </w:r>
      </w:ins>
      <w:r>
        <w:t xml:space="preserve"> Regional fertilizer prices are 2019–2023 averages for urea equivalents from IFA and FAO commodity price series. Other production costs (seed, labor, land) are assumed constant across shock and baseline conditions; </w:t>
      </w:r>
      <w:del w:id="9005" w:author="Matthew Wallenstein" w:date="2026-08-29T12:00:00Z">
        <w:r>
          <w:delText xml:space="preserve">this calculation therefore captures percent changes in shock-driven margin impacts but not full economic profit or net farm income. All gross margin impacts are expressed as percentage changes</w:delText>
        </w:r>
      </w:del>
      <w:ins w:id="9006" w:author="Matthew Wallenstein" w:date="2026-08-29T12:00:00Z">
        <w:r>
          <w:t xml:space="preserve">this calculation therefore captures percent changes in the shock-driven nitrogen-revenue trade-off but not full economic profit. All net-revenue impacts are expressed as percentage changes</w:t>
        </w:r>
      </w:ins>
      <w:r>
        <w:t xml:space="preserve">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00"/>
        <w:gridCol w:w="1600"/>
        <w:gridCol w:w="1397"/>
        <w:gridCol w:w="1403"/>
        <w:gridCol w:w="1396"/>
        <w:gridCol w:w="1404"/>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4"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4"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rPr/>
      </w:r>
    </w:p>
    <w:p>
      <w:pPr>
        <w:pStyle w:val="Normal"/>
        <w:spacing w:lineRule="auto" w:line="480" w:before="0" w:after="200"/>
        <w:rPr>
          <w:del w:id="9001" w:author="Matthew Wallenstein" w:date="2026-08-29T12:00:00Z"/>
        </w:rPr>
      </w:pPr>
      <w:del w:id="9002" w:author="Matthew Wallenstein" w:date="2026-08-29T12:00:00Z">
        <w:r>
          <w:rPr/>
          <w:delText>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delText>
        </w:r>
      </w:del>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w:t>
      </w:r>
      <m:oMath xmlns:m="http://schemas.openxmlformats.org/officeDocument/2006/math">
        <m:r>
          <m:t xml:space="preserve">εF</m:t>
        </m:r>
        <m:r>
          <m:t xml:space="preserve">,</m:t>
        </m:r>
        <m:r>
          <m:t xml:space="preserve">PF</m:t>
        </m:r>
      </m:oMath>
      <w:r>
        <w:t xml:space="preserve">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w:t>
      </w:r>
      <w:del w:id="9001" w:author="Matthew Wallenstein" w:date="2026-08-29T12:00:00Z">
        <w:r>
          <w:delText xml:space="preserve">A farm at the regional mean SOC (9 t C ha⁻¹) loses 3.5% of yield. A farm at half the mean loses 4.2%.</w:delText>
        </w:r>
      </w:del>
      <w:ins w:id="9002" w:author="Matthew Wallenstein" w:date="2026-08-29T12:00:00Z">
        <w:r>
          <w:t xml:space="preserve">A farm at the regional mean SOC (9 t C ha⁻¹) loses 3.4% of yield. A farm at half the mean loses 4.1%.</w:t>
        </w:r>
      </w:ins>
      <w:r>
        <w:t xml:space="preserve"> That is an additional 0.7 percentage points of yield loss under the same fertilizer-purchase response. </w:t>
      </w:r>
      <w:del w:id="9003" w:author="Matthew Wallenstein" w:date="2026-08-29T12:00:00Z">
        <w:r>
          <w:delText xml:space="preserve">At 120% of the mean, yield loss falls to 3.3%; at 200%, to 2.6%</w:delText>
        </w:r>
      </w:del>
      <w:ins w:id="9004" w:author="Matthew Wallenstein" w:date="2026-08-29T12:00:00Z">
        <w:r>
          <w:t xml:space="preserve">At 120% of the mean, yield loss falls to 3.2%; at 200%, to 2.5%</w:t>
        </w:r>
      </w:ins>
      <w:r>
        <w:t xml:space="preserve">,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del w:id="9001" w:author="Matthew Wallenstein" w:date="2026-08-29T12:00:00Z">
        <w:r>
          <w:delText xml:space="preserve">The same SOC buffer also reduces gross-margin losses (we report declines in gross margin computed by holding non-fertilizer input quantities and costs constant; figure 1b).</w:delText>
        </w:r>
      </w:del>
      <w:ins w:id="9002" w:author="Matthew Wallenstein" w:date="2026-08-29T12:00:00Z">
        <w:r>
          <w:t xml:space="preserve">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w:t>
        </w:r>
      </w:ins>
      <w:r>
        <w:t xml:space="preserve"> </w:t>
      </w:r>
      <w:del w:id="9005" w:author="Matthew Wallenstein" w:date="2026-08-29T12:00:00Z">
        <w:r>
          <w:delText xml:space="preserve">Under a 100% price spike, a Sub-Saharan African farm at the regional mean SOC seesgross margin decline by 11.4%, while a farm at half the mean sees a 15.6% decline. In South Asia, the margin penalty ranges from -8.7% at the regional mean SOC to -11.3% at half the mean, reflecting already-tight margins.</w:delText>
        </w:r>
      </w:del>
      <w:ins w:id="9006" w:author="Matthew Wallenstein" w:date="2026-08-29T12:00:00Z">
        <w:r>
          <w:t xml:space="preserve">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w:t>
        </w:r>
      </w:ins>
      <w:r>
        <w:t xml:space="preserve"> </w:t>
      </w:r>
      <w:del w:id="9007" w:author="Matthew Wallenstein" w:date="2026-08-29T12:00:00Z">
        <w:r>
          <w:delText xml:space="preserve">The difference between SOC at 50% and 100% of the regional mean translates to up to ~4 percentage points less gross margin loss under a single-season crisis (SSA, 4.2 percentage points; South Asia, 2.5 percentage points; Latin America, 2.6 percentage points; North America, 3.1 percentage points). In Sub-Saharan Africa (SSA), where fertilizer costs are high relative to crop revenue, margin impacts are substantially larger than yield impacts. In North America, yield and margin impacts are similar because fertilizer costs represent a smaller share of crop revenue.</w:delText>
        </w:r>
      </w:del>
      <w:ins w:id="9008" w:author="Matthew Wallenstein" w:date="2026-08-29T12:00:00Z">
        <w:r>
          <w:t xml:space="preserve">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ins>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6342"/>
                    <a:stretch>
                      <a:fillRect/>
                    </a:stretch>
                  </pic:blipFill>
                  <pic:spPr bwMode="auto">
                    <a:xfrm>
                      <a:off x="0" y="0"/>
                      <a:ext cx="5943600" cy="2238074"/>
                    </a:xfrm>
                    <a:prstGeom prst="rect">
                      <a:avLst/>
                    </a:prstGeom>
                    <a:noFill/>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del w:id="9001" w:author="Matthew Wallenstein" w:date="2026-08-29T12:00:00Z">
        <w:r>
          <w:rPr>
            <w:rFonts w:eastAsia="Arial" w:cs="Arial" w:ascii="Arial" w:hAnsi="Arial"/>
            <w:sz w:val="20"/>
            <w:szCs w:val="20"/>
          </w:rPr>
          <w:delText xml:space="preserve">Farm-level yield and gross margin buffering under a 100% fertilizer price spike. Negative values indicate losses relative to baseline.</w:delText>
        </w:r>
      </w:del>
      <w:ins w:id="9002" w:author="Matthew Wallenstein" w:date="2026-08-29T12:00:00Z">
        <w:r>
          <w:rPr>
            <w:rFonts w:eastAsia="Arial" w:cs="Arial" w:ascii="Arial" w:hAnsi="Arial"/>
            <w:sz w:val="20"/>
            <w:szCs w:val="20"/>
          </w:rPr>
          <w:t xml:space="preserve">Farm-level yield and partial net-revenue buffering under a 100% fertilizer price spike. Negative values indicate declines relative to the no-shock baseline.</w:t>
        </w:r>
      </w:ins>
      <w:r>
        <w:rPr>
          <w:rFonts w:eastAsia="Arial" w:cs="Arial" w:ascii="Arial" w:hAnsi="Arial"/>
          <w:sz w:val="20"/>
          <w:szCs w:val="20"/>
        </w:rPr>
        <w:t xml:space="preserv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w:t>
      </w:r>
      <w:del w:id="9003" w:author="Matthew Wallenstein" w:date="2026-08-29T12:00:00Z">
        <w:r>
          <w:rPr>
            <w:rFonts w:cs="Arial" w:ascii="Arial" w:hAnsi="Arial"/>
            <w:sz w:val="20"/>
            <w:szCs w:val="20"/>
          </w:rPr>
          <w:delText xml:space="preserve">Gross margin change under the same scenario, calculated as percent change holding non-fertilizer input quantities and costs constant.</w:delText>
        </w:r>
      </w:del>
      <w:ins w:id="9004" w:author="Matthew Wallenstein" w:date="2026-08-29T12:00:00Z">
        <w:r>
          <w:rPr>
            <w:rFonts w:cs="Arial" w:ascii="Arial" w:hAnsi="Arial"/>
            <w:sz w:val="20"/>
            <w:szCs w:val="20"/>
          </w:rPr>
          <w:t xml:space="preserve">Change in crop revenue net of nitrogen-fertilizer expenditure under the same scenario; this is not whole-farm gross margin because other costs are excluded.</w:t>
        </w:r>
      </w:ins>
      <w:r>
        <w:rPr>
          <w:rFonts w:cs="Arial" w:ascii="Arial" w:hAnsi="Arial"/>
          <w:sz w:val="20"/>
          <w:szCs w:val="20"/>
        </w:rPr>
        <w:t xml:space="preserve"> </w:t>
      </w:r>
    </w:p>
    <w:p>
      <w:pPr>
        <w:pStyle w:val="Normal"/>
        <w:rPr/>
      </w:pPr>
      <w:r>
        <w:rPr/>
      </w:r>
    </w:p>
    <w:p>
      <w:pPr>
        <w:pStyle w:val="Normal"/>
        <w:spacing w:lineRule="auto" w:line="480" w:before="0" w:after="200"/>
        <w:rPr/>
      </w:pPr>
      <w:r>
        <w:t xml:space="preserve">The SOC buffer widens with shock severity, especially above price increases of approximately 100–150%, </w:t>
      </w:r>
      <w:del w:id="9005" w:author="Matthew Wallenstein" w:date="2026-08-29T12:00:00Z">
        <w:r>
          <w:delText xml:space="preserve">a range observed during recent crises (Supplementary Fig. S11).The spread between SOC at 25% and 100%</w:delText>
        </w:r>
      </w:del>
      <w:ins w:id="9006" w:author="Matthew Wallenstein" w:date="2026-08-29T12:00:00Z">
        <w:r>
          <w:t xml:space="preserve">a range observed during recent crises (Supplementary Fig. S11). The spread between SOC at 25% and 100%</w:t>
        </w:r>
      </w:ins>
      <w:r>
        <w:t xml:space="preserve">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rPr/>
        <w:t xml:space="preserve">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smaller shock-induced losses at higher SOC,with the widest absolute gradients in Southeast Asia (from ~6.3% at 10% of regional mean SOC to ~2.6% at 200%) and South Asia (~7.5% to ~3.8%),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t xml:space="preserve">Under a sustained fertilizer price scenario calibrated to reduce regional fertilizer use by approximately 20% under S1 (a +104% price shock, production-weighted across regions and time-averaged across the years of sustained disruption), </w:t>
      </w:r>
      <w:del w:id="9001" w:author="Matthew Wallenstein" w:date="2026-08-29T12:00:00Z">
        <w:r>
          <w:delText xml:space="preserve">the depletion-driven compensation channel active in S3 partially offsets the response,so the realized S3 reduction averages approximately 20% over the sustained-disruption period.</w:delText>
        </w:r>
      </w:del>
      <w:ins w:id="9002" w:author="Matthew Wallenstein" w:date="2026-08-29T12:00:00Z">
        <w:r>
          <w:t xml:space="preserve">the depletion-driven compensation channel active in S3 partially offsets the response, so the realized S3 reduction averages approximately 19% over the sustained-disruption period (production-weighted across regions and averaged over the disruption years).</w:t>
        </w:r>
      </w:ins>
      <w:r>
        <w:t xml:space="preserve"> </w:t>
      </w:r>
      <w:del w:id="9003" w:author="Matthew Wallenstein" w:date="2026-08-29T12:00:00Z">
        <w:r>
          <w:delText xml:space="preserve">Production-weighted global yield loss reaches 2.3% in year 1 and rises to 3.4% by year 10 as reduced residue return drives SOC depletion. Regional year-10 losses range from 1.3% (East Asia) to 6.0% (South Asia), with FSU/Central Asia at 5.5% and Sub-Saharan Africa at 5.4%. Latin America shows a modest modelled loss of 2.9% in year 10</w:delText>
        </w:r>
      </w:del>
      <w:ins w:id="9004" w:author="Matthew Wallenstein" w:date="2026-08-29T12:00:00Z">
        <w:r>
          <w:t xml:space="preserve">Production-weighted global yield loss reaches 2.3% in year 1 and rises to 3.0% by year 10 as reduced residue return drives SOC depletion. Regional year-10 losses range from 1.2% (East Asia) to 5.1% (FSU/Central Asia), with South Asia at 4.8% and Sub-Saharan Africa at 4.7%. Latin America shows a modest modelled loss of 2.4% in year 10</w:t>
        </w:r>
      </w:ins>
      <w:r>
        <w:t xml:space="preserve">,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rPr/>
        <w:t>Pairwise diagnostics across the eight modeled regions show that total year-10 yield penalties are structured by multiple covarying soil, climate, productivity and economic descriptors rather than by soil buffering alone. Larger modeled yield losses are associated with lower SOC stocks,a lower calibrated yield ceiling (y_max), higher baseline water deficits and lower BNF potential; these descriptors covary across regions and should be interpreted as a structural context rather than as independent drivers (Supplementary Note 3). Gross-margin losses follow the same descriptor structure with stronger amplitude in regions where fertilizer is a larger share of cost (Supplementary Note 3).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367"/>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644367"/>
                    </a:xfrm>
                    <a:prstGeom prst="rect">
                      <a:avLst/>
                    </a:prstGeom>
                    <a:noFill/>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w:t>
      </w:r>
      <w:ins w:id="9003" w:author="Matthew Wallenstein" w:date="2026-08-29T12:00:00Z">
        <w:r>
          <w:rPr>
            <w:rFonts w:eastAsia="Arial" w:cs="Arial" w:ascii="Arial" w:hAnsi="Arial"/>
            <w:sz w:val="20"/>
            <w:szCs w:val="20"/>
          </w:rPr>
          <w:t xml:space="preserve">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w:t>
        </w:r>
      </w:ins>
      <w:r>
        <w:rPr>
          <w:rFonts w:eastAsia="Arial" w:cs="Arial" w:ascii="Arial" w:hAnsi="Arial"/>
          <w:sz w:val="20"/>
          <w:szCs w:val="20"/>
        </w:rPr>
        <w:t xml:space="preserve">,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t xml:space="preserve">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w:t>
      </w:r>
      <w:del w:id="9005" w:author="Matthew Wallenstein" w:date="2026-08-29T12:00:00Z">
        <w:r>
          <w:delText xml:space="preserve">A 1-year pulse produces 2.3% global yield loss in year 1, with near-complete recovery to 0.3% by year 5 as soils re-equilibrate and food prices normalize.</w:delText>
        </w:r>
      </w:del>
      <w:ins w:id="9006" w:author="Matthew Wallenstein" w:date="2026-08-29T12:00:00Z">
        <w:r>
          <w:t xml:space="preserve">A 1-year pulse produces 2.3% global yield loss in year 1, with near-complete recovery to 0.01% by year 5 as soils re-equilibrate; the price shock ends with the pulse, so the residual loss in later years is attributable to soil state alone.</w:t>
        </w:r>
      </w:ins>
      <w:r>
        <w:t xml:space="preserve"> A sustained 10-year disruption, by contrast, shows no recovery: </w:t>
      </w:r>
      <w:del w:id="9007" w:author="Matthew Wallenstein" w:date="2026-08-29T12:00:00Z">
        <w:r>
          <w:delText xml:space="preserve">loss rises from 2.3% in year 1 to 3.4% by year 10 as reduced crop residue return drives SOC depletion. Under 30 years of sustained disruption, Sub-Saharan Africa's SOC declines by 2.5% and year-30 loss reaches 5.9%, among the largest modeled long-run losses (South Asia 6.3%, FSU/Central Asia 6.0%).</w:delText>
        </w:r>
      </w:del>
      <w:ins w:id="9008" w:author="Matthew Wallenstein" w:date="2026-08-29T12:00:00Z">
        <w:r>
          <w:t xml:space="preserve">loss rises from 2.3% in year 1 to 3.0% by year 10 as reduced crop residue return drives SOC depletion. Under 30 years of sustained disruption, Sub-Saharan Africa's SOC declines by 2.1% and its year-30 yield loss reaches 5.1% (South Asia 4.8%, FSU/Central Asia 5.2%). In percentage-of-stock terms, Sub-Saharan Africa and South Asia lose the largest shares of their soil carbon (2.14% and 2.09%); percentage SOC decline does not order regions the way yield loss does.</w:t>
        </w:r>
      </w:ins>
    </w:p>
    <w:p>
      <w:pPr>
        <w:pStyle w:val="Normal"/>
        <w:spacing w:lineRule="auto" w:line="480" w:before="0" w:after="200"/>
        <w:rPr/>
      </w:pPr>
      <w:r>
        <w:t xml:space="preserve">Price-mediated shocks and physical supply constraints produce different long-run trajectories. In S3, </w:t>
      </w:r>
      <w:del w:id="9001" w:author="Matthew Wallenstein" w:date="2026-08-29T12:00:00Z">
        <w:r>
          <w:delText xml:space="preserve">the price shock is calibrated to drive a 20% reduction under S1and realizes approximately 20% once the depletion-driven compensation channel</w:delText>
        </w:r>
      </w:del>
      <w:ins w:id="9002" w:author="Matthew Wallenstein" w:date="2026-08-29T12:00:00Z">
        <w:r>
          <w:t xml:space="preserve">the price shock is calibrated to drive a 20% reduction under S1 and realizes approximately 19% once the depletion-driven compensation channel</w:t>
        </w:r>
      </w:ins>
      <w:r>
        <w:t xml:space="preserve"> (ε_F,N) is active: the soil buffer tempers the initial shock but does not prevent compounding, </w:t>
      </w:r>
      <w:del w:id="9003" w:author="Matthew Wallenstein" w:date="2026-08-29T12:00:00Z">
        <w:r>
          <w:delText xml:space="preserve">with global year-10 yield loss reaching 3.4% and continuing to rise to 3.6% by year 30 as SOM depletes. SC1, a literal physical 20% supply constraint sustained indefinitely, produces a slightly larger year-10 loss (4.0%), about 0.6 percentage points beyond the price-mediated S3 case</w:delText>
        </w:r>
      </w:del>
      <w:ins w:id="9004" w:author="Matthew Wallenstein" w:date="2026-08-29T12:00:00Z">
        <w:r>
          <w:t xml:space="preserve">with global year-10 yield loss reaching 3.0% and continuing to rise to 3.1% by year 30 as SOM depletes. SC1, a literal physical 20% supply constraint sustained indefinitely, produces a larger year-10 loss (3.7%), about 0.7 percentage points beyond the price-mediated S3 case</w:t>
        </w:r>
      </w:ins>
      <w:r>
        <w:t xml:space="preserve">, reflecting the additional damage when the supply cap forecloses the depletion-driven compensation channel and applies a deeper effective cut, on the same compounding trajectory. </w:t>
      </w:r>
      <w:del w:id="9005" w:author="Matthew Wallenstein" w:date="2026-08-29T12:00:00Z">
        <w:r>
          <w:delText xml:space="preserve">SC2, in which the same physical constraint resolves linearly over 20 years, shows the opposite trajectory: a year-10 loss of 2.2% declines as supply returns, falling to 0.5% by year 20. The SC1–SC2 contrast quantifies the value of supply-side recovery: a permanent physical constraint (SC1) produces roughly ten times the year-30 yield loss of a constraint that resolves linearly over 20 years (SC2).</w:delText>
        </w:r>
      </w:del>
      <w:ins w:id="9006" w:author="Matthew Wallenstein" w:date="2026-08-29T12:00:00Z">
        <w:r>
          <w:t xml:space="preserve">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3.8% loss at year 30, while the constraint that resolves leaves essentially none (0.02%).</w:t>
        </w:r>
      </w:ins>
    </w:p>
    <w:p>
      <w:pPr>
        <w:pStyle w:val="Normal"/>
        <w:spacing w:lineRule="auto" w:line="480" w:before="0" w:after="200"/>
        <w:rPr/>
      </w:pPr>
      <w:r>
        <w:rPr/>
        <w:t>Replacing the Century/RothC engine with the microbially-explicit 4-pool SOM scheme (Methods) preserved the central conclusion that persistent disruptions erode the soil buffer, while producing SOC-loss estimates 0.9 to 2.5 times those of Century/RothC at year 30 (Supplementary Fig. S5; Supplementary table 2).</w:t>
      </w:r>
    </w:p>
    <w:p>
      <w:pPr>
        <w:pStyle w:val="Normal"/>
        <w:spacing w:lineRule="auto" w:line="480" w:before="0" w:after="200"/>
        <w:rPr>
          <w:rFonts w:ascii="Arial" w:hAnsi="Arial" w:eastAsia="Arial" w:cs="Arial"/>
          <w:b/>
          <w:bCs/>
          <w:i/>
          <w:iCs/>
        </w:rPr>
      </w:pPr>
      <w:r>
        <w:rPr>
          <w:rFonts w:eastAsia="Arial" w:cs="Arial" w:ascii="Arial" w:hAnsi="Arial"/>
          <w:b/>
          <w:bCs/>
          <w:i/>
          <w:iCs/>
        </w:rPr>
        <w:t>In-season N capture, an NUE component, reduces shock sensitivity</w:t>
      </w:r>
    </w:p>
    <w:p>
      <w:pPr>
        <w:pStyle w:val="Normal"/>
        <w:spacing w:lineRule="auto" w:line="480"/>
        <w:rPr/>
      </w:pPr>
      <w:del w:id="9001" w:author="Matthew Wallenstein" w:date="2026-08-29T12:00:00Z">
        <w:r>
          <w:rPr>
            <w:rFonts w:eastAsia="Arial"/>
          </w:rPr>
          <w:delText xml:space="preserve">Increasing modeled monthly N capture efficiency from 0.45 to 0.65reduces Sub-Saharan African year-10 yield loss by approximately 55% under the sustained-disruption scenario (Supplementary Fig. S10).</w:delText>
        </w:r>
      </w:del>
      <w:ins w:id="9002" w:author="Matthew Wallenstein" w:date="2026-08-29T12:00:00Z">
        <w:r>
          <w:rPr>
            <w:rFonts w:eastAsia="Arial"/>
          </w:rPr>
          <w:t xml:space="preserve">Increasing modeled monthly N capture efficiency from 0.45 to 0.65 reduces Sub-Saharan African year-10 yield loss by approximately 8% (from 5.3% to 4.9%) under the sustained-disruption scenario (Supplementary Fig. S10).</w:t>
        </w:r>
      </w:ins>
      <w:r>
        <w:rPr>
          <w:rFonts w:eastAsia="Arial"/>
        </w:rPr>
        <w:t xml:space="preserve"> At the baseline efficiency of 0.75, the same scenario produces a 3.4% global year-10 yield loss;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distT="0" distB="0" distL="114300" distR="114300" simplePos="0" relativeHeight="4" behindDoc="0" locked="0" layoutInCell="0" allowOverlap="1" wp14:anchorId="372AFEFE">
                <wp:simplePos x="0" y="0"/>
                <wp:positionH relativeFrom="column">
                  <wp:posOffset>0</wp:posOffset>
                </wp:positionH>
                <wp:positionV relativeFrom="paragraph">
                  <wp:posOffset>635</wp:posOffset>
                </wp:positionV>
                <wp:extent cx="5943600" cy="6262370"/>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6262200"/>
                          <a:chOff x="0" y="0"/>
                          <a:chExt cx="5943600" cy="6262200"/>
                        </a:xfrm>
                      </wpg:grpSpPr>
                      <pic:pic xmlns:pic="http://schemas.openxmlformats.org/drawingml/2006/picture">
                        <pic:nvPicPr>
                          <pic:cNvPr id="4" name="Image2"/>
                          <pic:cNvPicPr/>
                        </pic:nvPicPr>
                        <pic:blipFill>
                          <a:blip r:embed="rId4"/>
                          <a:stretch/>
                        </pic:blipFill>
                        <pic:spPr>
                          <a:xfrm>
                            <a:off x="0" y="0"/>
                            <a:ext cx="5943600" cy="3711600"/>
                          </a:xfrm>
                          <a:prstGeom prst="rect">
                            <a:avLst/>
                          </a:prstGeom>
                          <a:noFill/>
                          <a:ln w="0">
                            <a:noFill/>
                          </a:ln>
                        </pic:spPr>
                      </pic:pic>
                      <wps:wsp>
                        <wps:cNvPr id="5" name="Text Box 1"/>
                        <wps:cNvSpPr/>
                        <wps:spPr>
                          <a:xfrm>
                            <a:off x="0" y="3766320"/>
                            <a:ext cx="5943600" cy="2496240"/>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tIns="0" rIns="0" bIns="0" anchor="t">
                          <a:noAutofit/>
                        </wps:bodyPr>
                      </wps:wsp>
                    </wpg:wgp>
                  </a:graphicData>
                </a:graphic>
              </wp:anchor>
            </w:drawing>
          </mc:Choice>
          <mc:Fallback>
            <w:pict>
              <v:group id="shape_0" alt="Group 2" style="position:absolute;margin-left:0pt;margin-top:0pt;width:468pt;height:493.1pt" coordorigin="0,0"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0;width:9359;height:5844;mso-wrap-style:none;v-text-anchor:middle" type="_x0000_t75">
                  <v:imagedata r:id="rId5" o:detectmouseclick="t"/>
                  <v:stroke color="#3465a4" joinstyle="round" endcap="flat"/>
                  <w10:wrap type="square"/>
                </v:shape>
                <v:rect id="shape_0" fillcolor="white" stroked="f" o:allowincell="f" style="position:absolute;left:0;top:5931;width:9359;height:3930;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t xml:space="preserve">Our model shows that SOM buffers fertilizer disruptions, but persistent disruptions degrade the buffer. </w:t>
      </w:r>
      <w:del w:id="9005" w:author="Matthew Wallenstein" w:date="2026-08-29T12:00:00Z">
        <w:r>
          <w:delText xml:space="preserve">At the farm scale, higher SOC reduces yield and gross margin losses.</w:delText>
        </w:r>
      </w:del>
      <w:ins w:id="9006" w:author="Matthew Wallenstein" w:date="2026-08-29T12:00:00Z">
        <w:r>
          <w:t xml:space="preserve">At the farm scale, higher SOC reduces yield losses and, in the four priced regions, improves crop revenue net of nitrogen-fertilizer expenditure.</w:t>
        </w:r>
      </w:ins>
      <w:r>
        <w:t xml:space="preserv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w:t>
      </w:r>
      <w:del w:id="9001" w:author="Matthew Wallenstein" w:date="2026-08-29T12:00:00Z">
        <w:r>
          <w:delText xml:space="preserve">farms at the regional meanlose up to ~4 percentage points less gross margin under a 100% fertilizer-price spike (regional range 2.5–4.2 percentage points; figure 1b).</w:delText>
        </w:r>
      </w:del>
      <w:ins w:id="9002" w:author="Matthew Wallenstein" w:date="2026-08-29T12:00:00Z">
        <w:r>
          <w:t xml:space="preserve">farms at the regional mean retain up to ~1 percentage point more crop revenue net of nitrogen-fertilizer expenditure under a 100% fertilizer-price spike (regional range 0.3–1.0 percentage points; figure 1b).</w:t>
        </w:r>
      </w:ins>
      <w:r>
        <w:t xml:space="preserve"> </w:t>
      </w:r>
      <w:del w:id="9003" w:author="Matthew Wallenstein" w:date="2026-08-29T12:00:00Z">
        <w:r>
          <w:delText xml:space="preserve">In Sub-Saharan Africa, a farm at half the regional mean SOC loses 15.6% of gross margin versus 11.4% at the mean, a 4.2-percentage-point difference that is modest in relative terms but large enough to influence whether liquidity-constrained smallholders purchase</w:delText>
        </w:r>
      </w:del>
      <w:ins w:id="9004" w:author="Matthew Wallenstein" w:date="2026-08-29T12:00:00Z">
        <w:r>
          <w:t xml:space="preserve">In Sub-Saharan Africa, a farm at half the regional mean SOC loses 0.9% of net revenue where a farm at the mean is essentially unaffected, a contrast that is modest in absolute terms but concentrated exactly where liquidity-constrained smallholders decide whether to purchase</w:t>
        </w:r>
      </w:ins>
      <w:r>
        <w:t xml:space="preserv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del w:id="9005" w:author="Matthew Wallenstein" w:date="2026-08-29T12:00:00Z">
        <w:r>
          <w:delText xml:space="preserve">Commercial systems, by contrast, experience the buffer mainly as margin stability under input-price volatility rather than as a food-security constraint, so the policy rationale differs by farm type.</w:delText>
        </w:r>
      </w:del>
    </w:p>
    <w:p>
      <w:pPr>
        <w:pStyle w:val="Normal"/>
        <w:spacing w:lineRule="auto" w:line="480" w:before="0" w:after="200"/>
        <w:rPr/>
      </w:pPr>
      <w:r>
        <w:rPr/>
        <w:t>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and the fertilizer share in regional gross margin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t xml:space="preserve">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w:t>
      </w:r>
      <w:del w:id="9001" w:author="Matthew Wallenstein" w:date="2026-08-29T12:00:00Z">
        <w:r>
          <w:delText xml:space="preserve">raising modeled monthly N capture efficiency from 0.45 to 0.65reduces Sub-Saharan African year-10 yield loss by approximately 55% (Supplementary Fig. S10), indicating that improvements in timing, placement, retention and crop uptake can extend the productive value of existing soil N buffering during disruption.</w:delText>
        </w:r>
      </w:del>
      <w:ins w:id="9002" w:author="Matthew Wallenstein" w:date="2026-08-29T12:00:00Z">
        <w:r>
          <w:t xml:space="preserve">raising modeled monthly N capture efficiency from 0.45 to 0.65 reduces Sub-Saharan African year-10 yield loss by approximately 8% (Supplementary Fig. S10), indicating that improvements in timing, placement, retention and crop uptake can modestly extend the productive value of existing soil N buffering during disruption.</w:t>
        </w:r>
      </w:ins>
      <w:r>
        <w:t xml:space="preserve">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rPr/>
        <w:t xml:space="preserve">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the SC1–SC2 contrast shows thata permanent physical constraint produces roughly ten times the year-30 yield loss of one that resolves linearly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t xml:space="preserve">Parameter uncertainty shifts the magnitude of these effects but not their direction. Price elasticities carry substantial uncertainty, particularly for Sub-Saharan Africa (εF,PF: −0.15 to −0.70 across country-level estimates); </w:t>
      </w:r>
      <w:del w:id="9003" w:author="Matthew Wallenstein" w:date="2026-08-29T12:00:00Z">
        <w:r>
          <w:delText xml:space="preserve">halving all elasticities preserves the qualitative regional pattern whilecompressing global year-10 yield loss by approximately 46% (Supplementary Fig. S8).</w:delText>
        </w:r>
      </w:del>
      <w:ins w:id="9004" w:author="Matthew Wallenstein" w:date="2026-08-29T12:00:00Z">
        <w:r>
          <w:t xml:space="preserve">halving all elasticities preserves the qualitative regional pattern while compressing global year-10 yield loss by approximately 50% (Supplementary Fig. S8).</w:t>
        </w:r>
      </w:ins>
      <w:r>
        <w:t xml:space="preserve">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but widens the uncertainty range (Supplementary Fig. S5; Supplementary table 2), implying that microbially driven stabilization feedbacks could accelerate soil nitrogen depletion under prolonged shortfalls and shorten the window over which the buffer remains intact.</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rPr/>
        <w:t>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gradients drive percentage-point differences in shock-induced yield and gross-margin losses, and that the largest soil-mediated contrasts occur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ins w:id="9003" w:author="Matthew Wallenstein" w:date="2026-08-29T12:00:00Z"/>
        </w:rPr>
      </w:pPr>
      <w:ins w:id="9004" w:author="Matthew Wallenstein" w:date="2026-08-29T12:00:00Z">
        <w:r>
          <w:t xml:space="preserve">AI use statement</w:t>
        </w:r>
      </w:ins>
    </w:p>
    <w:p>
      <w:pPr>
        <w:rPr>
          <w:ins w:id="9005" w:author="Matthew Wallenstein" w:date="2026-08-29T12:00:00Z"/>
        </w:rPr>
      </w:pPr>
      <w:ins w:id="9006" w:author="Matthew Wallenstein" w:date="2026-08-29T12:00:00Z">
        <w:r>
          <w:t xml:space="preserve">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ins>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star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star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star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star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start="360"/>
        <w:rPr/>
      </w:pPr>
      <w:r>
        <w:rPr/>
        <w:t>[5] FAO 2025 FAOSTAT: Fertilizers by Nutrient and Producer Prices (https://www.fao.org/faostat)</w:t>
      </w:r>
    </w:p>
    <w:p>
      <w:pPr>
        <w:pStyle w:val="Normal"/>
        <w:spacing w:before="0" w:after="120"/>
        <w:ind w:hanging="360" w:star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star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star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star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star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star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star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star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star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star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star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star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star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star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star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star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star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star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star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star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star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start="360"/>
        <w:rPr/>
      </w:pPr>
      <w:r>
        <w:rPr/>
        <w:t>[27] International Fertilizer Association (IFA) 2025 IFASTAT: Production, Trade, and Consumption Statistics (https://www.ifastat.org)</w:t>
      </w:r>
    </w:p>
    <w:p>
      <w:pPr>
        <w:pStyle w:val="Normal"/>
        <w:spacing w:before="0" w:after="120"/>
        <w:ind w:hanging="360" w:star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star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star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star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star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star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star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star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start="360"/>
        <w:rPr/>
      </w:pPr>
      <w:r>
        <w:rPr/>
        <w:t>[36] African Union Commission 2024 African Fertilizer and Soil Health Summit: Nairobi Declaration (Nairobi, Kenya)</w:t>
      </w:r>
    </w:p>
    <w:p>
      <w:pPr>
        <w:pStyle w:val="Normal"/>
        <w:spacing w:before="0" w:after="120"/>
        <w:ind w:hanging="360" w:star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Comment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CommentText">
    <w:name w:val="annotation text"/>
    <w:basedOn w:val="Normal"/>
    <w:link w:val="CommentTextChar"/>
    <w:uiPriority w:val="99"/>
    <w:unhideWhenUsed/>
    <w:rsid w:val="00bf6eb9"/>
    <w:pPr/>
    <w:rPr>
      <w:sz w:val="20"/>
      <w:szCs w:val="20"/>
    </w:rPr>
  </w:style>
  <w:style w:type="paragraph" w:styleId="annotationsubject">
    <w:name w:val="annotation subject"/>
    <w:basedOn w:val="CommentText"/>
    <w:next w:val="Comment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LibreOffice/26.2.4.2$Linux_AARCH64 LibreOffice_project/620$Build-2</Application>
  <AppVersion>15.0000</AppVersion>
  <Pages>12</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Matthew Wallenstein</cp:lastModifiedBy>
  <cp:lastPrinted>2026-05-26T17:25:00Z</cp:lastPrinted>
  <dcterms:modified xsi:type="dcterms:W3CDTF">2026-07-24T00:00:00Z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