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w:t>
      </w:r>
      <w:del w:id="9001" w:author="Matthew Wallenstein" w:date="2026-08-29T12:00:00Z">
        <w:r>
          <w:delText xml:space="preserve">microbially-explicit 4-pool versus Century stabilization (Supplementary Figure S5, Supplementary table 2)</w:delText>
        </w:r>
      </w:del>
      <w:ins w:id="9002" w:author="Matthew Wallenstein" w:date="2026-08-29T12:00:00Z">
        <w:r>
          <w:t xml:space="preserve">microbially-explicit 4-pool versus Century stabilization (Supplementary Note 2; the quantitative comparison is withdrawn in this revision)</w:t>
        </w:r>
      </w:ins>
      <w:r>
        <w:t xml:space="preserve">,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t xml:space="preserve">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w:t>
      </w:r>
      <w:del w:id="9001" w:author="Matthew Wallenstein" w:date="2026-08-29T12:00:00Z">
        <w:r>
          <w:delText xml:space="preserve">Regional BNF values are: North America 25 kg N ha⁻¹ yr⁻¹, Europe 25, East Asia 20, South Asia 20, Southeast Asia 25, Latin America 35, Sub-Saharan Africa 15, Former Soviet Union 20 kg N ha⁻¹ yr⁻¹.</w:delText>
        </w:r>
      </w:del>
      <w:ins w:id="9002" w:author="Matthew Wallenstein" w:date="2026-08-29T12:00:00Z">
        <w:r>
          <w:t xml:space="preserve">Regional BNF values, expressed per cereal hectare as derived from the legume-share components, are: North America 31.9 kg N ha⁻¹ yr⁻¹, Europe 18.3, East Asia 13.8, South Asia 22.1, Southeast Asia 23.0, Latin America 37.7, Sub-Saharan Africa 15.0, Former Soviet Union/Central Asia 13.8 kg N ha⁻¹ yr⁻¹.</w:t>
        </w:r>
      </w:ins>
      <w:r>
        <w:t xml:space="preserve">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del w:id="9001" w:author="Matthew Wallenstein" w:date="2026-08-29T12:00:00Z">
        <w:r>
          <w:delText xml:space="preserve">Where the stoichiometric N-cost cap on yield binds, β + γ collapse to unity in the linear regime. Market clearing </w:delText>
        </w:r>
      </w:del>
      <w:ins w:id="9002" w:author="Matthew Wallenstein" w:date="2026-08-29T12:00:00Z">
        <w:r>
          <w:t xml:space="preserve">Where the stoichiometric N-cost cap on yield binds, β + γ collapse to unity in the linear regime. These elasticities are reported as diagnostics; the clearing itself equates demand with the realized biophysical production response as described above. Market clearing </w:t>
        </w:r>
      </w:ins>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del w:id="9001" w:author="Matthew Wallenstein" w:date="2026-08-29T12:00:00Z">
              <w:r>
                <w:rPr>
                  <w:sz w:val="20"/>
                  <w:szCs w:val="20"/>
                </w:rPr>
                <w:delText xml:space="preserve">Local Mitscherlich elasticities of yield with respect to soil N and applied fertilizer, recomputed annually</w:delText>
              </w:r>
            </w:del>
            <w:ins w:id="9002" w:author="Matthew Wallenstein" w:date="2026-08-29T12:00:00Z">
              <w:r>
                <w:rPr>
                  <w:sz w:val="20"/>
                  <w:szCs w:val="20"/>
                </w:rPr>
                <w:t xml:space="preserve">Local Mitscherlich elasticities of yield with respect to soil N and applied fertilizer, recomputed annually; diagnostic only, they do not enter the market clearing</w:t>
              </w:r>
            </w:ins>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del w:id="9001" w:author="Matthew Wallenstein" w:date="2026-08-29T12:00:00Z">
        <w:r>
          <w:delText xml:space="preserve">with the soil-N depletion feedback ε_F,N active,the realized fertilizer-use reduction under S3 averages approximately 20% over the sustained-disruption period.</w:delText>
        </w:r>
      </w:del>
      <w:ins w:id="9002" w:author="Matthew Wallenstein" w:date="2026-08-29T12:00:00Z">
        <w:r>
          <w:t xml:space="preserve">with the soil-N depletion feedback ε_F,N active, the realized fertilizer-use reduction under S3 averages approximately 19% over the sustained-disruption period (production-weighted across regions and averaged over the disruption years).</w:t>
        </w:r>
      </w:ins>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del w:id="9003" w:author="Matthew Wallenstein" w:date="2026-08-29T12:00:00Z">
        <w:r>
          <w:delText xml:space="preserve">Sub-Saharan Africa $1.40/kg N (reflecting transport and distribution premiums)</w:delText>
        </w:r>
      </w:del>
      <w:ins w:id="9004" w:author="Matthew Wallenstein" w:date="2026-08-29T12:00:00Z">
        <w:r>
          <w:t xml:space="preserve">Sub-Saharan Africa $2.30/kg N (non-subsidised retail, reflecting transport and distribution premiums)</w:t>
        </w:r>
      </w:ins>
      <w:r>
        <w:t xml:space="preserve">, South Asia $1.20/kg N, Latin America $1.15/kg N, North America $1.10/kg N. Regional crop prices are production-weighted cereal price averages drawn from FAOSTAT producer-price series: Sub-Saharan Africa $300/t, South Asia $280/t, Latin America $260/t, North America $250/t. </w:t>
      </w:r>
      <w:del w:id="9001" w:author="Matthew Wallenstein" w:date="2026-08-29T12:00:00Z">
        <w:r>
          <w:delText xml:space="preserve">Gross margin impacts are expressed as percentage changes from the no-shock baseline at each SOC level (formula in main Methods).</w:delText>
        </w:r>
      </w:del>
      <w:ins w:id="9002" w:author="Matthew Wallenstein" w:date="2026-08-29T12:00:00Z">
        <w:r>
          <w:t xml:space="preserve">Net-revenue impacts (crop revenue net of nitrogen-fertilizer expenditure; a partial measure, not whole-farm gross margin) are expressed as percentage changes from the no-shock baseline at each SOC level (formula in main Methods).</w:t>
        </w:r>
      </w:ins>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t xml:space="preserve">The fraction of crop nitrogen supplied by mineralization rather than synthetic inputs, the soil nitrogen buffer ratio, provides a measure of each region’s internal nitrogen supply capacity. </w:t>
      </w:r>
      <w:del w:id="9003" w:author="Matthew Wallenstein" w:date="2026-08-29T12:00:00Z">
        <w:r>
          <w:delText xml:space="preserve">This ratio ranges from 20% in East Asia (where intensive fertilization dominates nitrogen supply)to 62% in Latin America (where soils still supply most crop nitrogen).</w:delText>
        </w:r>
      </w:del>
      <w:ins w:id="9004" w:author="Matthew Wallenstein" w:date="2026-08-29T12:00:00Z">
        <w:r>
          <w:t xml:space="preserve">This ratio ranges from 20% in East Asia (where intensive fertilization dominates nitrogen supply) to 53% in Latin America (where soils supply roughly half of crop nitrogen).</w:t>
        </w:r>
      </w:ins>
      <w:r>
        <w:t xml:space="preserve">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001" w:author="Matthew Wallenstein" w:date="2026-08-29T12:00:00Z">
              <w:r>
                <w:rPr>
                  <w:sz w:val="18"/>
                  <w:szCs w:val="18"/>
                </w:rPr>
                <w:delText xml:space="preserve">25</w:delText>
              </w:r>
            </w:del>
            <w:ins w:id="9002" w:author="Matthew Wallenstein" w:date="2026-08-29T12:00:00Z">
              <w:r>
                <w:rPr>
                  <w:sz w:val="18"/>
                  <w:szCs w:val="18"/>
                </w:rPr>
                <w:t xml:space="preserve">31.9</w:t>
              </w:r>
            </w:ins>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del w:id="9003" w:author="Matthew Wallenstein" w:date="2026-08-29T12:00:00Z">
              <w:r>
                <w:rPr>
                  <w:sz w:val="18"/>
                  <w:szCs w:val="18"/>
                </w:rPr>
                <w:delText xml:space="preserve">25</w:delText>
              </w:r>
            </w:del>
            <w:ins w:id="9004" w:author="Matthew Wallenstein" w:date="2026-08-29T12:00:00Z">
              <w:r>
                <w:rPr>
                  <w:sz w:val="18"/>
                  <w:szCs w:val="18"/>
                </w:rPr>
                <w:t xml:space="preserve">18.3</w:t>
              </w:r>
            </w:ins>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005" w:author="Matthew Wallenstein" w:date="2026-08-29T12:00:00Z">
              <w:r>
                <w:rPr>
                  <w:sz w:val="18"/>
                  <w:szCs w:val="18"/>
                </w:rPr>
                <w:delText xml:space="preserve">20</w:delText>
              </w:r>
            </w:del>
            <w:ins w:id="9006" w:author="Matthew Wallenstein" w:date="2026-08-29T12:00:00Z">
              <w:r>
                <w:rPr>
                  <w:sz w:val="18"/>
                  <w:szCs w:val="18"/>
                </w:rPr>
                <w:t xml:space="preserve">13.8</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007" w:author="Matthew Wallenstein" w:date="2026-08-29T12:00:00Z">
              <w:r>
                <w:rPr>
                  <w:sz w:val="18"/>
                  <w:szCs w:val="18"/>
                </w:rPr>
                <w:delText xml:space="preserve">20</w:delText>
              </w:r>
            </w:del>
            <w:ins w:id="9008" w:author="Matthew Wallenstein" w:date="2026-08-29T12:00:00Z">
              <w:r>
                <w:rPr>
                  <w:sz w:val="18"/>
                  <w:szCs w:val="18"/>
                </w:rPr>
                <w:t xml:space="preserve">22.1</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009" w:author="Matthew Wallenstein" w:date="2026-08-29T12:00:00Z">
              <w:r>
                <w:rPr>
                  <w:sz w:val="18"/>
                  <w:szCs w:val="18"/>
                </w:rPr>
                <w:delText xml:space="preserve">25</w:delText>
              </w:r>
            </w:del>
            <w:ins w:id="9010" w:author="Matthew Wallenstein" w:date="2026-08-29T12:00:00Z">
              <w:r>
                <w:rPr>
                  <w:sz w:val="18"/>
                  <w:szCs w:val="18"/>
                </w:rPr>
                <w:t xml:space="preserve">23.0</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011" w:author="Matthew Wallenstein" w:date="2026-08-29T12:00:00Z">
              <w:r>
                <w:rPr>
                  <w:sz w:val="18"/>
                  <w:szCs w:val="18"/>
                </w:rPr>
                <w:delText xml:space="preserve">35</w:delText>
              </w:r>
            </w:del>
            <w:ins w:id="9012" w:author="Matthew Wallenstein" w:date="2026-08-29T12:00:00Z">
              <w:r>
                <w:rPr>
                  <w:sz w:val="18"/>
                  <w:szCs w:val="18"/>
                </w:rPr>
                <w:t xml:space="preserve">37.7</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013" w:author="Matthew Wallenstein" w:date="2026-08-29T12:00:00Z">
              <w:r>
                <w:rPr>
                  <w:sz w:val="18"/>
                  <w:szCs w:val="18"/>
                </w:rPr>
                <w:delText xml:space="preserve">15</w:delText>
              </w:r>
            </w:del>
            <w:ins w:id="9014" w:author="Matthew Wallenstein" w:date="2026-08-29T12:00:00Z">
              <w:r>
                <w:rPr>
                  <w:sz w:val="18"/>
                  <w:szCs w:val="18"/>
                </w:rPr>
                <w:t xml:space="preserve">15.0</w:t>
              </w:r>
            </w:ins>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del w:id="9015" w:author="Matthew Wallenstein" w:date="2026-08-29T12:00:00Z">
              <w:r>
                <w:rPr>
                  <w:sz w:val="18"/>
                  <w:szCs w:val="18"/>
                </w:rPr>
                <w:delText xml:space="preserve">20</w:delText>
              </w:r>
            </w:del>
            <w:ins w:id="9016" w:author="Matthew Wallenstein" w:date="2026-08-29T12:00:00Z">
              <w:r>
                <w:rPr>
                  <w:sz w:val="18"/>
                  <w:szCs w:val="18"/>
                </w:rPr>
                <w:t xml:space="preserve">13.8</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001" w:author="Matthew Wallenstein" w:date="2026-08-29T12:00:00Z">
              <w:r>
                <w:rPr>
                  <w:sz w:val="18"/>
                  <w:szCs w:val="18"/>
                </w:rPr>
                <w:delText xml:space="preserve">50</w:delText>
              </w:r>
            </w:del>
            <w:ins w:id="9002" w:author="Matthew Wallenstein" w:date="2026-08-29T12:00:00Z">
              <w:r>
                <w:rPr>
                  <w:sz w:val="18"/>
                  <w:szCs w:val="18"/>
                </w:rPr>
                <w:t xml:space="preserve">43</w:t>
              </w:r>
            </w:ins>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del w:id="9003" w:author="Matthew Wallenstein" w:date="2026-08-29T12:00:00Z">
              <w:r>
                <w:rPr>
                  <w:sz w:val="18"/>
                  <w:szCs w:val="18"/>
                </w:rPr>
                <w:delText xml:space="preserve">36</w:delText>
              </w:r>
            </w:del>
            <w:ins w:id="9004" w:author="Matthew Wallenstein" w:date="2026-08-29T12:00:00Z">
              <w:r>
                <w:rPr>
                  <w:sz w:val="18"/>
                  <w:szCs w:val="18"/>
                </w:rPr>
                <w:t xml:space="preserve">33</w:t>
              </w:r>
            </w:ins>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005" w:author="Matthew Wallenstein" w:date="2026-08-29T12:00:00Z">
              <w:r>
                <w:rPr>
                  <w:sz w:val="18"/>
                  <w:szCs w:val="18"/>
                </w:rPr>
                <w:delText xml:space="preserve">52</w:delText>
              </w:r>
            </w:del>
            <w:ins w:id="9006" w:author="Matthew Wallenstein" w:date="2026-08-29T12:00:00Z">
              <w:r>
                <w:rPr>
                  <w:sz w:val="18"/>
                  <w:szCs w:val="18"/>
                </w:rPr>
                <w:t xml:space="preserve">50</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007" w:author="Matthew Wallenstein" w:date="2026-08-29T12:00:00Z">
              <w:r>
                <w:rPr>
                  <w:sz w:val="18"/>
                  <w:szCs w:val="18"/>
                </w:rPr>
                <w:delText xml:space="preserve">62</w:delText>
              </w:r>
            </w:del>
            <w:ins w:id="9008" w:author="Matthew Wallenstein" w:date="2026-08-29T12:00:00Z">
              <w:r>
                <w:rPr>
                  <w:sz w:val="18"/>
                  <w:szCs w:val="18"/>
                </w:rPr>
                <w:t xml:space="preserve">53</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009" w:author="Matthew Wallenstein" w:date="2026-08-29T12:00:00Z">
              <w:r>
                <w:rPr>
                  <w:sz w:val="18"/>
                  <w:szCs w:val="18"/>
                </w:rPr>
                <w:delText xml:space="preserve">54</w:delText>
              </w:r>
            </w:del>
            <w:ins w:id="9010" w:author="Matthew Wallenstein" w:date="2026-08-29T12:00:00Z">
              <w:r>
                <w:rPr>
                  <w:sz w:val="18"/>
                  <w:szCs w:val="18"/>
                </w:rPr>
                <w:t xml:space="preserve">46</w:t>
              </w:r>
            </w:ins>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del w:id="9011" w:author="Matthew Wallenstein" w:date="2026-08-29T12:00:00Z">
              <w:r>
                <w:rPr>
                  <w:sz w:val="18"/>
                  <w:szCs w:val="18"/>
                </w:rPr>
                <w:delText xml:space="preserve">49</w:delText>
              </w:r>
            </w:del>
            <w:ins w:id="9012" w:author="Matthew Wallenstein" w:date="2026-08-29T12:00:00Z">
              <w:r>
                <w:rPr>
                  <w:sz w:val="18"/>
                  <w:szCs w:val="18"/>
                </w:rPr>
                <w:t xml:space="preserve">45</w:t>
              </w:r>
            </w:ins>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t xml:space="preserve">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w:t>
      </w:r>
      <w:del w:id="9005" w:author="Matthew Wallenstein" w:date="2026-08-29T12:00:00Z">
        <w:r>
          <w:delText xml:space="preserve">The modelled Sub-Saharan African ceiling (y_max = 3.88 t/ha) falls below the observed ceiling median but within the inte</w:delText>
        </w:r>
      </w:del>
      <w:ins w:id="9006" w:author="Matthew Wallenstein" w:date="2026-08-29T12:00:00Z">
        <w:r>
          <w:t xml:space="preserve">The modelled Sub-Saharan African ceiling (y_max = 3.97 t/ha) falls below the observed ceiling median but within the inte</w:t>
        </w:r>
      </w:ins>
      <w:r>
        <w:t xml:space="preserv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del w:id="9003" w:author="Matthew Wallenstein" w:date="2026-08-29T12:00:00Z">
        <w:r>
          <w:delText xml:space="preserve">When the Century SOM engine is replaced by the microbially-explicit 4-pool SOM scheme, relative feedback magnitude ranges from 0.9× to 2.5× across regions. Alternative-engine/Century SOC-loss ratios range from 0.9× in Sub-Saharan Africa, where low initial SOC limits scope for further decline, to 2.5× in Latin America, where higher initial SOC levels provide more substrate for the microbial assimilation pathway. The median ratio is 1.8× at 30 years.</w:delText>
        </w:r>
      </w:del>
      <w:ins w:id="9004" w:author="Matthew Wallenstein" w:date="2026-08-29T12:00:00Z">
        <w:r>
          <w:t xml:space="preserve">The submitted version of this Note reported quantitative alternative-engine/Century SOC-loss ratios (0.9× to 2.5× across regions, median 1.8× at 30 years) from a microbially-explicit 4-pool run. That engine is not part of the deposited code and the ratios cannot be regenerated, so the quantitative comparison, Supplementary Figure S5 and Supplementary table 2 are withdrawn in this revision; a regenerable comparison will accompany a re-implemented engine. The structural expectation stands as a qualitative mechanism only.</w:t>
        </w:r>
      </w:ins>
      <w:r>
        <w:t xml:space="preserve">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w:t>
      </w:r>
      <w:del w:id="9003" w:author="Matthew Wallenstein" w:date="2026-08-29T12:00:00Z">
        <w:r>
          <w:delText xml:space="preserve">amplifying SOC loss relative to Century/RothC humification (Supplementary Figure S5).</w:delText>
        </w:r>
      </w:del>
      <w:ins w:id="9004" w:author="Matthew Wallenstein" w:date="2026-08-29T12:00:00Z">
        <w:r>
          <w:t xml:space="preserve">amplifying SOC loss relative to Century/RothC humification.</w:t>
        </w:r>
      </w:ins>
    </w:p>
    <w:p>
      <w:pPr>
        <w:pStyle w:val="Heading3"/>
        <w:spacing w:lineRule="auto" w:line="480"/>
        <w:rPr>
          <w:del w:id="9001" w:author="Matthew Wallenstein" w:date="2026-08-29T12:00:00Z"/>
        </w:rPr>
      </w:pPr>
      <w:del w:id="9002" w:author="Matthew Wallenstein" w:date="2026-08-29T12:00:00Z">
        <w:r>
          <w:delText>Supplementary table 2</w:delText>
        </w:r>
      </w:del>
    </w:p>
    <w:p>
      <w:pPr>
        <w:pStyle w:val="Normal"/>
        <w:spacing w:lineRule="auto" w:line="480" w:before="0" w:after="200"/>
        <w:rPr>
          <w:del w:id="9003" w:author="Matthew Wallenstein" w:date="2026-08-29T12:00:00Z"/>
        </w:rPr>
      </w:pPr>
      <w:del w:id="9004" w:author="Matthew Wallenstein" w:date="2026-08-29T12:00:00Z">
        <w:r>
          <w:rPr>
            <w:i/>
            <w:iCs/>
          </w:rPr>
          <w:delText>Partitioning of microbially-explicit 4-pool SOC loss between CUE downregulation and non-CUE mechanisms, and Alternative-engine/Century SOC-loss ratio.</w:delText>
        </w:r>
      </w:del>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398"/>
        <w:gridCol w:w="2102"/>
        <w:gridCol w:w="2300"/>
        <w:gridCol w:w="2560"/>
      </w:tblGrid>
      <w:tr>
        <w:trPr>
          <w:del w:id="9037"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rPr/>
            </w:pPr>
            <w:del w:id="9001" w:author="Matthew Wallenstein" w:date="2026-08-29T12:00:00Z">
              <w:r>
                <w:rPr>
                  <w:b/>
                  <w:bCs/>
                  <w:sz w:val="20"/>
                  <w:szCs w:val="20"/>
                </w:rPr>
                <w:delText>Region</w:delText>
              </w:r>
            </w:del>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del w:id="9002" w:author="Matthew Wallenstein" w:date="2026-08-29T12:00:00Z">
              <w:r>
                <w:rPr>
                  <w:b/>
                  <w:bCs/>
                  <w:sz w:val="20"/>
                  <w:szCs w:val="20"/>
                </w:rPr>
                <w:delText>CUE contribution (%)</w:delText>
              </w:r>
            </w:del>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del w:id="9003" w:author="Matthew Wallenstein" w:date="2026-08-29T12:00:00Z">
              <w:r>
                <w:rPr>
                  <w:b/>
                  <w:bCs/>
                  <w:sz w:val="20"/>
                  <w:szCs w:val="20"/>
                </w:rPr>
                <w:delText>Non-CUE mechanisms (%)</w:delText>
              </w:r>
            </w:del>
          </w:p>
        </w:tc>
        <w:tc>
          <w:tcPr>
            <w:tcW w:w="25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del w:id="9004" w:author="Matthew Wallenstein" w:date="2026-08-29T12:00:00Z">
              <w:r>
                <w:rPr>
                  <w:b/>
                  <w:bCs/>
                  <w:sz w:val="20"/>
                  <w:szCs w:val="20"/>
                </w:rPr>
                <w:delText>Alternative-engine/Century SOC-loss ratio (×)</w:delText>
              </w:r>
            </w:del>
          </w:p>
        </w:tc>
      </w:tr>
      <w:tr>
        <w:trPr>
          <w:del w:id="9038"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05" w:author="Matthew Wallenstein" w:date="2026-08-29T12:00:00Z">
              <w:r>
                <w:rPr>
                  <w:sz w:val="20"/>
                  <w:szCs w:val="20"/>
                </w:rPr>
                <w:delText>North America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06" w:author="Matthew Wallenstein" w:date="2026-08-29T12:00:00Z">
              <w:r>
                <w:rPr>
                  <w:sz w:val="20"/>
                  <w:szCs w:val="20"/>
                </w:rPr>
                <w:delText>6</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07" w:author="Matthew Wallenstein" w:date="2026-08-29T12:00:00Z">
              <w:r>
                <w:rPr>
                  <w:sz w:val="20"/>
                  <w:szCs w:val="20"/>
                </w:rPr>
                <w:delText>94</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08" w:author="Matthew Wallenstein" w:date="2026-08-29T12:00:00Z">
              <w:r>
                <w:rPr>
                  <w:sz w:val="20"/>
                  <w:szCs w:val="20"/>
                </w:rPr>
                <w:delText>1.9×</w:delText>
              </w:r>
            </w:del>
          </w:p>
        </w:tc>
      </w:tr>
      <w:tr>
        <w:trPr>
          <w:del w:id="9039"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09" w:author="Matthew Wallenstein" w:date="2026-08-29T12:00:00Z">
              <w:r>
                <w:rPr>
                  <w:sz w:val="20"/>
                  <w:szCs w:val="20"/>
                </w:rPr>
                <w:delText>Europe</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0" w:author="Matthew Wallenstein" w:date="2026-08-29T12:00:00Z">
              <w:r>
                <w:rPr>
                  <w:sz w:val="20"/>
                  <w:szCs w:val="20"/>
                </w:rPr>
                <w:delText>10</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1" w:author="Matthew Wallenstein" w:date="2026-08-29T12:00:00Z">
              <w:r>
                <w:rPr>
                  <w:sz w:val="20"/>
                  <w:szCs w:val="20"/>
                </w:rPr>
                <w:delText>90</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2" w:author="Matthew Wallenstein" w:date="2026-08-29T12:00:00Z">
              <w:r>
                <w:rPr>
                  <w:sz w:val="20"/>
                  <w:szCs w:val="20"/>
                </w:rPr>
                <w:delText>1.6×</w:delText>
              </w:r>
            </w:del>
          </w:p>
        </w:tc>
      </w:tr>
      <w:tr>
        <w:trPr>
          <w:del w:id="9040"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13" w:author="Matthew Wallenstein" w:date="2026-08-29T12:00:00Z">
              <w:r>
                <w:rPr>
                  <w:sz w:val="20"/>
                  <w:szCs w:val="20"/>
                </w:rPr>
                <w:delText>East Asia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4" w:author="Matthew Wallenstein" w:date="2026-08-29T12:00:00Z">
              <w:r>
                <w:rPr>
                  <w:sz w:val="20"/>
                  <w:szCs w:val="20"/>
                </w:rPr>
                <w:delText>29</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5" w:author="Matthew Wallenstein" w:date="2026-08-29T12:00:00Z">
              <w:r>
                <w:rPr>
                  <w:sz w:val="20"/>
                  <w:szCs w:val="20"/>
                </w:rPr>
                <w:delText>71</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6" w:author="Matthew Wallenstein" w:date="2026-08-29T12:00:00Z">
              <w:r>
                <w:rPr>
                  <w:sz w:val="20"/>
                  <w:szCs w:val="20"/>
                </w:rPr>
                <w:delText>1.8×</w:delText>
              </w:r>
            </w:del>
          </w:p>
        </w:tc>
      </w:tr>
      <w:tr>
        <w:trPr>
          <w:del w:id="9041"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17" w:author="Matthew Wallenstein" w:date="2026-08-29T12:00:00Z">
              <w:r>
                <w:rPr>
                  <w:sz w:val="20"/>
                  <w:szCs w:val="20"/>
                </w:rPr>
                <w:delText>South Asia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8" w:author="Matthew Wallenstein" w:date="2026-08-29T12:00:00Z">
              <w:r>
                <w:rPr>
                  <w:sz w:val="20"/>
                  <w:szCs w:val="20"/>
                </w:rPr>
                <w:delText>9</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19" w:author="Matthew Wallenstein" w:date="2026-08-29T12:00:00Z">
              <w:r>
                <w:rPr>
                  <w:sz w:val="20"/>
                  <w:szCs w:val="20"/>
                </w:rPr>
                <w:delText>91</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0" w:author="Matthew Wallenstein" w:date="2026-08-29T12:00:00Z">
              <w:r>
                <w:rPr>
                  <w:sz w:val="20"/>
                  <w:szCs w:val="20"/>
                </w:rPr>
                <w:delText>1.8×</w:delText>
              </w:r>
            </w:del>
          </w:p>
        </w:tc>
      </w:tr>
      <w:tr>
        <w:trPr>
          <w:del w:id="9042"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21" w:author="Matthew Wallenstein" w:date="2026-08-29T12:00:00Z">
              <w:r>
                <w:rPr>
                  <w:sz w:val="20"/>
                  <w:szCs w:val="20"/>
                </w:rPr>
                <w:delText>Southeast Asia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2" w:author="Matthew Wallenstein" w:date="2026-08-29T12:00:00Z">
              <w:r>
                <w:rPr>
                  <w:sz w:val="20"/>
                  <w:szCs w:val="20"/>
                </w:rPr>
                <w:delText>2</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3" w:author="Matthew Wallenstein" w:date="2026-08-29T12:00:00Z">
              <w:r>
                <w:rPr>
                  <w:sz w:val="20"/>
                  <w:szCs w:val="20"/>
                </w:rPr>
                <w:delText>98</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4" w:author="Matthew Wallenstein" w:date="2026-08-29T12:00:00Z">
              <w:r>
                <w:rPr>
                  <w:sz w:val="20"/>
                  <w:szCs w:val="20"/>
                </w:rPr>
                <w:delText>2.5×</w:delText>
              </w:r>
            </w:del>
          </w:p>
        </w:tc>
      </w:tr>
      <w:tr>
        <w:trPr>
          <w:del w:id="9043"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25" w:author="Matthew Wallenstein" w:date="2026-08-29T12:00:00Z">
              <w:r>
                <w:rPr>
                  <w:sz w:val="20"/>
                  <w:szCs w:val="20"/>
                </w:rPr>
                <w:delText>Latin America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6" w:author="Matthew Wallenstein" w:date="2026-08-29T12:00:00Z">
              <w:r>
                <w:rPr>
                  <w:sz w:val="20"/>
                  <w:szCs w:val="20"/>
                </w:rPr>
                <w:delText>1</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7" w:author="Matthew Wallenstein" w:date="2026-08-29T12:00:00Z">
              <w:r>
                <w:rPr>
                  <w:sz w:val="20"/>
                  <w:szCs w:val="20"/>
                </w:rPr>
                <w:delText>99</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28" w:author="Matthew Wallenstein" w:date="2026-08-29T12:00:00Z">
              <w:r>
                <w:rPr>
                  <w:sz w:val="20"/>
                  <w:szCs w:val="20"/>
                </w:rPr>
                <w:delText>2.5×</w:delText>
              </w:r>
            </w:del>
          </w:p>
        </w:tc>
      </w:tr>
      <w:tr>
        <w:trPr>
          <w:del w:id="9044"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29" w:author="Matthew Wallenstein" w:date="2026-08-29T12:00:00Z">
              <w:r>
                <w:rPr>
                  <w:sz w:val="20"/>
                  <w:szCs w:val="20"/>
                </w:rPr>
                <w:delText>Sub-Saharan Africa</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0" w:author="Matthew Wallenstein" w:date="2026-08-29T12:00:00Z">
              <w:r>
                <w:rPr>
                  <w:sz w:val="20"/>
                  <w:szCs w:val="20"/>
                </w:rPr>
                <w:delText>—</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1" w:author="Matthew Wallenstein" w:date="2026-08-29T12:00:00Z">
              <w:r>
                <w:rPr>
                  <w:sz w:val="20"/>
                  <w:szCs w:val="20"/>
                </w:rPr>
                <w:delText>—</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2" w:author="Matthew Wallenstein" w:date="2026-08-29T12:00:00Z">
              <w:r>
                <w:rPr>
                  <w:sz w:val="20"/>
                  <w:szCs w:val="20"/>
                </w:rPr>
                <w:delText>0.9×</w:delText>
              </w:r>
            </w:del>
          </w:p>
        </w:tc>
      </w:tr>
      <w:tr>
        <w:trPr>
          <w:del w:id="9045" w:author="Matthew Wallenstein" w:date="2026-08-29T12:00:00Z"/>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del w:id="9033" w:author="Matthew Wallenstein" w:date="2026-08-29T12:00:00Z">
              <w:r>
                <w:rPr>
                  <w:sz w:val="20"/>
                  <w:szCs w:val="20"/>
                </w:rPr>
                <w:delText>Former Soviet Union</w:delText>
              </w:r>
            </w:del>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4" w:author="Matthew Wallenstein" w:date="2026-08-29T12:00:00Z">
              <w:r>
                <w:rPr>
                  <w:sz w:val="20"/>
                  <w:szCs w:val="20"/>
                </w:rPr>
                <w:delText>—</w:delText>
              </w:r>
            </w:del>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5" w:author="Matthew Wallenstein" w:date="2026-08-29T12:00:00Z">
              <w:r>
                <w:rPr>
                  <w:sz w:val="20"/>
                  <w:szCs w:val="20"/>
                </w:rPr>
                <w:delText>—</w:delText>
              </w:r>
            </w:del>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036" w:author="Matthew Wallenstein" w:date="2026-08-29T12:00:00Z">
              <w:r>
                <w:rPr>
                  <w:sz w:val="20"/>
                  <w:szCs w:val="20"/>
                </w:rPr>
                <w:delText>1.5×</w:delText>
              </w:r>
            </w:del>
          </w:p>
        </w:tc>
      </w:tr>
    </w:tbl>
    <w:p>
      <w:pPr>
        <w:pStyle w:val="Normal"/>
        <w:spacing w:lineRule="auto" w:line="480" w:before="120" w:after="200"/>
        <w:rPr>
          <w:i/>
          <w:iCs/>
          <w:sz w:val="18"/>
          <w:szCs w:val="18"/>
        </w:rPr>
      </w:pPr>
      <w:del w:id="9006" w:author="Matthew Wallenstein" w:date="2026-08-29T12:00:00Z">
        <w:r>
          <w:rPr>
            <w:i/>
            <w:iCs/>
            <w:sz w:val="18"/>
            <w:szCs w:val="18"/>
          </w:rPr>
          <w:delText xml:space="preserve">CUE contribution isolated by running the microbially-explicit 4-pool scheme with CUE held constant at its baseline value; the difference from the full microbially-explicit 4-pool run is attributed to CUE downregulation. Non-CUE mechanisms are dominated by respiratory losses concentrated at microbial assimilation (1−CUE on every C atom traversing the biomass pool) and at the non-recycled fraction of microbial necromass, </w:delText>
        </w:r>
      </w:del>
      <w:del w:id="9005" w:author="Matthew Wallenstein" w:date="2026-08-29T12:00:00Z">
        <w:r>
          <w:rPr>
            <w:i/>
            <w:iCs/>
            <w:sz w:val="18"/>
            <w:szCs w:val="18"/>
          </w:rPr>
          <w:delText xml:space="preserve">which compound when residue inputs decline (Supplementary Figure S5).</w:delText>
        </w:r>
      </w:del>
      <w:ins w:id="9006" w:author="Matthew Wallenstein" w:date="2026-08-29T12:00:00Z">
        <w:del w:id="9008" w:author="Matthew Wallenstein" w:date="2026-08-29T12:00:00Z">
          <w:r>
            <w:rPr>
              <w:i/>
              <w:iCs/>
              <w:sz w:val="18"/>
              <w:szCs w:val="18"/>
            </w:rPr>
            <w:delText xml:space="preserve">which compound when residue inputs decline.</w:delText>
          </w:r>
        </w:del>
      </w:ins>
      <w:del w:id="9009" w:author="Matthew Wallenstein" w:date="2026-08-29T12:00:00Z">
        <w:r>
          <w:rPr>
            <w:i/>
            <w:iCs/>
            <w:sz w:val="18"/>
            <w:szCs w:val="18"/>
          </w:rPr>
          <w:delText xml:space="preserve"> Sub-Saharan Africa is excluded because the microbially-explicit 4-pool scheme produces lower SOC loss than Century in this low-SOC, MAOM-undersaturated regime (relative magnitude &lt; 1), which makes the CUE/non-CUE decomposition ill-defined; the Former Soviet Union is excluded because its fixed-CUE run produces marginally higher SOC loss than the variable-CUE run, reflecting interaction between CUE stabilization and MAOM saturation dynamics. Reported decomposition is for the matched 20% physical supply-constrained scenario (SC1), used to compare the microbially-explicit 4-pool scheme and Century under the same supply-reduction stress test.</w:delText>
        </w:r>
      </w:del>
    </w:p>
    <w:p>
      <w:pPr>
        <w:pStyle w:val="Normal"/>
        <w:spacing w:lineRule="auto" w:line="480"/>
        <w:rPr>
          <w:i/>
          <w:iCs/>
          <w:sz w:val="18"/>
          <w:szCs w:val="18"/>
        </w:rPr>
      </w:pPr>
      <w:r>
        <w:rPr>
          <w:i/>
          <w:iCs/>
          <w:sz w:val="18"/>
          <w:szCs w:val="18"/>
        </w:rPr>
      </w:r>
      <w:r>
        <w:br w:type="page"/>
      </w:r>
    </w:p>
    <w:p>
      <w:pPr>
        <w:pStyle w:val="Normal"/>
        <w:spacing w:lineRule="auto" w:line="480" w:before="0" w:after="200"/>
        <w:rPr/>
      </w:pPr>
      <w:r/>
    </w:p>
    <w:p>
      <w:pPr>
        <w:pStyle w:val="Heading3"/>
        <w:spacing w:lineRule="auto" w:line="480"/>
        <w:rPr>
          <w:del w:id="9006" w:author="Matthew Wallenstein" w:date="2026-08-29T12:00:00Z"/>
        </w:rPr>
      </w:pPr>
      <w:del w:id="9007" w:author="Matthew Wallenstein" w:date="2026-08-29T12:00:00Z">
        <w:r>
          <w:rPr/>
          <w:delText>Supplementary Figure S5: microbially-explicit 4-pool flux decomposition under matched 20% SC1 scenario</w:delText>
        </w:r>
      </w:del>
    </w:p>
    <w:p>
      <w:pPr>
        <w:pStyle w:val="Normal"/>
        <w:spacing w:lineRule="auto" w:line="480" w:before="0" w:after="200"/>
        <w:jc w:val="center"/>
        <w:rPr>
          <w:b/>
          <w:bCs/>
        </w:rPr>
      </w:pPr>
      <w:del w:id="9005" w:author="Matthew Wallenstein" w:date="2026-08-29T12:00:00Z">
        <w:r>
          <w:drawing>
            <wp:inline distT="0" distB="0" distL="0" distR="0">
              <wp:extent cx="5715000" cy="2080260"/>
              <wp:effectExtent l="0" t="0" r="0" b="0"/>
              <wp:docPr id="5" name="figS4_4pool_flux_decomposition" descr="Stacked bar chart of cumulative 30-year microbially-explicit 4-pool respired carbon partitioned by mechanism for all 8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tacked bar chart of cumulative 30-year microbially-explicit 4-pool respired carbon partitioned by mechanism for all 8 regions" title="Supplementary Figure S4"/>
                      <pic:cNvPicPr>
                        <a:picLocks noChangeAspect="1" noChangeArrowheads="1"/>
                      </pic:cNvPicPr>
                    </pic:nvPicPr>
                    <pic:blipFill>
                      <a:blip r:embed="rId6"/>
                      <a:stretch>
                        <a:fillRect/>
                      </a:stretch>
                    </pic:blipFill>
                    <pic:spPr bwMode="auto">
                      <a:xfrm>
                        <a:off x="0" y="0"/>
                        <a:ext cx="5715000" cy="2080260"/>
                      </a:xfrm>
                      <a:prstGeom prst="rect">
                        <a:avLst/>
                      </a:prstGeom>
                      <a:noFill/>
                    </pic:spPr>
                  </pic:pic>
                </a:graphicData>
              </a:graphic>
            </wp:inline>
          </w:drawing>
        </w:r>
      </w:del>
    </w:p>
    <w:p>
      <w:pPr>
        <w:pStyle w:val="Caption"/>
        <w:rPr>
          <w:del w:id="9001" w:author="Matthew Wallenstein" w:date="2026-08-29T12:00:00Z"/>
        </w:rPr>
      </w:pPr>
      <w:del w:id="9002" w:author="Matthew Wallenstein" w:date="2026-08-29T12:00:00Z">
        <w:r>
          <w:rPr>
            <w:bCs/>
          </w:rPr>
          <w:delText>Supplementary Figure S5</w:delText>
        </w:r>
      </w:del>
      <w:del w:id="9003" w:author="Matthew Wallenstein" w:date="2026-08-29T12:00:00Z">
        <w:r>
          <w:rPr>
            <w:b w:val="false"/>
          </w:rPr>
          <w:delText>. Microbially-explicit 4-pool carbon flux decomposition under the matched 20% SC1 scenario. a, Cumulative 30-year respiratory loss partitioned between microbial assimilation (1−CUE on every C atom traversing the biomass pool) and the non-recycled fraction of microbial necromass. b, MAOM trajectory under baseline versus SC1 scenarios; the CUE-step respiratory loss before MAOM formation compounds when residue inputs decline.</w:delText>
        </w:r>
      </w:del>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del w:id="9003" w:author="Matthew Wallenstein" w:date="2026-08-29T12:00:00Z">
        <w:r>
          <w:delText xml:space="preserve">context of each region.Larger modeled losses</w:delText>
        </w:r>
      </w:del>
      <w:ins w:id="9004" w:author="Matthew Wallenstein" w:date="2026-08-29T12:00:00Z">
        <w:r>
          <w:t xml:space="preserve">context of each region. Larger modeled losses</w:t>
        </w:r>
      </w:ins>
      <w:r>
        <w:t xml:space="preserve"> </w:t>
      </w:r>
      <w:del w:id="9001" w:author="Matthew Wallenstein" w:date="2026-08-29T12:00:00Z">
        <w:r>
          <w:delText xml:space="preserve">occur in regions with a lower calibrated yield ceiling (y_max, ρ = −0.86), drier baseline conditions (water deficit ρ = +0.70), currently lower SOC stocks (ρ = −0.67), and lower biological N fixation potential (ρ = −0.45).</w:delText>
        </w:r>
      </w:del>
      <w:ins w:id="9002" w:author="Matthew Wallenstein" w:date="2026-08-29T12:00:00Z">
        <w:r>
          <w:t xml:space="preserve">occur in regions with a lower calibrated yield ceiling (y_max, ρ = −0.90), drier baseline conditions (water deficit ρ = +0.70), currently lower SOC stocks (ρ = −0.61), and lower biological N fixation potential (ρ = −0.28).</w:t>
        </w:r>
      </w:ins>
      <w:r>
        <w:t xml:space="preserve">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t xml:space="preserve">Economic descriptors show directionally consistent associations with modeled vulnerability but weaker magnitudes in the eight-region diagnostic. </w:t>
      </w:r>
      <w:del w:id="9003" w:author="Matthew Wallenstein" w:date="2026-08-29T12:00:00Z">
        <w:r>
          <w:delText xml:space="preserve">Higher fertilizer-demand elasticity magnitude is associated withlarger year-10 yield losses (ρ = +0.60), reflecting that more elasti</w:delText>
        </w:r>
      </w:del>
      <w:ins w:id="9004" w:author="Matthew Wallenstein" w:date="2026-08-29T12:00:00Z">
        <w:r>
          <w:t xml:space="preserve">Higher fertilizer-demand elasticity magnitude is associated with larger year-10 yield losses (ρ = +0.54), reflecting that more elasti</w:t>
        </w:r>
      </w:ins>
      <w:r>
        <w:t xml:space="preserve">c demand translates a given price shock into a larger fertilizer-use reduction. </w:t>
      </w:r>
      <w:del w:id="9005" w:author="Matthew Wallenstein" w:date="2026-08-29T12:00:00Z">
        <w:r>
          <w:delText xml:space="preserve">Food-demand elasticity magnitude shows the same direction at comparable magnitude (ρ = +0.60).</w:delText>
        </w:r>
      </w:del>
      <w:ins w:id="9006" w:author="Matthew Wallenstein" w:date="2026-08-29T12:00:00Z">
        <w:r>
          <w:t xml:space="preserve">Food-demand elasticity magnitude shows the same direction at comparable magnitude (ρ = +0.51).</w:t>
        </w:r>
      </w:ins>
      <w:r>
        <w:t xml:space="preserve">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del w:id="9001" w:author="Matthew Wallenstein" w:date="2026-08-29T12:00:00Z">
        <w:r>
          <w:delText xml:space="preserve">is weakly associated with year-10 total yield penalty across the eight modelled regions(Spearman ρ = +0.02; Pearson R² =</w:delText>
        </w:r>
      </w:del>
      <w:ins w:id="9002" w:author="Matthew Wallenstein" w:date="2026-08-29T12:00:00Z">
        <w:r>
          <w:t xml:space="preserve">is weakly associated with year-10 total yield penalty across the eight modelled regions (Spearman ρ = +0.19; Pearson R² =</w:t>
        </w:r>
      </w:ins>
      <w:del w:id="9001" w:author="Matthew Wallenstein" w:date="2026-08-29T12:00:00Z">
        <w:r>
          <w:delText xml:space="preserve"> 0.05, the single cross-regional metric used throughout).</w:delText>
        </w:r>
      </w:del>
      <w:ins w:id="9002" w:author="Matthew Wallenstein" w:date="2026-08-29T12:00:00Z">
        <w:r>
          <w:t xml:space="preserve"> 0.10, the single cross-regional metric used throughout).</w:t>
        </w:r>
      </w:ins>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w:t>
      </w:r>
      <w:del w:id="9007" w:author="Matthew Wallenstein" w:date="2026-08-29T12:00:00Z">
        <w:r>
          <w:delText xml:space="preserve">The cross-regional ρ ≈ +0.02 reflects the net of these two opposing mechanisms at the year-10</w:delText>
        </w:r>
      </w:del>
      <w:ins w:id="9008" w:author="Matthew Wallenstein" w:date="2026-08-29T12:00:00Z">
        <w:r>
          <w:t xml:space="preserve">The cross-regional ρ ≈ +0.19 reflects the net of these two opposing mechanisms at the year-10</w:t>
        </w:r>
      </w:ins>
      <w:r>
        <w:t xml:space="preserve">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01" w:author="Matthew Wallenstein" w:date="2026-08-29T12:00:00Z">
              <w:r>
                <w:rPr>
                  <w:sz w:val="20"/>
                </w:rPr>
                <w:delText xml:space="preserve">−0.67</w:delText>
              </w:r>
            </w:del>
            <w:ins w:id="9002" w:author="Matthew Wallenstein" w:date="2026-08-29T12:00:00Z">
              <w:r>
                <w:rPr>
                  <w:sz w:val="20"/>
                </w:rPr>
                <w:t xml:space="preserve">−0.61</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003" w:author="Matthew Wallenstein" w:date="2026-08-29T12:00:00Z">
              <w:r>
                <w:delText xml:space="preserve">+0.29</w:delText>
              </w:r>
            </w:del>
            <w:ins w:id="9004" w:author="Matthew Wallenstein" w:date="2026-08-29T12:00:00Z">
              <w:r>
                <w:t xml:space="preserve">+0.40</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05" w:author="Matthew Wallenstein" w:date="2026-08-29T12:00:00Z">
              <w:r>
                <w:rPr>
                  <w:sz w:val="20"/>
                </w:rPr>
                <w:delText xml:space="preserve">+0.02</w:delText>
              </w:r>
            </w:del>
            <w:ins w:id="9006" w:author="Matthew Wallenstein" w:date="2026-08-29T12:00:00Z">
              <w:r>
                <w:rPr>
                  <w:sz w:val="20"/>
                </w:rPr>
                <w:t xml:space="preserve">+0.19</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007" w:author="Matthew Wallenstein" w:date="2026-08-29T12:00:00Z">
              <w:r>
                <w:rPr>
                  <w:sz w:val="20"/>
                </w:rPr>
                <w:delText xml:space="preserve">−0.71</w:delText>
              </w:r>
            </w:del>
            <w:ins w:id="9008" w:author="Matthew Wallenstein" w:date="2026-08-29T12:00:00Z">
              <w:r>
                <w:rPr>
                  <w:sz w:val="20"/>
                </w:rPr>
                <w:t xml:space="preserve">−0.81</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09" w:author="Matthew Wallenstein" w:date="2026-08-29T12:00:00Z">
              <w:r>
                <w:rPr>
                  <w:sz w:val="20"/>
                </w:rPr>
                <w:delText xml:space="preserve">−0.86</w:delText>
              </w:r>
            </w:del>
            <w:ins w:id="9010" w:author="Matthew Wallenstein" w:date="2026-08-29T12:00:00Z">
              <w:r>
                <w:rPr>
                  <w:sz w:val="20"/>
                </w:rPr>
                <w:t xml:space="preserve">−0.90</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011" w:author="Matthew Wallenstein" w:date="2026-08-29T12:00:00Z">
              <w:r>
                <w:rPr>
                  <w:sz w:val="20"/>
                </w:rPr>
                <w:delText xml:space="preserve">−0.43</w:delText>
              </w:r>
            </w:del>
            <w:ins w:id="9012" w:author="Matthew Wallenstein" w:date="2026-08-29T12:00:00Z">
              <w:r>
                <w:rPr>
                  <w:sz w:val="20"/>
                </w:rPr>
                <w:t xml:space="preserve">−0.30</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13" w:author="Matthew Wallenstein" w:date="2026-08-29T12:00:00Z">
              <w:r>
                <w:rPr>
                  <w:sz w:val="20"/>
                </w:rPr>
                <w:delText xml:space="preserve">−0.45</w:delText>
              </w:r>
            </w:del>
            <w:ins w:id="9014" w:author="Matthew Wallenstein" w:date="2026-08-29T12:00:00Z">
              <w:r>
                <w:rPr>
                  <w:sz w:val="20"/>
                </w:rPr>
                <w:t xml:space="preserve">−0.28</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15" w:author="Matthew Wallenstein" w:date="2026-08-29T12:00:00Z">
              <w:r>
                <w:rPr>
                  <w:sz w:val="20"/>
                </w:rPr>
                <w:delText xml:space="preserve">−0.26</w:delText>
              </w:r>
            </w:del>
            <w:ins w:id="9016" w:author="Matthew Wallenstein" w:date="2026-08-29T12:00:00Z">
              <w:r>
                <w:rPr>
                  <w:sz w:val="20"/>
                </w:rPr>
                <w:t xml:space="preserve">−0.38</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17" w:author="Matthew Wallenstein" w:date="2026-08-29T12:00:00Z">
              <w:r>
                <w:rPr>
                  <w:sz w:val="20"/>
                </w:rPr>
                <w:delText xml:space="preserve">+0.60</w:delText>
              </w:r>
            </w:del>
            <w:ins w:id="9018" w:author="Matthew Wallenstein" w:date="2026-08-29T12:00:00Z">
              <w:r>
                <w:rPr>
                  <w:sz w:val="20"/>
                </w:rPr>
                <w:t xml:space="preserve">+0.54</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019" w:author="Matthew Wallenstein" w:date="2026-08-29T12:00:00Z">
              <w:r>
                <w:rPr>
                  <w:sz w:val="20"/>
                </w:rPr>
                <w:delText xml:space="preserve">+0.60</w:delText>
              </w:r>
            </w:del>
            <w:ins w:id="9020" w:author="Matthew Wallenstein" w:date="2026-08-29T12:00:00Z">
              <w:r>
                <w:rPr>
                  <w:sz w:val="20"/>
                </w:rPr>
                <w:t xml:space="preserve">+0.51</w:t>
              </w:r>
            </w:ins>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del w:id="9003" w:author="Matthew Wallenstein" w:date="2026-08-29T12:00:00Z">
        <w:r>
          <w:rPr>
            <w:i/>
            <w:iCs/>
            <w:sz w:val="20"/>
          </w:rPr>
          <w:delText xml:space="preserve">Year-1 gross-margin loss is not included in this table because regional fertilizer- and crop-price values are reported for only four of the eight regions</w:delText>
        </w:r>
      </w:del>
      <w:ins w:id="9004" w:author="Matthew Wallenstein" w:date="2026-08-29T12:00:00Z">
        <w:r>
          <w:rPr>
            <w:i/>
            <w:iCs/>
            <w:sz w:val="20"/>
          </w:rPr>
          <w:t xml:space="preserve">Year-1 net-revenue change is not included in this table because audited regional fertilizer- and crop-price pairs are reported for only four of the eight regions</w:t>
        </w:r>
      </w:ins>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del w:id="9005" w:author="Matthew Wallenstein" w:date="2026-08-29T12:00:00Z">
        <w:r>
          <w:rPr>
            <w:b w:val="false"/>
            <w:bCs/>
          </w:rPr>
          <w:delText xml:space="preserve">b, Gross-margin change under the same scenar</w:delText>
        </w:r>
      </w:del>
      <w:ins w:id="9006" w:author="Matthew Wallenstein" w:date="2026-08-29T12:00:00Z">
        <w:r>
          <w:rPr>
            <w:b w:val="false"/>
            <w:bCs/>
          </w:rPr>
          <w:t xml:space="preserve">b, Change in crop revenue net of nitrogen-fertilizer expenditure under the same scenar</w:t>
        </w:r>
      </w:ins>
      <w:r>
        <w:rPr>
          <w:b w:val="false"/>
          <w:bCs/>
        </w:rPr>
        <w:t xml:space="preserve">ios. </w:t>
      </w:r>
      <w:del w:id="9003" w:author="Matthew Wallenstein" w:date="2026-08-29T12:00:00Z">
        <w:r>
          <w:rPr>
            <w:b w:val="false"/>
            <w:bCs/>
          </w:rPr>
          <w:delText xml:space="preserve">Halved elasticities produce substantially larger gross-margin losses (2.6 to 10.3 percentage points deeper at the regional mean SOC, and up to 14.1 percentage points on the most degraded Sub-Saharan African farms) because farmers absorb the full fertilizer-cost increase</w:delText>
        </w:r>
      </w:del>
      <w:ins w:id="9004" w:author="Matthew Wallenstein" w:date="2026-08-29T12:00:00Z">
        <w:r>
          <w:rPr>
            <w:b w:val="false"/>
            <w:bCs/>
          </w:rPr>
          <w:t xml:space="preserve">Halved elasticities produce substantially larger net-revenue losses (1.7 to 5.0 percentage points deeper at the regional mean SOC, largest in South Asia where the nitrogen cost share is highest) because farmers absorb more of the fertilizer-cost increase</w:t>
        </w:r>
      </w:ins>
      <w:r>
        <w:rPr>
          <w:b w:val="false"/>
          <w:bCs/>
        </w:rPr>
        <w:t xml:space="preserve"> without the elastic substitution channel that otherwise cushions margins. </w:t>
      </w:r>
      <w:del w:id="9014" w:author="Matthew Wallenstein" w:date="2026-08-29T12:00:00Z">
        <w:r>
          <w:rPr>
            <w:b w:val="false"/>
            <w:bCs/>
          </w:rPr>
          <w:delText xml:space="preserve">The SOC buffering benefit is robust to elasticity assumptions in gross-margin terms:</w:delText>
        </w:r>
      </w:del>
      <w:ins w:id="9015" w:author="Matthew Wallenstein" w:date="2026-08-29T12:00:00Z">
        <w:r>
          <w:rPr>
            <w:b w:val="false"/>
            <w:bCs/>
          </w:rPr>
          <w:t xml:space="preserve">The SOC buffering benefit is robust to elasticity assumptions in net-revenue terms:</w:t>
        </w:r>
      </w:ins>
      <w:r>
        <w:rPr>
          <w:b w:val="false"/>
          <w:bCs/>
        </w:rPr>
        <w:t xml:space="preserve"> </w:t>
      </w:r>
      <w:del w:id="9001" w:author="Matthew Wallenstein" w:date="2026-08-29T12:00:00Z">
        <w:r>
          <w:rPr>
            <w:b w:val="false"/>
            <w:bCs/>
          </w:rPr>
          <w:delText xml:space="preserve">the gap between SOC = 50% and SOC = 100% is comparable or larger under halved elasticities in all four regions (2.5–4.2 percentage points at baseline against 3.0–5.9 percentage points when halved).</w:delText>
        </w:r>
      </w:del>
      <w:ins w:id="9002" w:author="Matthew Wallenstein" w:date="2026-08-29T12:00:00Z">
        <w:r>
          <w:rPr>
            <w:b w:val="false"/>
            <w:bCs/>
          </w:rPr>
          <w:t xml:space="preserve">the net-revenue gap between SOC = 50% and SOC = 100% of the regional mean remains positive in all four regions under halved elasticities (0.3–1.0 percentage points at baseline against 0.2–0.7 percentage points when halved).</w:t>
        </w:r>
      </w:ins>
      <w:r>
        <w:rPr>
          <w:b w:val="false"/>
          <w:bCs/>
        </w:rPr>
        <w:t xml:space="preserve">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w:t>
      </w:r>
      <w:del w:id="9016" w:author="Matthew Wallenstein" w:date="2026-08-29T12:00:00Z">
        <w:r>
          <w:rPr>
            <w:b w:val="false"/>
            <w:bCs/>
          </w:rPr>
          <w:delText xml:space="preserve">the elasticity-mediated trade-off between yield response and gross-margin response.</w:delText>
        </w:r>
      </w:del>
      <w:ins w:id="9017" w:author="Matthew Wallenstein" w:date="2026-08-29T12:00:00Z">
        <w:r>
          <w:rPr>
            <w:b w:val="false"/>
            <w:bCs/>
          </w:rPr>
          <w:t xml:space="preserve">the elasticity-mediated trade-off between yield response and net-revenue response.</w:t>
        </w:r>
      </w:ins>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del w:id="9005" w:author="Matthew Wallenstein" w:date="2026-08-29T12:00:00Z">
        <w:r>
          <w:delText xml:space="preserve">the active soil-N depletion-feedback term (ε_F,N) partially offsets the reduction,yielding an approximately 20% realized reduction over the sustained-disruption period.</w:delText>
        </w:r>
      </w:del>
      <w:ins w:id="9006" w:author="Matthew Wallenstein" w:date="2026-08-29T12:00:00Z">
        <w:r>
          <w:t xml:space="preserve">the active soil-N depletion-feedback term (ε_F,N) partially offsets the reduction, yielding an approximately 19% realized reduction over the sustained-disruption period.</w:t>
        </w:r>
      </w:ins>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del w:id="9007" w:author="Matthew Wallenstein" w:date="2026-08-29T12:00:00Z">
        <w:r>
          <w:delText xml:space="preserve">Global year-10 loss: 3.4% under baseline, ~1.9% under halved elasticities (~46% reduction in predicted impact). Regional ordering is preserved (Spearman ρ = 0.98).</w:delText>
        </w:r>
      </w:del>
      <w:ins w:id="9008" w:author="Matthew Wallenstein" w:date="2026-08-29T12:00:00Z">
        <w:r>
          <w:t xml:space="preserve">Global year-10 loss: 3.0% under baseline, ~1.5% under halved elasticities (~50% reduction in predicted impact). Regional ordering is preserved (Spearman ρ = 0.98).</w:t>
        </w:r>
      </w:ins>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del w:id="9001" w:author="Matthew Wallenstein" w:date="2026-08-29T12:00:00Z">
        <w:r>
          <w:delText xml:space="preserve">Under the sustained S3 disruption (price shock calibrated to drive a 20% reduction under S1;~20% realized under S3), regional output-price indices rise by 2.0–9.2% in year 1, a production-weighted global increase of 5.5%, and by year 10 span 1.0% (Latin America) to 10.3% (FSU/Central Asia), a production-weighted global increase of 5.0%; the largest increases arise where food demand is least elastic rather than where yield losses are largest.</w:delText>
        </w:r>
      </w:del>
      <w:ins w:id="9002" w:author="Matthew Wallenstein" w:date="2026-08-29T12:00:00Z">
        <w:r>
          <w:t xml:space="preserve">Under the sustained S3 disruption (price shock calibrated to drive a 20% reduction under S1; ~19% realized under S3), regional output-price indices rise by 2.4–10.3% in year 1, a production-weighted global increase of 5.2%, and by year 10 span 2.6% (East Asia) to 11.9% (FSU/Central Asia), a production-weighted global increase of 6.7%; the largest increases arise where food demand is least elastic rather than where yield losses are largest. These are the prices that clear the realized biophysical production response, so no separate linearized supply schedule stands behind them.</w:t>
        </w:r>
      </w:ins>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t xml:space="preserve">One thousand joint draws were generated, and each draw was propagated through the full coupled monthly N-balance + Century three-pool SOM + price-clearing system at three SOC levels per region (50%, 100%, 150% of the regional mean). </w:t>
      </w:r>
      <w:del w:id="9010" w:author="Matthew Wallenstein" w:date="2026-08-29T12:00:00Z">
        <w:r>
          <w:delText xml:space="preserve">This yielded 24,000 region×SOC×draw evaluations of year-1 yield loss and year-1 gross-margin change.</w:delText>
        </w:r>
      </w:del>
      <w:ins w:id="9011" w:author="Matthew Wallenstein" w:date="2026-08-29T12:00:00Z">
        <w:r>
          <w:t xml:space="preserve">This yielded 24,000 region×SOC×draw yield evaluations (year-1 yield loss), plus 12,000 evaluations of the year-1 change in crop revenue net of nitrogen-fertilizer expenditure across the four regions with audited price pairs.</w:t>
        </w:r>
      </w:ins>
    </w:p>
    <w:p>
      <w:pPr>
        <w:pStyle w:val="Normal"/>
        <w:spacing w:lineRule="auto" w:line="480"/>
        <w:rPr/>
      </w:pPr>
      <w:r>
        <w:rPr/>
      </w:r>
    </w:p>
    <w:p>
      <w:pPr>
        <w:pStyle w:val="Normal"/>
        <w:spacing w:lineRule="auto" w:line="480"/>
        <w:rPr/>
      </w:pPr>
      <w:r>
        <w:t xml:space="preserve">Three findings are robust to joint-prior uncertainty. First, SOC buffering is universal in the ensemble: in all 1,000 draws, low-SOC farms sustain larger year-1 yield losses than high-SOC farms in every region, and </w:t>
      </w:r>
      <w:del w:id="9012" w:author="Matthew Wallenstein" w:date="2026-08-29T12:00:00Z">
        <w:r>
          <w:delText xml:space="preserve">high-SOC farms retain higher year-1 gross margin than low-SOC farms in every region</w:delText>
        </w:r>
      </w:del>
      <w:ins w:id="9013" w:author="Matthew Wallenstein" w:date="2026-08-29T12:00:00Z">
        <w:r>
          <w:t xml:space="preserve">high-SOC farms retain higher year-1 crop revenue net of nitrogen-fertilizer expenditure than low-SOC farms in each of the four regions with audited price pairs</w:t>
        </w:r>
      </w:ins>
      <w:r>
        <w:t xml:space="preserve">. The buffering signal is not an artifact of any particular parameter choice. Second, </w:t>
      </w:r>
      <w:del w:id="9009" w:author="Matthew Wallenstein" w:date="2026-08-29T12:00:00Z">
        <w:r>
          <w:delText xml:space="preserve">the global cropland-area-weighted year-1 yield loss hasan ensemble median of 2.51%</w:delText>
        </w:r>
      </w:del>
      <w:ins w:id="9010" w:author="Matthew Wallenstein" w:date="2026-08-29T12:00:00Z">
        <w:r>
          <w:t xml:space="preserve">the global cropland-area-weighted year-1 yield loss has an ensemble median of 2.51%</w:t>
        </w:r>
      </w:ins>
      <w:r>
        <w:t xml:space="preserve">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del w:id="9007" w:author="Matthew Wallenstein" w:date="2026-08-29T12:00:00Z">
        <w:r>
          <w:delText xml:space="preserve">Ranking results are more parameter-sensitive than buffering. Sub-Saharan Africa is the worst region for year-1gross margin in 83.7% of draws, reflecting its high fertilizer-cost share and inelastic food demand, but it is not the worst region for year-1 yield loss in any draw:</w:delText>
        </w:r>
      </w:del>
      <w:ins w:id="9008" w:author="Matthew Wallenstein" w:date="2026-08-29T12:00:00Z">
        <w:r>
          <w:t xml:space="preserve">Ranking results are more parameter-sensitive than buffering. The submitted version reported Sub-Saharan Africa as the worst region for the year-1 financial outcome in 83.7% of draws; that result reflected the pre-audit nitrogen price. In the regenerated ensemble under the audited price pairs (nitrogen-cost share ~15% in South Asia against ~4% in Sub-Saharan Africa), Sub-Saharan Africa is the worst priced region for year-1 net revenue in none of the 1,000 draws, and the yield-side findings stand: Sub-Saharan Africa is not the worst region for year-1 yield loss in any draw:</w:t>
        </w:r>
      </w:ins>
      <w:r>
        <w:t xml:space="preserve">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5998512"/>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5998512"/>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w:t>
      </w:r>
      <w:del w:id="9001" w:author="Matthew Wallenstein" w:date="2026-08-29T12:00:00Z">
        <w:r>
          <w:rPr>
            <w:b w:val="false"/>
            <w:bCs/>
          </w:rPr>
          <w:delText xml:space="preserve">b, Year-1 gross-margin change (%) at SOC = 100%. Sub-Saharan Africa ismost negative in 83.7% of draws despite not being the largest yield-loss region in any draw.</w:delText>
        </w:r>
      </w:del>
      <w:ins w:id="9002" w:author="Matthew Wallenstein" w:date="2026-08-29T12:00:00Z">
        <w:r>
          <w:rPr>
            <w:b w:val="false"/>
            <w:bCs/>
          </w:rPr>
          <w:t xml:space="preserve">b, Year-1 change in crop revenue net of nitrogen-fertilizer expenditure (%) at SOC = 100%, for the four regions with audited price pairs. </w:t>
        </w:r>
        <w:del w:id="9001" w:author="Matthew Wallenstein" w:date="2026-08-29T12:00:00Z">
          <w:r>
            <w:rPr>
              <w:b w:val="false"/>
              <w:bCs/>
            </w:rPr>
            <w:delText xml:space="preserve">Under the audited prices Sub-Saharan Africa is most negative in only 0.1% of draws, and it is not the largest yield-loss region in any draw.</w:delText>
          </w:r>
        </w:del>
        <w:ins w:id="9002" w:author="Matthew Wallenstein" w:date="2026-08-29T12:00:00Z">
          <w:r>
            <w:rPr>
              <w:b w:val="false"/>
              <w:bCs/>
            </w:rPr>
            <w:t xml:space="preserve">Under the audited prices Sub-Saharan Africa is most negative in none of the 1,000 draws, and it is not the largest yield-loss region in any draw.</w:t>
          </w:r>
        </w:ins>
      </w:ins>
      <w:r>
        <w:rPr>
          <w:b w:val="false"/>
          <w:bCs/>
        </w:rPr>
        <w:t xml:space="preserve">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w:t>
      </w:r>
      <w:r>
        <w:rPr>
          <w:b w:val="false"/>
          <w:bCs/>
        </w:rPr>
        <w:t xml:space="preserve">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rPr/>
        <w:t xml:space="preserve">Supplementary Note 8: Model internal-consistency corrections and reproducibility</w:t>
      </w:r>
    </w:p>
    <w:p>
      <w:pPr>
        <w:pStyle w:val="Normal"/>
        <w:spacing w:lineRule="auto" w:line="480"/>
        <w:rPr/>
      </w:pPr>
      <w:r>
        <w:t xml:space="preserve">Two internal-consistency defects were identified in the model during preparation of this revision. </w:t>
      </w:r>
      <w:del w:id="9005" w:author="Matthew Wallenstein" w:date="2026-08-29T12:00:00Z">
        <w:r>
          <w:delText xml:space="preserve">Every number reported in the manuscript, in this Supplementary Information and in the deposited figures has been regenerated from the corrected code.</w:delText>
        </w:r>
      </w:del>
      <w:ins w:id="9006" w:author="Matthew Wallenstein" w:date="2026-08-29T12:00:00Z">
        <w:r>
          <w:t xml:space="preserve">Every number reported in the manuscript, in this Supplementary Information and in the deposited figures has been regenerated from the corrected code, with one exception: the microbially-explicit 4-pool comparison behind Supplementary Figure S5, whose engine is not part of the deposit (see the note accompanying that figure), retains its previously computed flux decomposition and its quantitative ratios should be read as indicative.</w:t>
        </w:r>
      </w:ins>
      <w:r>
        <w:t xml:space="preserve"> In both cases the implementation did not do what the Methods describe; neither correction changes a parameter value or the structure of the model.</w:t>
      </w:r>
    </w:p>
    <w:p>
      <w:pPr>
        <w:pStyle w:val="Normal"/>
        <w:spacing w:lineRule="auto" w:line="480"/>
        <w:rPr/>
      </w:pPr>
      <w:r>
        <w:rPr/>
        <w:t xml:space="preserve">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 xml:space="preserve">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 xml:space="preserve">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del w:id="9018" w:author="Matthew Wallenstein" w:date="2026-08-29T12:00:00Z">
        <w:r>
          <w:delText xml:space="preserve">Supplementary Figure S5 is the one figure that cannot be regenerated from the deposit, because the microbially-explicit 4-pool SOM scheme it visualizes is not part of the deposited code. That figure is illustrative of pool-level flux structure and no number in the manuscript or in this Supplementary Information is derived from it.</w:delText>
        </w:r>
      </w:del>
      <w:ins w:id="9019" w:author="Matthew Wallenstein" w:date="2026-08-29T12:00:00Z">
        <w:r>
          <w:t xml:space="preserve">Supplementary Figure S5 and the quantitative engine comparison of Supplementary Note 2 are withdrawn in this revision, because the microbially-explicit 4-pool SOM scheme behind them is not part of the deposited code and cannot be regenerated. No number in the manuscript or in this Supplementary Information derives from that scheme.</w:t>
        </w:r>
      </w:ins>
    </w:p>
    <w:p>
      <w:pPr>
        <w:pStyle w:val="Normal"/>
        <w:spacing w:lineRule="auto" w:line="480"/>
        <w:rPr>
          <w:del w:id="9020" w:author="Matthew Wallenstein" w:date="2026-08-29T12:00:00Z"/>
        </w:rPr>
      </w:pPr>
      <w:del w:id="9021" w:author="Matthew Wallenstein" w:date="2026-08-29T12:00:00Z">
        <w:r>
          <w:rPr/>
          <w:delText xml:space="preserve">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delText>
        </w:r>
      </w:del>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1" w:author="Matthew Wallenstein" w:date="2026-08-29T12:00:00Z">
              <w:r>
                <w:rPr>
                  <w:sz w:val="16"/>
                </w:rPr>
                <w:delText xml:space="preserve">6.277</w:delText>
              </w:r>
            </w:del>
            <w:ins w:id="9002" w:author="Matthew Wallenstein" w:date="2026-08-29T12:00:00Z">
              <w:r>
                <w:rPr>
                  <w:sz w:val="16"/>
                </w:rPr>
                <w:t xml:space="preserve">6.198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3" w:author="Matthew Wallenstein" w:date="2026-08-29T12:00:00Z">
              <w:r>
                <w:rPr>
                  <w:sz w:val="16"/>
                </w:rPr>
                <w:delText xml:space="preserve">6.119</w:delText>
              </w:r>
            </w:del>
            <w:ins w:id="9004" w:author="Matthew Wallenstein" w:date="2026-08-29T12:00:00Z">
              <w:r>
                <w:rPr>
                  <w:sz w:val="16"/>
                </w:rPr>
                <w:t xml:space="preserve">6.022</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5" w:author="Matthew Wallenstein" w:date="2026-08-29T12:00:00Z">
              <w:r>
                <w:rPr>
                  <w:sz w:val="16"/>
                </w:rPr>
                <w:delText xml:space="preserve">6.095</w:delText>
              </w:r>
            </w:del>
            <w:ins w:id="9006" w:author="Matthew Wallenstein" w:date="2026-08-29T12:00:00Z">
              <w:r>
                <w:rPr>
                  <w:sz w:val="16"/>
                </w:rPr>
                <w:t xml:space="preserve">6.220</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7" w:author="Matthew Wallenstein" w:date="2026-08-29T12:00:00Z">
              <w:r>
                <w:rPr>
                  <w:sz w:val="16"/>
                </w:rPr>
                <w:delText xml:space="preserve">3.636</w:delText>
              </w:r>
            </w:del>
            <w:ins w:id="9008" w:author="Matthew Wallenstein" w:date="2026-08-29T12:00:00Z">
              <w:r>
                <w:rPr>
                  <w:sz w:val="16"/>
                </w:rPr>
                <w:t xml:space="preserve">3.773</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7" w:author="Matthew Wallenstein" w:date="2026-08-29T12:00:00Z">
              <w:r>
                <w:rPr>
                  <w:sz w:val="16"/>
                </w:rPr>
                <w:delText xml:space="preserve">1.76</w:delText>
              </w:r>
            </w:del>
            <w:ins w:id="9018" w:author="Matthew Wallenstein" w:date="2026-08-29T12:00:00Z">
              <w:r>
                <w:rPr>
                  <w:sz w:val="16"/>
                </w:rPr>
                <w:t xml:space="preserve">1.83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9" w:author="Matthew Wallenstein" w:date="2026-08-29T12:00:00Z">
              <w:r>
                <w:rPr>
                  <w:sz w:val="16"/>
                </w:rPr>
                <w:delText xml:space="preserve">4.871</w:delText>
              </w:r>
            </w:del>
            <w:ins w:id="9010" w:author="Matthew Wallenstein" w:date="2026-08-29T12:00:00Z">
              <w:r>
                <w:rPr>
                  <w:sz w:val="16"/>
                </w:rPr>
                <w:t xml:space="preserve">4.874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1" w:author="Matthew Wallenstein" w:date="2026-08-29T12:00:00Z">
              <w:r>
                <w:rPr>
                  <w:sz w:val="16"/>
                </w:rPr>
                <w:delText xml:space="preserve">5.602</w:delText>
              </w:r>
            </w:del>
            <w:ins w:id="9012" w:author="Matthew Wallenstein" w:date="2026-08-29T12:00:00Z">
              <w:r>
                <w:rPr>
                  <w:sz w:val="16"/>
                </w:rPr>
                <w:t xml:space="preserve">5.414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9" w:author="Matthew Wallenstein" w:date="2026-08-29T12:00:00Z">
              <w:r>
                <w:rPr>
                  <w:sz w:val="16"/>
                </w:rPr>
                <w:delText xml:space="preserve">3.56</w:delText>
              </w:r>
            </w:del>
            <w:ins w:id="9020" w:author="Matthew Wallenstein" w:date="2026-08-29T12:00:00Z">
              <w:r>
                <w:rPr>
                  <w:sz w:val="16"/>
                </w:rPr>
                <w:t xml:space="preserve">3.43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3" w:author="Matthew Wallenstein" w:date="2026-08-29T12:00:00Z">
              <w:r>
                <w:rPr>
                  <w:sz w:val="16"/>
                </w:rPr>
                <w:delText xml:space="preserve">3.876</w:delText>
              </w:r>
            </w:del>
            <w:ins w:id="9014" w:author="Matthew Wallenstein" w:date="2026-08-29T12:00:00Z">
              <w:r>
                <w:rPr>
                  <w:sz w:val="16"/>
                </w:rPr>
                <w:t xml:space="preserve">3.967</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21" w:author="Matthew Wallenstein" w:date="2026-08-29T12:00:00Z">
              <w:r>
                <w:rPr>
                  <w:sz w:val="16"/>
                </w:rPr>
                <w:delText xml:space="preserve">1.26</w:delText>
              </w:r>
            </w:del>
            <w:ins w:id="9022" w:author="Matthew Wallenstein" w:date="2026-08-29T12:00:00Z">
              <w:r>
                <w:rPr>
                  <w:sz w:val="16"/>
                </w:rPr>
                <w:t xml:space="preserve">1.29</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5" w:author="Matthew Wallenstein" w:date="2026-08-29T12:00:00Z">
              <w:r>
                <w:rPr>
                  <w:sz w:val="16"/>
                </w:rPr>
                <w:delText xml:space="preserve">4.293</w:delText>
              </w:r>
            </w:del>
            <w:ins w:id="9016" w:author="Matthew Wallenstein" w:date="2026-08-29T12:00:00Z">
              <w:r>
                <w:rPr>
                  <w:sz w:val="16"/>
                </w:rPr>
                <w:t xml:space="preserve">4.318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23" w:author="Matthew Wallenstein" w:date="2026-08-29T12:00:00Z">
              <w:r>
                <w:rPr>
                  <w:sz w:val="16"/>
                </w:rPr>
                <w:delText xml:space="preserve">1.68</w:delText>
              </w:r>
            </w:del>
            <w:ins w:id="9024" w:author="Matthew Wallenstein" w:date="2026-08-29T12:00:00Z">
              <w:r>
                <w:rPr>
                  <w:sz w:val="16"/>
                </w:rPr>
                <w:t xml:space="preserve">1.69</w:t>
              </w:r>
            </w:ins>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