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rPr/>
        <w:t>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and and, across the four regions with audited nitrogen and crop prices, retain 0.3-1.0 percentage points more crop revenue net of nitrogen-fertilizer expenditure (a partial net-revenue measure), with the largest contrasts in North America and Sub-Saharan Africa. Across regions, yield and net-revenue outcomes reflect interactions among soil buffering, fertilizer-demand elasticity, base-yield position and food-demand elasticity.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rPr/>
        <w:t>A fertilizer crisis lands differently on each farm. Recent fertilizer market disruptions, from the 2022 Russian and Belarusian fertilizer export restrictions to the 2026 Strait of Hormuz crisis, have shown how quickly geopolitical shocks become farm input shocks. The 2026 disruption effectively closed a transit corridor carrying roughly one-third of global fertilizer trade,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rPr/>
        <w:t>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(for example, winter wheat in Europe and rabi wheat in South Asia). Soil water-holding capacity enters through a SOC-mediated coupling with sensitivity 3.5 mm per percentage point of SOC, the meta-analytic central slope (Minasny and McBratney [40]); the 8.4 mm upper end of their reported range is used as a sensitivity bound; 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rPr/>
        <w:t>To test structural sensitivity, we implemented a parallel microbially-explicit 4-pool SOM scheme in which all SOM formation is routed through microbial biomass [15–18].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rPr/>
        <w:t>The water stress multiplier represents the SOM–water-holding capacity (WHC) coupling as a smooth two-sided function of SOC relative to the regional baseline. SOC loss reduces WHC linearly (sensitivity 3.5 mm WHC per percentage point SOC, the meta-analytic central slope reported by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rPr/>
        <w:t>The economic component implements a partial-equilibrium model [22] that resolves fertilizer demand, food prices, and land allocation at each annual timestep across the three price-mediated scenario tiers (S1–S3; table 1).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rPr/>
        <w:t>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 (full equations in Supplementary Methods).</w:t>
      </w:r>
    </w:p>
    <w:p>
      <w:pPr>
        <w:pStyle w:val="Normal"/>
        <w:spacing w:lineRule="auto" w:line="480" w:before="0" w:after="200"/>
        <w:rPr/>
      </w:pPr>
      <w:r>
        <w:rPr/>
        <w:t>For the four regions with audited price pairs we report crop revenue net of nitrogen-fertilizer expenditure: revenue (yield × regional crop price, both per hectare) minus nitrogen cost (fertilizer applied × regional nitrogen price × (1 + price 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 Regional fertilizer prices are 2019–2023 averages for urea equivalents from IFA and FAO commodity price series. Other production costs (seed, labor, land) are assumed constant across shock and baseline conditions; this calculation therefore captures percent changes in the shock-driven nitrogen-revenue trade-off but not full economic profit. All net-revenue impacts are expressed as percentage changes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0"/>
        <w:gridCol w:w="1600"/>
        <w:gridCol w:w="1397"/>
        <w:gridCol w:w="1403"/>
        <w:gridCol w:w="1396"/>
        <w:gridCol w:w="1403"/>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3"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3"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3"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rPr/>
      </w:r>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A farm at the regional mean SOC (9 t C ha⁻¹) loses 3.4% of yield. A farm at half the mean loses 4.1%. That is an additional 0.7 percentage points of yield loss under the same fertilizer-purchase response. At 120% of the mean, yield loss falls to 3.2%; at 200%, to 2.5%,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r>
        <w:rPr/>
        <w:t>The same SOC gradient improves crop revenue net of nitrogen-fertilizer expenditure, our partial net-revenue measure (figure 1b; definition and exclusions in Methods). The audited price inputs do not support the submitted version’s claim that Sub-Saharan Africa has the largest financial loss. Under a 100% price spike, a Sub-Saharan African farm at the regional mean SOC sees net revenue essentially unchanged (+0.0%), while a farm at half the mean sees a 0.9% decline: the fertilizer savings and the output-price recovery largely offset the yield-loss revenue at the mean, and the offset erodes as SOC falls. In South Asia, the net-revenue penalty ranges from -6.8% at the regional mean SOC to -7.0% at half the mean, reflecting already-tight margins and the largest nitrogen cost share among the modeled regions. The difference between SOC at 50% and 100% of the regional mean translates to up to ~1.0 percentage point of retained net revenue under a single-season crisis (North America, 1.0 percentage points; Sub-Saharan Africa, 0.9; Latin America, 0.7; South Asia, 0.3). Where nitrogen expenditure claims a large share of crop revenue, as in South Asia (~15% at audited market prices), margin impacts exceed yield impacts; in Sub-Saharan Africa low application rates keep the nitrogen cost share small (~4%), so the net-revenue consequence of the spike is concentrated on low-SOC farms rather than on the region as a whole. In North America (cost share ~6%), net-revenue impacts are somewhat smaller than yield impacts. These figures are conditional on the market/replacement-cost price convention and are not whole-farm profitability.</w:t>
      </w:r>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3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rcRect l="0" t="0" r="0" b="6340"/>
                    <a:stretch>
                      <a:fillRect/>
                    </a:stretch>
                  </pic:blipFill>
                  <pic:spPr bwMode="auto">
                    <a:xfrm>
                      <a:off x="0" y="0"/>
                      <a:ext cx="5943600" cy="2238375"/>
                    </a:xfrm>
                    <a:prstGeom prst="rect">
                      <a:avLst/>
                    </a:prstGeom>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r>
        <w:rPr>
          <w:rFonts w:eastAsia="Arial" w:cs="Arial" w:ascii="Arial" w:hAnsi="Arial"/>
          <w:sz w:val="20"/>
          <w:szCs w:val="20"/>
        </w:rPr>
        <w:t xml:space="preserve">Farm-level yield and partial net-revenue buffering under a 100% fertilizer price spike. Negative values indicate declines relative to the no-shock baseline.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Change in crop revenue net of nitrogen-fertilizer expenditure under the same scenario; this is not whole-farm gross margin because other costs are excluded. </w:t>
      </w:r>
    </w:p>
    <w:p>
      <w:pPr>
        <w:pStyle w:val="Normal"/>
        <w:rPr/>
      </w:pPr>
      <w:r>
        <w:rPr/>
      </w:r>
    </w:p>
    <w:p>
      <w:pPr>
        <w:pStyle w:val="Normal"/>
        <w:spacing w:lineRule="auto" w:line="480" w:before="0" w:after="200"/>
        <w:rPr/>
      </w:pPr>
      <w:r>
        <w:rPr/>
        <w:t>The SOC buffer widens with shock severity, especially above price increases of approximately 100–150%, a range observed during recent crises (Supplementary Fig. S11).The spread between SOC at 25% and 100%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rPr/>
        <w:t>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smaller shock-induced losses at higher SOC,with the widest absolute gradients in Southeast Asia (from ~6.3% at 10% of regional mean SOC to ~2.6% at 200%) and South Asia (~7.5% to ~3.8%),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rPr/>
        <w:t>Under a sustained fertilizer price scenario calibrated to reduce regional fertilizer use by approximately 20% under S1 (a +104% price shock, production-weighted across regions and time-averaged across the years of sustained disruption), the depletion-driven compensation channel active in S3 partially offsets the response, so the realized S3 reduction averages approximately 19% over the sustained-disruption period (production-weighted across regions and averaged over the disruption years). Production-weighted global yield loss reaches 2.3% in year 1 and rises to 3.2% by year 10 as reduced residue return drives SOC depletion. Regional year-10 losses range from 1.2% (East Asia) to 5.1% (South Asia), with FSU/Central Asia at 5.5% and Sub-Saharan Africa at 4.9%. Latin America shows a modest modelled loss of 2.5% in year 10,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rPr/>
        <w:t>Pairwise diagnostics across the eight modeled regions show that total year-10 yield penalties are structured by multiple covarying soil, climate, productivity and economic descriptors rather than by soil buffering alone. Larger modeled yield losses are associated with lower SOC stocks,a lower calibrated yield ceiling (y_max), higher baseline water deficits and lower BNF potential; these descriptors covary across regions and should be interpreted as a structural context rather than as independent drivers (Supplementary Note 3). Gross-margin losses follow the same descriptor structure with stronger amplitude in regions where fertilizer is a larger share of cost (Supplementary Note 3).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14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644140"/>
                    </a:xfrm>
                    <a:prstGeom prst="rect">
                      <a:avLst/>
                    </a:prstGeom>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rPr/>
        <w:t>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[9].A 1-year pulse produces 2.3% global yield loss in year 1, with near-complete recovery to 0.04% by year 5 as soils re-equilibrate; the price shock ends with the pulse, so the residual loss in later years is attributable to soil state alone. A sustained 10-year disruption, by contrast, shows no recovery: loss rises from 2.3% in year 1 to 3.2% by year 10 as reduced crop residue return drives SOC depletion. Under 30 years of sustained disruption, Sub-Saharan Africa's SOC declines by 2.2% and its year-30 yield loss reaches 5.4% (South Asia 5.2%, FSU/Central Asia 5.8%). In percentage-of-stock terms, South Asia and Sub-Saharan Africa lose the largest share of their soil carbon and are not separable from each other (2.23% and 2.24%); percentage SOC decline does not order regions the way yield loss does.</w:t>
      </w:r>
    </w:p>
    <w:p>
      <w:pPr>
        <w:pStyle w:val="Normal"/>
        <w:spacing w:lineRule="auto" w:line="480" w:before="0" w:after="200"/>
        <w:rPr/>
      </w:pPr>
      <w:r>
        <w:rPr/>
        <w:t>Price-mediated shocks and physical supply constraints produce different long-run trajectories. In S3, the price shock is calibrated to drive a 20% reduction under S1 and realizes approximately 19% once the depletion-driven compensation channel (ε_F,N) is active: the soil buffer tempers the initial shock but does not prevent compounding, with global year-10 yield loss reaching 3.2% and continuing to rise to 3.3% by year 30 as SOM depletes. SC1, a literal physical 20% supply constraint sustained indefinitely, produces a larger year-10 loss (3.8%), about 0.6 percentage points beyond the price-mediated S3 case, reflecting the additional damage when the supply cap forecloses the depletion-driven compensation channel and applies a deeper effective cut, on the same compounding trajectory. SC2, in which the same physical constraint resolves linearly over 20 years, shows the opposite trajectory: a year-10 loss of 1.9% declines as supply returns, falling to 0.1% by year 20. The SC1–SC2 contrast quantifies the value of supply-side recovery: a permanent physical constraint (SC1) leaves a 3.9% loss at year 30, while the constraint that resolves leaves essentially none (0.04%).</w:t>
      </w:r>
    </w:p>
    <w:p>
      <w:pPr>
        <w:pStyle w:val="Normal"/>
        <w:spacing w:lineRule="auto" w:line="480" w:before="0" w:after="200"/>
        <w:rPr/>
      </w:pPr>
      <w:r>
        <w:rPr/>
        <w:t>Replacing the Century/RothC engine with the microbially-explicit 4-pool SOM scheme (Methods) preserved the central conclusion that persistent disruptions erode the soil buffer, while producing SOC-loss estimates 0.9 to 2.5 times those of Century/RothC at year 30 (Supplementary Fig. S5; Supplementary table 2).</w:t>
      </w:r>
    </w:p>
    <w:p>
      <w:pPr>
        <w:pStyle w:val="Normal"/>
        <w:spacing w:lineRule="auto" w:line="480" w:before="0" w:after="200"/>
        <w:rPr>
          <w:rFonts w:ascii="Arial" w:hAnsi="Arial" w:eastAsia="Arial" w:cs="Arial"/>
          <w:b/>
          <w:bCs/>
          <w:i/>
          <w:i/>
          <w:iCs/>
        </w:rPr>
      </w:pPr>
      <w:r>
        <w:rPr>
          <w:rFonts w:eastAsia="Arial" w:cs="Arial" w:ascii="Arial" w:hAnsi="Arial"/>
          <w:b/>
          <w:bCs/>
          <w:i/>
          <w:iCs/>
        </w:rPr>
        <w:t>In-season N capture, an NUE component, reduces shock sensitivity</w:t>
      </w:r>
    </w:p>
    <w:p>
      <w:pPr>
        <w:pStyle w:val="Normal"/>
        <w:spacing w:lineRule="auto" w:line="480"/>
        <w:rPr/>
      </w:pPr>
      <w:r>
        <w:rPr>
          <w:rFonts w:eastAsia="Arial"/>
        </w:rPr>
        <w:t>Increasing modeled monthly N capture efficiency from 0.45 to 0.65reduces Sub-Saharan African year-10 yield loss by approximately 55% under the sustained-disruption scenario (Supplementary Fig. S10). At the baseline efficiency of 0.75, the same scenario produces a 3.4% global year-10 yield loss;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behindDoc="0" distT="0" distB="0" distL="114300" distR="114300" simplePos="0" locked="0" layoutInCell="0" allowOverlap="1" relativeHeight="4" wp14:anchorId="372AFEFE">
                <wp:simplePos x="0" y="0"/>
                <wp:positionH relativeFrom="column">
                  <wp:posOffset>0</wp:posOffset>
                </wp:positionH>
                <wp:positionV relativeFrom="paragraph">
                  <wp:posOffset>635</wp:posOffset>
                </wp:positionV>
                <wp:extent cx="5943600" cy="6262370"/>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6262200"/>
                          <a:chOff x="0" y="0"/>
                          <a:chExt cx="5943600" cy="6262200"/>
                        </a:xfrm>
                      </wpg:grpSpPr>
                      <pic:pic xmlns:pic="http://schemas.openxmlformats.org/drawingml/2006/picture">
                        <pic:nvPicPr>
                          <pic:cNvPr id="4" name="Image2" descr=""/>
                          <pic:cNvPicPr/>
                        </pic:nvPicPr>
                        <pic:blipFill>
                          <a:blip r:embed="rId4"/>
                          <a:stretch/>
                        </pic:blipFill>
                        <pic:spPr>
                          <a:xfrm>
                            <a:off x="0" y="0"/>
                            <a:ext cx="5943600" cy="3711600"/>
                          </a:xfrm>
                          <a:prstGeom prst="rect">
                            <a:avLst/>
                          </a:prstGeom>
                          <a:ln w="0">
                            <a:noFill/>
                          </a:ln>
                        </pic:spPr>
                      </pic:pic>
                      <wps:wsp>
                        <wps:cNvPr id="5" name="Text Box 1"/>
                        <wps:cNvSpPr/>
                        <wps:spPr>
                          <a:xfrm>
                            <a:off x="0" y="3766680"/>
                            <a:ext cx="5943600" cy="2495520"/>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rIns="0" tIns="0" bIns="0" anchor="t">
                          <a:noAutofit/>
                        </wps:bodyPr>
                      </wps:wsp>
                    </wpg:wgp>
                  </a:graphicData>
                </a:graphic>
              </wp:anchor>
            </w:drawing>
          </mc:Choice>
          <mc:Fallback>
            <w:pict>
              <v:group id="shape_0" alt="Group 2" style="position:absolute;margin-left:0pt;margin-top:0.05pt;width:468pt;height:493.1pt" coordorigin="0,1"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2" stroked="f" o:allowincell="f" style="position:absolute;left:0;top:1;width:9359;height:5844;mso-wrap-style:none;v-text-anchor:middle" type="_x0000_t75">
                  <v:imagedata r:id="rId5" o:detectmouseclick="t"/>
                  <v:stroke color="#3465a4" joinstyle="round" endcap="flat"/>
                  <w10:wrap type="square"/>
                </v:shape>
                <v:rect id="shape_0" ID="Text Box 1" path="m0,0l-2147483645,0l-2147483645,-2147483646l0,-2147483646xe" fillcolor="white" stroked="f" o:allowincell="f" style="position:absolute;left:0;top:5933;width:9359;height:3929;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rPr/>
        <w:t>Our model shows that SOM buffers fertilizer disruptions, but persistent disruptions degrade the buffer. At the farm scale, higher SOC reduces yield losses and, in the four priced regions, improves crop revenue net of nitrogen-fertilizer expenditure.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rP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farms at the regional mean retain up to ~1 percentage point more crop revenue net of nitrogen-fertilizer expenditure under a 100% fertilizer-price spike (regional range 0.3–1.0 percentage points; figure 1b). In Sub-Saharan Africa, a farm at half the regional mean SOC loses 0.9% of net revenue where a farm at the mean is essentially unaffected, a contrast that is modest in absolute terms but concentrated exactly where liquidity-constrained smallholders decide whether to purchase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p>
    <w:p>
      <w:pPr>
        <w:pStyle w:val="Normal"/>
        <w:spacing w:lineRule="auto" w:line="480" w:before="0" w:after="200"/>
        <w:rPr/>
      </w:pPr>
      <w:r>
        <w:rPr/>
        <w:t>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and the fertilizer share in regional gross margin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rPr/>
        <w:t>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raising modeled monthly N capture efficiency from 0.45 to 0.65reduces Sub-Saharan African year-10 yield loss by approximately 55% (Supplementary Fig. S10), indicating that improvements in timing, placement, retention and crop uptake can extend the productive value of existing soil N buffering during disruption.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rPr/>
        <w:t>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the SC1–SC2 contrast shows thata permanent physical constraint produces roughly ten times the year-30 yield loss of one that resolves linearly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rPr/>
        <w:t>Parameter uncertainty shifts the magnitude of these effects but not their direction. Price elasticities carry substantial uncertainty, particularly for Sub-Saharan Africa (εF,PF: −0.15 to −0.70 across country-level estimates); halving all elasticities preserves the qualitative regional pattern whilecompressing global year-10 yield loss by approximately 46% (Supplementary Fig. S8).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but widens the uncertainty range (Supplementary Fig. S5; Supplementary table 2), implying that microbially driven stabilization feedbacks could accelerate soil nitrogen depletion under prolonged shortfalls and shorten the window 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rPr/>
        <w:t>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gradients drive percentage-point differences in shock-induced yield and gross-margin losses, and that the largest soil-mediated contrasts occur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pPr>
      <w:r>
        <w:rPr/>
        <w:t>AI use statement</w:t>
      </w:r>
    </w:p>
    <w:p>
      <w:pPr>
        <w:pStyle w:val="Normal"/>
        <w:rPr/>
      </w:pPr>
      <w:r>
        <w:rPr/>
        <w: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lef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lef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lef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lef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left="360"/>
        <w:rPr/>
      </w:pPr>
      <w:r>
        <w:rPr/>
        <w:t>[5] FAO 2025 FAOSTAT: Fertilizers by Nutrient and Producer Prices (https://www.fao.org/faostat)</w:t>
      </w:r>
    </w:p>
    <w:p>
      <w:pPr>
        <w:pStyle w:val="Normal"/>
        <w:spacing w:before="0" w:after="120"/>
        <w:ind w:hanging="360" w:lef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lef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lef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lef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lef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lef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lef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lef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lef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lef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lef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lef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lef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lef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lef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lef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lef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lef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lef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lef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lef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left="360"/>
        <w:rPr/>
      </w:pPr>
      <w:r>
        <w:rPr/>
        <w:t>[27] International Fertilizer Association (IFA) 2025 IFASTAT: Production, Trade, and Consumption Statistics (https://www.ifastat.org)</w:t>
      </w:r>
    </w:p>
    <w:p>
      <w:pPr>
        <w:pStyle w:val="Normal"/>
        <w:spacing w:before="0" w:after="120"/>
        <w:ind w:hanging="360" w:lef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lef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lef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lef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lef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lef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lef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lef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left="360"/>
        <w:rPr/>
      </w:pPr>
      <w:r>
        <w:rPr/>
        <w:t>[36] African Union Commission 2024 African Fertilizer and Soil Health Summit: Nairobi Declaration (Nairobi, Kenya)</w:t>
      </w:r>
    </w:p>
    <w:p>
      <w:pPr>
        <w:pStyle w:val="Normal"/>
        <w:spacing w:before="0" w:after="120"/>
        <w:ind w:hanging="360" w:lef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Aptos">
    <w:charset w:val="01"/>
    <w:family w:val="roman"/>
    <w:pitch w:val="variable"/>
  </w:font>
  <w:font w:name="Cambria Mat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sz w:val="18"/>
        <w:szCs w:val="18"/>
        <w:rFonts w:eastAsia="Arial" w:cs="Arial" w:ascii="Arial" w:hAnsi="Arial"/>
      </w:rPr>
      <w:instrText xml:space="preserve"> PAGE </w:instrText>
    </w:r>
    <w:r>
      <w:rPr>
        <w:sz w:val="18"/>
        <w:szCs w:val="18"/>
        <w:rFonts w:eastAsia="Arial" w:cs="Arial" w:ascii="Arial" w:hAnsi="Arial"/>
      </w:rPr>
      <w:fldChar w:fldCharType="separate"/>
    </w:r>
    <w:r>
      <w:rPr>
        <w:sz w:val="18"/>
        <w:szCs w:val="18"/>
        <w:rFonts w:eastAsia="Arial" w:cs="Arial" w:ascii="Arial" w:hAnsi="Arial"/>
      </w:rPr>
      <w:t>32</w:t>
    </w:r>
    <w:r>
      <w:rPr>
        <w:sz w:val="18"/>
        <w:szCs w:val="18"/>
        <w:rFonts w:eastAsia="Arial"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sz w:val="18"/>
        <w:szCs w:val="18"/>
        <w:rFonts w:eastAsia="Arial" w:cs="Arial" w:ascii="Arial" w:hAnsi="Arial"/>
      </w:rPr>
      <w:instrText xml:space="preserve"> PAGE </w:instrText>
    </w:r>
    <w:r>
      <w:rPr>
        <w:sz w:val="18"/>
        <w:szCs w:val="18"/>
        <w:rFonts w:eastAsia="Arial" w:cs="Arial" w:ascii="Arial" w:hAnsi="Arial"/>
      </w:rPr>
      <w:fldChar w:fldCharType="separate"/>
    </w:r>
    <w:r>
      <w:rPr>
        <w:sz w:val="18"/>
        <w:szCs w:val="18"/>
        <w:rFonts w:eastAsia="Arial" w:cs="Arial" w:ascii="Arial" w:hAnsi="Arial"/>
      </w:rPr>
      <w:t>32</w:t>
    </w:r>
    <w:r>
      <w:rPr>
        <w:sz w:val="18"/>
        <w:szCs w:val="18"/>
        <w:rFonts w:eastAsia="Arial"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lef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lef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lef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annotation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Annotation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lef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AnnotationText">
    <w:name w:val="Annotation Text"/>
    <w:basedOn w:val="Normal"/>
    <w:link w:val="CommentTextChar"/>
    <w:uiPriority w:val="99"/>
    <w:unhideWhenUsed/>
    <w:rsid w:val="00bf6eb9"/>
    <w:pPr/>
    <w:rPr>
      <w:sz w:val="20"/>
      <w:szCs w:val="20"/>
    </w:rPr>
  </w:style>
  <w:style w:type="paragraph" w:styleId="annotationsubject">
    <w:name w:val="annotation subject"/>
    <w:basedOn w:val="AnnotationText"/>
    <w:next w:val="Annotation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LibreOffice/24.2.7.2$Linux_X86_64 LibreOffice_project/420$Build-2</Application>
  <AppVersion>15.0000</AppVersion>
  <Pages>7</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
  <cp:lastPrinted>2026-05-26T17:25:00Z</cp:lastPrinted>
  <dcterms:modified xsi:type="dcterms:W3CDTF">2026-08-29T14:31:58Z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