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7262" w14:textId="77777777" w:rsidR="00EE4E82" w:rsidRPr="0097218A" w:rsidRDefault="00000000">
      <w:pPr>
        <w:pStyle w:val="Heading1"/>
        <w:rPr>
          <w:rFonts w:ascii="Aptos" w:hAnsi="Aptos"/>
          <w:b w:val="0"/>
          <w:bCs w:val="0"/>
        </w:rPr>
      </w:pPr>
      <w:bookmarkStart w:id="0" w:name="response-to-reviewers-erfs-100341"/>
      <w:r>
        <w:rPr>
          <w:rFonts w:ascii="Aptos" w:hAnsi="Aptos"/>
          <w:b w:val="0"/>
          <w:bCs w:val="0"/>
        </w:rPr>
        <w:t>Response to Reviewers — ERFS-100341</w:t>
      </w:r>
    </w:p>
    <w:p w14:paraId="6C85FD07" w14:textId="63262DD0" w:rsidR="00EE4E82" w:rsidRPr="0097218A" w:rsidRDefault="00000000">
      <w:pPr>
        <w:pStyle w:val="FirstParagraph"/>
        <w:rPr>
          <w:rFonts w:ascii="Aptos" w:hAnsi="Aptos"/>
        </w:rPr>
      </w:pPr>
      <w:r>
        <w:rPr>
          <w:rFonts w:ascii="Aptos" w:hAnsi="Aptos"/>
        </w:rPr>
        <w:t xml:space="preserve">Manuscript: Soil organic matter buffers fertilizer supply disruptions </w:t>
      </w:r>
    </w:p>
    <w:p w14:paraId="6B48F73E" w14:textId="7613DFBE" w:rsidR="00EE4E82" w:rsidRPr="0097218A" w:rsidRDefault="00000000">
      <w:pPr>
        <w:pStyle w:val="BodyText"/>
        <w:rPr>
          <w:rFonts w:ascii="Aptos" w:hAnsi="Aptos"/>
        </w:rPr>
      </w:pPr>
      <w:r>
        <w:rPr>
          <w:rFonts w:ascii="Aptos" w:hAnsi="Aptos"/>
        </w:rPr>
        <w:t xml:space="preserve">We thank both reviewers for their careful and constructive assessments. Both recognized the framework as timely, original, and policy-relevant, and both identified a shared structural problem: the fundamentals of the coupled model were documented in a ~40-page Supplementary Information rather than in the main-text Methods, which made the analysis difficult to judge from the paper itself. We agree. We have rebuilt the Methods around a new opening section that specifies the spatial scales, the aggregation procedure, the crop representation, the data sources, and the core model equations before any results are presented. Sensitivity analyses remain in the SI.</w:t>
      </w:r>
    </w:p>
    <w:p w14:paraId="6941EF8B" w14:textId="46214F27" w:rsidR="00EE4E82" w:rsidRPr="0097218A" w:rsidRDefault="00000000">
      <w:pPr>
        <w:pStyle w:val="BodyText"/>
        <w:rPr>
          <w:rFonts w:ascii="Aptos" w:hAnsi="Aptos"/>
        </w:rPr>
      </w:pPr>
      <w:r>
        <w:rPr>
          <w:rFonts w:ascii="Aptos" w:hAnsi="Aptos"/>
        </w:rPr>
        <w:t xml:space="preserve">We also strengthened the two places where documentation was insufficient: the crop nitrogen-response calibration (</w:t>
      </w:r>
      <w:r>
        <w:rPr>
          <w:rFonts w:ascii="Aptos" w:hAnsi="Aptos"/>
        </w:rPr>
        <w:t xml:space="preserve">now stated </w:t>
      </w:r>
      <w:r>
        <w:rPr>
          <w:rFonts w:ascii="Aptos" w:hAnsi="Aptos"/>
        </w:rPr>
        <w:t xml:space="preserve">explicitly and evaluated against </w:t>
      </w:r>
      <w:r>
        <w:rPr>
          <w:rFonts w:ascii="Aptos" w:hAnsi="Aptos"/>
        </w:rPr>
        <w:t xml:space="preserve">independent </w:t>
      </w:r>
      <w:r>
        <w:rPr>
          <w:rFonts w:ascii="Aptos" w:hAnsi="Aptos"/>
        </w:rPr>
        <w:t xml:space="preserve">temperate and tropical benchmarks</w:t>
      </w:r>
      <w:r>
        <w:rPr>
          <w:rFonts w:ascii="Aptos" w:hAnsi="Aptos"/>
        </w:rPr>
        <w:t xml:space="preserve">) and the provenance of the climate and soil-water inputs (now named and sourced). A point-by-point response follows. Manuscript locations refer to the revised, tracked-changes file. New or moved supplementary items are identified by their revised numbering.</w:t>
      </w:r>
    </w:p>
    <w:p>
      <w:pPr>
        <w:rPr/>
      </w:pPr>
      <w:r>
        <w:t xml:space="preserve">We also identified and removed an internal inconsistency in the economic component during this revision: the market-clearing food price is now solved directly against the biophysical production response at every timestep, and a mis-set soil-N depletion elasticity was restored to its documented value (εF,N = −0.50). Yield trajectories were unchanged to reported precision; year-10 food-price responses rose by roughly 1–2 percentage points. The full account, with the verification tests now deposited, appears under “Analysis and figure tasks” at the end of this letter.</w:t>
      </w:r>
    </w:p>
    <w:p w14:paraId="218FA89A" w14:textId="407D63CB" w:rsidR="00EE4E82" w:rsidRPr="0097218A" w:rsidRDefault="003300FC">
      <w:pPr>
        <w:rPr>
          <w:rFonts w:ascii="Aptos" w:hAnsi="Aptos"/>
        </w:rPr>
      </w:pPr>
      <w:r>
        <w:rPr>
          <w:noProof/>
        </w:rPr>
        <mc:AlternateContent>
          <mc:Choice Requires="wps">
            <w:drawing>
              <wp:inline distT="0" distB="0" distL="0" distR="0" wp14:anchorId="16763E2D" wp14:editId="589AAA20">
                <wp:extent cx="5943600" cy="13970"/>
                <wp:effectExtent l="9525" t="5080" r="9525" b="9525"/>
                <wp:docPr id="426058289"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090021"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F43CE26" w14:textId="77777777" w:rsidR="00EE4E82" w:rsidRPr="0097218A" w:rsidRDefault="00000000">
      <w:pPr>
        <w:pStyle w:val="Heading2"/>
        <w:rPr>
          <w:rFonts w:ascii="Aptos" w:hAnsi="Aptos"/>
          <w:b w:val="0"/>
          <w:bCs w:val="0"/>
        </w:rPr>
      </w:pPr>
      <w:bookmarkStart w:id="1" w:name="referee-2-major-revisions"/>
      <w:r>
        <w:rPr>
          <w:rFonts w:ascii="Aptos" w:hAnsi="Aptos"/>
          <w:b w:val="0"/>
          <w:bCs w:val="0"/>
        </w:rPr>
        <w:t>Referee 2 (Major Revisions)</w:t>
      </w:r>
    </w:p>
    <w:p w14:paraId="0748561C" w14:textId="77777777" w:rsidR="00EE4E82" w:rsidRPr="0097218A" w:rsidRDefault="00000000">
      <w:pPr>
        <w:pStyle w:val="FirstParagraph"/>
        <w:rPr>
          <w:rFonts w:ascii="Aptos" w:hAnsi="Aptos"/>
        </w:rPr>
      </w:pPr>
      <w:r>
        <w:rPr>
          <w:rFonts w:ascii="Aptos" w:hAnsi="Aptos"/>
        </w:rPr>
        <w:t>Referee 2’s central concern is that the methods are insufficiently described to judge the analysis, organized around six points. We address each, then the itemized minor comments.</w:t>
      </w:r>
    </w:p>
    <w:p w14:paraId="7D1C1C87" w14:textId="77777777" w:rsidR="00EE4E82" w:rsidRPr="0097218A" w:rsidRDefault="00000000">
      <w:pPr>
        <w:pStyle w:val="Heading3"/>
        <w:rPr>
          <w:rFonts w:ascii="Aptos" w:hAnsi="Aptos"/>
          <w:b w:val="0"/>
          <w:bCs w:val="0"/>
        </w:rPr>
      </w:pPr>
      <w:bookmarkStart w:id="2" w:name="X83982e69ab89cd2b11d678e945f1e9396e90de0"/>
      <w:r>
        <w:rPr>
          <w:rFonts w:ascii="Aptos" w:hAnsi="Aptos"/>
          <w:b w:val="0"/>
          <w:bCs w:val="0"/>
        </w:rPr>
        <w:t>(i) Spatial scales and aggregation procedure</w:t>
      </w:r>
    </w:p>
    <w:p w14:paraId="3A7F5543" w14:textId="77777777" w:rsidR="00EE4E82" w:rsidRPr="0097218A" w:rsidRDefault="00000000">
      <w:pPr>
        <w:pStyle w:val="BlockText"/>
        <w:rPr>
          <w:rFonts w:ascii="Aptos" w:hAnsi="Aptos"/>
          <w:i/>
          <w:iCs/>
        </w:rPr>
      </w:pPr>
      <w:r>
        <w:rPr>
          <w:rFonts w:ascii="Aptos" w:hAnsi="Aptos"/>
          <w:i/>
          <w:iCs/>
        </w:rPr>
        <w:t>The spatial scales considered and the aggregation procedure are insufficiently described… how is [SOC] aggregated at country-continent scale? How are prices of input and output aggregated? What is a farm?</w:t>
      </w:r>
    </w:p>
    <w:p w14:paraId="41F6CCAC" w14:textId="77777777" w:rsidR="00EE4E82" w:rsidRPr="0097218A" w:rsidRDefault="00000000">
      <w:pPr>
        <w:pStyle w:val="FirstParagraph"/>
        <w:rPr>
          <w:rFonts w:ascii="Aptos" w:hAnsi="Aptos"/>
        </w:rPr>
      </w:pPr>
      <w:r>
        <w:rPr>
          <w:rFonts w:ascii="Aptos" w:hAnsi="Aptos"/>
        </w:rPr>
        <w:t>Response — agreed; this is now the opening of the Methods. We added a new subsection, “Modeling framework, scales, and aggregation,” as the first thing the reader encounters in the Methods. It states plainly:</w:t>
      </w:r>
    </w:p>
    <w:p>
      <w:pPr>
        <w:rPr/>
      </w:pPr>
      <w:r>
        <w:t xml:space="preserve">The relevant revised manuscript text now reads: “Within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 and “Regional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 [Methods, “Modeling framework, scales, and aggregation”]</w:t>
      </w:r>
    </w:p>
    <w:p w14:paraId="3416BA74" w14:textId="77777777" w:rsidR="00EE4E82" w:rsidRPr="0097218A" w:rsidRDefault="00000000">
      <w:pPr>
        <w:pStyle w:val="Compact"/>
        <w:numPr>
          <w:ilvl w:val="0"/>
          <w:numId w:val="2"/>
        </w:numPr>
        <w:rPr>
          <w:rFonts w:ascii="Aptos" w:hAnsi="Aptos"/>
        </w:rPr>
      </w:pPr>
    </w:p>
    <w:p w14:paraId="66FBB10E" w14:textId="77777777" w:rsidR="00EE4E82" w:rsidRPr="0097218A" w:rsidRDefault="00000000">
      <w:pPr>
        <w:pStyle w:val="Compact"/>
        <w:numPr>
          <w:ilvl w:val="0"/>
          <w:numId w:val="2"/>
        </w:numPr>
        <w:rPr>
          <w:rFonts w:ascii="Aptos" w:hAnsi="Aptos"/>
        </w:rPr>
      </w:pPr>
    </w:p>
    <w:p w14:paraId="60C459C6" w14:textId="77777777" w:rsidR="00EE4E82" w:rsidRPr="0097218A" w:rsidRDefault="00000000">
      <w:pPr>
        <w:pStyle w:val="Compact"/>
        <w:numPr>
          <w:ilvl w:val="0"/>
          <w:numId w:val="2"/>
        </w:numPr>
        <w:rPr>
          <w:rFonts w:ascii="Aptos" w:hAnsi="Aptos"/>
        </w:rPr>
      </w:pPr>
    </w:p>
    <w:p w14:paraId="67B4EC26" w14:textId="77777777" w:rsidR="00EE4E82" w:rsidRPr="0097218A" w:rsidRDefault="00000000">
      <w:pPr>
        <w:pStyle w:val="Compact"/>
        <w:numPr>
          <w:ilvl w:val="0"/>
          <w:numId w:val="2"/>
        </w:numPr>
        <w:rPr>
          <w:rFonts w:ascii="Aptos" w:hAnsi="Aptos"/>
        </w:rPr>
      </w:pPr>
    </w:p>
    <w:p w14:paraId="22D46B3D" w14:textId="77777777" w:rsidR="00EE4E82" w:rsidRPr="0097218A" w:rsidRDefault="00000000">
      <w:pPr>
        <w:pStyle w:val="Compact"/>
        <w:numPr>
          <w:ilvl w:val="0"/>
          <w:numId w:val="2"/>
        </w:numPr>
        <w:rPr>
          <w:rFonts w:ascii="Aptos" w:hAnsi="Aptos"/>
        </w:rPr>
      </w:pPr>
      <w:r>
        <w:rPr>
          <w:rFonts w:ascii="Aptos" w:hAnsi="Aptos"/>
        </w:rPr>
        <w:t xml:space="preserve">Representative-soil aggregation and its bias. Regional responses are evaluated at the regional mean SOC rather than integrated over the within-region distribution. Because the Mitscherlich response is concave, this understates the true regional </w:t>
      </w:r>
      <w:r>
        <w:rPr>
          <w:rFonts w:ascii="Aptos" w:hAnsi="Aptos"/>
        </w:rPr>
        <w:t xml:space="preserve">price response </w:t>
      </w:r>
      <w:r>
        <w:rPr>
          <w:rFonts w:ascii="Aptos" w:hAnsi="Aptos"/>
        </w:rPr>
        <w:t>(Jensen’s inequality); the ordinal ranking is preserved. This was previously Supplementary Note 5 and is now stated in the main Methods with the note retained for the formal argument.</w:t>
      </w:r>
    </w:p>
    <w:p w14:paraId="4A22B92F" w14:textId="77777777" w:rsidR="00EE4E82" w:rsidRPr="0097218A" w:rsidRDefault="00000000">
      <w:pPr>
        <w:pStyle w:val="FirstParagraph"/>
        <w:rPr>
          <w:rFonts w:ascii="Aptos" w:hAnsi="Aptos"/>
        </w:rPr>
      </w:pPr>
      <w:r>
        <w:rPr>
          <w:rFonts w:ascii="Aptos" w:hAnsi="Aptos"/>
        </w:rPr>
        <w:t>We also added, at the reviewer’s request, a compact statement of the governing model relationships (the Mitscherlich yield response, the stoichiometric cap, and the water-stress factor) to the main-text Methods, with the full equation set retained in the Supplementary Methods (see (iii) and (v)), and a one-paragraph summary of what drives regional differences (base-yield position, SOC, water deficit, BNF potential, and economic structure), cross-referenced to the pairwise diagnostic (revised Supplementary Note 3).</w:t>
      </w:r>
    </w:p>
    <w:p w14:paraId="3127187E" w14:textId="77777777" w:rsidR="00EE4E82" w:rsidRPr="0097218A" w:rsidRDefault="00000000">
      <w:pPr>
        <w:pStyle w:val="Heading3"/>
        <w:rPr>
          <w:rFonts w:ascii="Aptos" w:hAnsi="Aptos"/>
          <w:b w:val="0"/>
          <w:bCs w:val="0"/>
        </w:rPr>
      </w:pPr>
      <w:bookmarkStart w:id="4" w:name="Xb8cdcae4b65d260c675de18f092630952518c66"/>
      <w:bookmarkEnd w:id="2"/>
      <w:r>
        <w:rPr>
          <w:rFonts w:ascii="Aptos" w:hAnsi="Aptos"/>
          <w:b w:val="0"/>
          <w:bCs w:val="0"/>
        </w:rPr>
        <w:t>(ii) Crop type and how fertilizer/BNF are handled across crops</w:t>
      </w:r>
    </w:p>
    <w:p w14:paraId="43E35A23" w14:textId="77777777" w:rsidR="00EE4E82" w:rsidRPr="0097218A" w:rsidRDefault="00000000">
      <w:pPr>
        <w:pStyle w:val="BlockText"/>
        <w:rPr>
          <w:rFonts w:ascii="Aptos" w:hAnsi="Aptos"/>
          <w:i/>
          <w:iCs/>
        </w:rPr>
      </w:pPr>
      <w:r>
        <w:rPr>
          <w:rFonts w:ascii="Aptos" w:hAnsi="Aptos"/>
          <w:i/>
          <w:iCs/>
        </w:rPr>
        <w:t>FAO nutrient use is not crop specific — how did the authors handle this? … Yield ceilings and shape of crop response depend on crop type. On which crop(s) are the N carry-overs applied; what were the assumptions on crop rotations?</w:t>
      </w:r>
    </w:p>
    <w:p w14:paraId="0405CBAF" w14:textId="613D58CB" w:rsidR="00EE4E82" w:rsidRPr="0097218A" w:rsidRDefault="00000000">
      <w:pPr>
        <w:pStyle w:val="FirstParagraph"/>
        <w:rPr>
          <w:rFonts w:ascii="Aptos" w:hAnsi="Aptos"/>
        </w:rPr>
      </w:pPr>
      <w:r>
        <w:rPr>
          <w:rFonts w:ascii="Aptos" w:hAnsi="Aptos"/>
        </w:rPr>
        <w:t xml:space="preserve">Response: we now declare and justify the single-representative-cereal design, and add the missing caveats. The model represents each region as a single production-weighted cereal system, not a crop-by-crop portfolio. We have made this explicit in the new Methods opening and stated its implications:</w:t>
      </w:r>
    </w:p>
    <w:p>
      <w:pPr>
        <w:rPr/>
      </w:pPr>
      <w:r>
        <w:t xml:space="preserve">The relevant revised manuscript text now reads: “Each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 [Methods, “Modeling framework, scales, and aggregation”]</w:t>
      </w:r>
    </w:p>
    <w:p w14:paraId="6D639951" w14:textId="77777777" w:rsidR="00EE4E82" w:rsidRPr="0097218A" w:rsidRDefault="00000000">
      <w:pPr>
        <w:pStyle w:val="Compact"/>
        <w:numPr>
          <w:ilvl w:val="0"/>
          <w:numId w:val="3"/>
        </w:numPr>
        <w:rPr>
          <w:rFonts w:ascii="Aptos" w:hAnsi="Aptos"/>
        </w:rPr>
      </w:pPr>
    </w:p>
    <w:p w14:paraId="20FDA0BA" w14:textId="77777777" w:rsidR="00EE4E82" w:rsidRPr="0097218A" w:rsidRDefault="00000000">
      <w:pPr>
        <w:pStyle w:val="Compact"/>
        <w:numPr>
          <w:ilvl w:val="0"/>
          <w:numId w:val="3"/>
        </w:numPr>
        <w:rPr>
          <w:rFonts w:ascii="Aptos" w:hAnsi="Aptos"/>
        </w:rPr>
      </w:pPr>
    </w:p>
    <w:p w14:paraId="3D0BD36A" w14:textId="77777777" w:rsidR="00EE4E82" w:rsidRPr="0097218A" w:rsidRDefault="00000000">
      <w:pPr>
        <w:pStyle w:val="Compact"/>
        <w:numPr>
          <w:ilvl w:val="0"/>
          <w:numId w:val="3"/>
        </w:numPr>
        <w:rPr>
          <w:rFonts w:ascii="Aptos" w:hAnsi="Aptos"/>
        </w:rPr>
      </w:pPr>
    </w:p>
    <w:p w14:paraId="09BA6D2B" w14:textId="5AF8943B" w:rsidR="00EE4E82" w:rsidRPr="0097218A" w:rsidRDefault="00000000">
      <w:pPr>
        <w:pStyle w:val="FirstParagraph"/>
        <w:rPr>
          <w:rFonts w:ascii="Aptos" w:hAnsi="Aptos"/>
        </w:rPr>
      </w:pPr>
      <w:r>
        <w:rPr>
          <w:rFonts w:ascii="Aptos" w:hAnsi="Aptos"/>
        </w:rPr>
        <w:t xml:space="preserve">We note that a fully crop-resolved response is a substantial extension; we believe the representative-cereal design is defensible for a mechanism-focused resilience analysis provided it is stated transparently, which it now is. If the reviewer regards a two-crop contrast (e.g., wheat vs. maize response shape) as necessary, we can add it as a sensitivity; </w:t>
      </w:r>
      <w:r>
        <w:rPr>
          <w:rFonts w:ascii="Aptos" w:hAnsi="Aptos"/>
        </w:rPr>
        <w:t xml:space="preserve">we offer it as an addition in a further revision </w:t>
      </w:r>
      <w:r>
        <w:rPr>
          <w:rFonts w:ascii="Aptos" w:hAnsi="Aptos"/>
        </w:rPr>
        <w:t xml:space="preserve">at the </w:t>
      </w:r>
      <w:r>
        <w:rPr>
          <w:rFonts w:ascii="Aptos" w:hAnsi="Aptos"/>
        </w:rPr>
        <w:t xml:space="preserve">editor’s discretion</w:t>
      </w:r>
      <w:r>
        <w:rPr>
          <w:rFonts w:ascii="Aptos" w:hAnsi="Aptos"/>
        </w:rPr>
        <w:t>letter.</w:t>
      </w:r>
    </w:p>
    <w:p w14:paraId="4FFAAE10" w14:textId="77777777" w:rsidR="00EE4E82" w:rsidRPr="0097218A" w:rsidRDefault="00000000">
      <w:pPr>
        <w:pStyle w:val="Heading3"/>
        <w:rPr>
          <w:rFonts w:ascii="Aptos" w:hAnsi="Aptos"/>
          <w:b w:val="0"/>
          <w:bCs w:val="0"/>
        </w:rPr>
      </w:pPr>
      <w:bookmarkStart w:id="6" w:name="Xe5f8d6b1387e7f0dafd9908c9d2984657bb1579"/>
      <w:bookmarkEnd w:id="4"/>
      <w:r>
        <w:rPr>
          <w:rFonts w:ascii="Aptos" w:hAnsi="Aptos"/>
          <w:b w:val="0"/>
          <w:bCs w:val="0"/>
        </w:rPr>
        <w:t>(iii) Crop response to fertilizer: y_max, control yield, and the curvature c — with a validation</w:t>
      </w:r>
    </w:p>
    <w:p w14:paraId="5EF4726E" w14:textId="77777777" w:rsidR="00EE4E82" w:rsidRPr="0097218A" w:rsidRDefault="00000000">
      <w:pPr>
        <w:pStyle w:val="BlockText"/>
        <w:rPr>
          <w:rFonts w:ascii="Aptos" w:hAnsi="Aptos"/>
          <w:i/>
          <w:iCs/>
        </w:rPr>
      </w:pPr>
      <w:r>
        <w:rPr>
          <w:rFonts w:ascii="Aptos" w:hAnsi="Aptos"/>
          <w:i/>
          <w:iCs/>
        </w:rPr>
        <w:t>How crop response to fertiliser is handled is very poorly described… the approach to determine y_max is not described at all… how the control level is determined is not indicated (related to c)… I believe c should be calibrated so that the control yield matches what is possible with the mineralised N… a quality check on existing observations [e.g. OFRA] should be undertaken.</w:t>
      </w:r>
    </w:p>
    <w:p w14:paraId="62D6BEE6" w14:textId="1E8C8022" w:rsidR="00EE4E82" w:rsidRPr="0097218A" w:rsidRDefault="00000000">
      <w:pPr>
        <w:pStyle w:val="FirstParagraph"/>
        <w:rPr>
          <w:rFonts w:ascii="Aptos" w:hAnsi="Aptos"/>
        </w:rPr>
      </w:pPr>
      <w:r>
        <w:rPr>
          <w:rFonts w:ascii="Aptos" w:hAnsi="Aptos"/>
        </w:rPr>
        <w:t xml:space="preserve">Response: thank you for pointing out this gap.  </w:t>
      </w:r>
      <w:r>
        <w:rPr>
          <w:rFonts w:ascii="Aptos" w:hAnsi="Aptos"/>
        </w:rPr>
        <w:t xml:space="preserve">The calibration is now fully specified and </w:t>
      </w:r>
      <w:r>
        <w:rPr>
          <w:rFonts w:ascii="Aptos" w:hAnsi="Aptos"/>
        </w:rPr>
        <w:t xml:space="preserve">evaluated against independent temperate and tropical benchmarks.</w:t>
      </w:r>
      <w:r>
        <w:rPr>
          <w:rFonts w:ascii="Aptos" w:hAnsi="Aptos"/>
        </w:rPr>
        <w:t xml:space="preserve"> The reviewer correctly identified that the submitted text under-documented the yield-response calibration. The actual procedure, now stated in the Methods and detailed in the revised Supplementary Methods, is:</w:t>
      </w:r>
    </w:p>
    <w:p w14:paraId="63666EB2" w14:textId="77777777" w:rsidR="00EE4E82" w:rsidRPr="0097218A" w:rsidRDefault="00000000">
      <w:pPr>
        <w:pStyle w:val="Compact"/>
        <w:numPr>
          <w:ilvl w:val="0"/>
          <w:numId w:val="4"/>
        </w:numPr>
        <w:rPr>
          <w:rFonts w:ascii="Aptos" w:hAnsi="Aptos"/>
        </w:rPr>
      </w:pPr>
      <w:r>
        <w:rPr>
          <w:rFonts w:ascii="Aptos" w:hAnsi="Aptos"/>
        </w:rPr>
        <w:t xml:space="preserve">y_max (ceiling). For each region, y_max is calibrated so that the Mitscherlich response, evaluated at current total N availability (SOM mineralization from regional SOC + baseline BNF + regional synthetic N), reproduces the observed production-weighted </w:t>
      </w:r>
      <w:r>
        <w:rPr>
          <w:rFonts w:ascii="Aptos" w:hAnsi="Aptos"/>
        </w:rPr>
        <w:t xml:space="preserve">FAOSTAT </w:t>
      </w:r>
      <w:r>
        <w:rPr>
          <w:rFonts w:ascii="Aptos" w:hAnsi="Aptos"/>
        </w:rPr>
        <w:t xml:space="preserve">2019–2021 mean (a vintage matching the IFA fertilizer-rate and FAOSTAT cropland series used elsewhere in the model, and pre-dating the 2021–2022 price spike the scenarios simulate) </w:t>
      </w:r>
      <w:r>
        <w:rPr>
          <w:rFonts w:ascii="Aptos" w:hAnsi="Aptos"/>
        </w:rPr>
        <w:t>cereal yield: y_max is obtained by numerically solving (Brent's method) for the ceiling at which the model's year-2 simulated yield equals the FAOSTAT target, not by closed-form inversion. The regional targets and resulting y_max values are now tabled.</w:t>
      </w:r>
    </w:p>
    <w:p>
      <w:pPr>
        <w:rPr/>
      </w:pPr>
      <w:r>
        <w:t xml:space="preserve">The relevant revised manuscript text now reads: “Crop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 [Methods, crop nitrogen response and calibration]</w:t>
      </w:r>
    </w:p>
    <w:p w14:paraId="6BB18724" w14:textId="0B08E9C8" w:rsidR="00EE4E82" w:rsidRPr="0097218A" w:rsidRDefault="00000000">
      <w:pPr>
        <w:pStyle w:val="Compact"/>
        <w:numPr>
          <w:ilvl w:val="0"/>
          <w:numId w:val="4"/>
        </w:numPr>
        <w:rPr>
          <w:rFonts w:ascii="Aptos" w:hAnsi="Aptos"/>
        </w:rPr>
      </w:pPr>
    </w:p>
    <w:p w14:paraId="149A602C" w14:textId="77777777" w:rsidR="00EE4E82" w:rsidRPr="0097218A" w:rsidRDefault="00000000">
      <w:pPr>
        <w:pStyle w:val="Compact"/>
        <w:numPr>
          <w:ilvl w:val="0"/>
          <w:numId w:val="4"/>
        </w:numPr>
        <w:rPr>
          <w:rFonts w:ascii="Aptos" w:hAnsi="Aptos"/>
        </w:rPr>
      </w:pPr>
    </w:p>
    <w:p w14:paraId="016847A3" w14:textId="224C1863" w:rsidR="00EE4E82" w:rsidRPr="0097218A" w:rsidRDefault="00000000">
      <w:pPr>
        <w:pStyle w:val="Compact"/>
        <w:numPr>
          <w:ilvl w:val="0"/>
          <w:numId w:val="4"/>
        </w:numPr>
        <w:rPr>
          <w:rFonts w:ascii="Aptos" w:hAnsi="Aptos"/>
        </w:rPr>
      </w:pPr>
      <w:r>
        <w:rPr>
          <w:rFonts w:ascii="Aptos" w:hAnsi="Aptos"/>
        </w:rPr>
        <w:t xml:space="preserve">Evaluation against independent benchmarks. </w:t>
      </w:r>
      <w:r>
        <w:rPr>
          <w:rFonts w:ascii="Aptos" w:hAnsi="Aptos"/>
        </w:rPr>
        <w:t xml:space="preserve">We validate</w:t>
      </w:r>
      <w:r>
        <w:rPr>
          <w:rFonts w:ascii="Aptos" w:hAnsi="Aptos"/>
        </w:rPr>
        <w:t xml:space="preserve"> the fertilizer-era response against the Broadbalk graduated-treatment series (Nil, N3PK, FYM), which anchors the SOM-mineralization-to-yield relationship for a temperate system (Supplementary Note 1). At the reviewer’s suggestion we have now added a tropical validation using the OFRA (Optimizing Fertilizer Recommendations in Africa) response-function database (6,184 georeferenced functions; Wortmann et al. 2017), extracting the 364 maize–nitrogen response functions for Sub-Saharan Africa. The modeled SSA response falls within the observed OFRA envelope, below the median but within the interquartile range: OFRA maize control (0 added N) median 3.55 t/ha (IQR 2.37–5.00) and ceiling median 4.48 t/ha (IQR 3.10–6.91), </w:t>
      </w:r>
      <w:r>
        <w:rPr>
          <w:rFonts w:ascii="Aptos" w:hAnsi="Aptos"/>
        </w:rPr>
        <w:t xml:space="preserve">versus the model’s SSA ceiling y_max = </w:t>
      </w:r>
      <w:r>
        <w:rPr>
          <w:rFonts w:ascii="Aptos" w:hAnsi="Aptos"/>
        </w:rPr>
        <w:t xml:space="preserve">3.97 </w:t>
      </w:r>
      <w:r>
        <w:rPr>
          <w:rFonts w:ascii="Aptos" w:hAnsi="Aptos"/>
        </w:rPr>
        <w:t xml:space="preserve">t/ha and degraded-soil control ≈ 1.3 t/ha.</w:t>
      </w:r>
      <w:r>
        <w:rPr>
          <w:rFonts w:ascii="Aptos" w:hAnsi="Aptos"/>
        </w:rPr>
        <w:t xml:space="preserve"> The modeled degraded regional-mean soil sits below the OFRA on-station control distribution, as expected, while the ceiling lies below the observed median but within the interquartile range. This directly addresses the reviewer’s SSA-validation concern; the new figure and full extraction are in the revised SI.</w:t>
      </w:r>
    </w:p>
    <w:p w14:paraId="1890EEEA" w14:textId="77777777" w:rsidR="00EE4E82" w:rsidRPr="0097218A" w:rsidRDefault="00000000">
      <w:pPr>
        <w:pStyle w:val="Heading3"/>
        <w:rPr>
          <w:rFonts w:ascii="Aptos" w:hAnsi="Aptos"/>
          <w:b w:val="0"/>
          <w:bCs w:val="0"/>
        </w:rPr>
      </w:pPr>
      <w:bookmarkStart w:id="8" w:name="X1a90fdf47a862920a4df5d4c92c8e224fbd7739"/>
      <w:bookmarkEnd w:id="6"/>
      <w:r>
        <w:rPr>
          <w:rFonts w:ascii="Aptos" w:hAnsi="Aptos"/>
          <w:b w:val="0"/>
          <w:bCs w:val="0"/>
        </w:rPr>
        <w:t>(iv) Water stress, climate, and soil-water data</w:t>
      </w:r>
    </w:p>
    <w:p w14:paraId="0B2A516B" w14:textId="77777777" w:rsidR="00EE4E82" w:rsidRPr="0097218A" w:rsidRDefault="00000000">
      <w:pPr>
        <w:pStyle w:val="BlockText"/>
        <w:rPr>
          <w:rFonts w:ascii="Aptos" w:hAnsi="Aptos"/>
          <w:i/>
          <w:iCs/>
        </w:rPr>
      </w:pPr>
      <w:r>
        <w:rPr>
          <w:rFonts w:ascii="Aptos" w:hAnsi="Aptos"/>
          <w:i/>
          <w:iCs/>
        </w:rPr>
        <w:t>How water stress impacts SOM mineralisation and crop response is insufficiently described. Source of climate data? Which years/time series? Aggregation? Is soil water-holding capacity taken into account, and its source? Which crop calendar?</w:t>
      </w:r>
    </w:p>
    <w:p w14:paraId="71821CA5" w14:textId="2F353660" w:rsidR="00EE4E82" w:rsidRPr="0097218A" w:rsidRDefault="00000000">
      <w:pPr>
        <w:pStyle w:val="FirstParagraph"/>
        <w:rPr>
          <w:rFonts w:ascii="Aptos" w:hAnsi="Aptos"/>
        </w:rPr>
      </w:pPr>
      <w:r>
        <w:rPr>
          <w:rFonts w:ascii="Aptos" w:hAnsi="Aptos"/>
        </w:rPr>
        <w:t xml:space="preserve">Response: </w:t>
      </w:r>
      <w:r>
        <w:rPr>
          <w:rFonts w:ascii="Aptos" w:hAnsi="Aptos"/>
        </w:rPr>
        <w:t>sources are now named, and the water-stress mechanism is documented. We have added the data provenance the reviewer asks for:</w:t>
      </w:r>
    </w:p>
    <w:p>
      <w:pPr>
        <w:rPr/>
      </w:pPr>
      <w:r>
        <w:t xml:space="preserve">The relevant revised manuscript text now reads: “The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[41] (for example, winter wheat in Europe and rabi wheat in South Asia); the regional planting and maturity months are listed in the Supplementary Methods. Soil water-holding capacity enters through a SOC-mediated coupling with sensitivity 3.5 mm per percentage point of SOC, the meta-analytic central slope (Minasny and McBratney [40]); the 8.4 mm upper end of their reported range is used as a sensitivity bound; the water-stress factor scales potential yield by one minus the product of a regional baseline water deficit and the SOC-mediated adjustment, floored at 30% of baseline to represent non-zero minimum biomass under severe stress.” [Methods, climate, water stress, and crop calendar]</w:t>
      </w:r>
    </w:p>
    <w:p>
      <w:pPr>
        <w:rPr/>
      </w:pPr>
      <w:r>
        <w:t xml:space="preserve">On the crop calendar specifically: the regional planting and maturity months are fixed assumptions representing each region’s dominant cereal season; they are now listed in the Supplementary Methods, and the global crop-calendar compilation of Sacks et al. (2010) is cited in the Methods as their basis of comparison.</w:t>
      </w:r>
    </w:p>
    <w:p w14:paraId="2791D2ED" w14:textId="3FC1F1E9" w:rsidR="00EE4E82" w:rsidRPr="0097218A" w:rsidRDefault="00000000">
      <w:pPr>
        <w:pStyle w:val="Compact"/>
        <w:numPr>
          <w:ilvl w:val="0"/>
          <w:numId w:val="5"/>
        </w:numPr>
        <w:rPr>
          <w:rFonts w:ascii="Aptos" w:hAnsi="Aptos"/>
        </w:rPr>
      </w:pPr>
    </w:p>
    <w:p w14:paraId="20559C40" w14:textId="10A5E466" w:rsidR="00EE4E82" w:rsidRPr="0097218A" w:rsidRDefault="00000000">
      <w:pPr>
        <w:pStyle w:val="Compact"/>
        <w:numPr>
          <w:ilvl w:val="0"/>
          <w:numId w:val="5"/>
        </w:numPr>
        <w:rPr>
          <w:rFonts w:ascii="Aptos" w:hAnsi="Aptos"/>
        </w:rPr>
      </w:pPr>
    </w:p>
    <w:p w14:paraId="0F58080A" w14:textId="5A0AADE8" w:rsidR="00EE4E82" w:rsidRPr="0097218A" w:rsidRDefault="00000000">
      <w:pPr>
        <w:pStyle w:val="Compact"/>
        <w:numPr>
          <w:ilvl w:val="0"/>
          <w:numId w:val="5"/>
        </w:numPr>
        <w:rPr>
          <w:rFonts w:ascii="Aptos" w:hAnsi="Aptos"/>
        </w:rPr>
      </w:pPr>
    </w:p>
    <w:p w14:paraId="3F39115E" w14:textId="77777777" w:rsidR="00EE4E82" w:rsidRPr="0097218A" w:rsidRDefault="00000000">
      <w:pPr>
        <w:pStyle w:val="FirstParagraph"/>
        <w:rPr>
          <w:rFonts w:ascii="Aptos" w:hAnsi="Aptos"/>
        </w:rPr>
      </w:pPr>
      <w:r>
        <w:rPr>
          <w:rFonts w:ascii="Aptos" w:hAnsi="Aptos"/>
        </w:rPr>
        <w:t xml:space="preserve">To address this point directly, we replaced the representative climate profiles used in the submitted version with the ERA5-derived monthly normals described above and re-ran the coupled model. </w:t>
      </w:r>
      <w:r>
        <w:rPr>
          <w:rFonts w:ascii="Aptos" w:hAnsi="Aptos"/>
        </w:rPr>
        <w:t xml:space="preserve">The results are essentially unchanged: year-10 regional yield losses shift by at most </w:t>
      </w:r>
      <w:r>
        <w:rPr>
          <w:rFonts w:ascii="Aptos" w:hAnsi="Aptos"/>
        </w:rPr>
        <w:t xml:space="preserve">0.62 </w:t>
      </w:r>
      <w:r>
        <w:rPr>
          <w:rFonts w:ascii="Aptos" w:hAnsi="Aptos"/>
        </w:rPr>
        <w:t xml:space="preserve">percentage points and the ranking of regional vulnerability is preserved (Spearman ρ = 0.98).</w:t>
      </w:r>
      <w:r>
        <w:rPr>
          <w:rFonts w:ascii="Aptos" w:hAnsi="Aptos"/>
        </w:rPr>
        <w:t xml:space="preserve"> The ERA5-derived inputs are used directly in the Methods. Because this is an input-sensitivity comparison rather than a validation against observed outcomes, we do not present it as a manuscript figure; the full old-versus-new comparison is retained in the reproducibility archive as provenance. The climate inputs are thus both data-based and demonstrably not driving the conclusions.</w:t>
      </w:r>
    </w:p>
    <w:p w14:paraId="0B5C23A9" w14:textId="77777777" w:rsidR="00EE4E82" w:rsidRPr="0097218A" w:rsidRDefault="00000000">
      <w:pPr>
        <w:pStyle w:val="BodyText"/>
        <w:rPr>
          <w:rFonts w:ascii="Aptos" w:hAnsi="Aptos"/>
        </w:rPr>
      </w:pPr>
      <w:r>
        <w:rPr>
          <w:rFonts w:ascii="Aptos" w:hAnsi="Aptos"/>
        </w:rPr>
        <w:t>Figure S1 (the model schematic) has been redrawn: the reviewer flagged the water-stress arrows as unclear, so the diagram now shows a single explicit water-stress path (SOC → water-holding capacity → water-stress multiplier → yield) and the decorative connectors have been removed. The 4-pool model is labeled “microbially-explicit 4-pool SOM scheme” throughout.</w:t>
      </w:r>
    </w:p>
    <w:p w14:paraId="68D0BC12" w14:textId="77777777" w:rsidR="00EE4E82" w:rsidRPr="0097218A" w:rsidRDefault="00000000">
      <w:pPr>
        <w:pStyle w:val="Heading3"/>
        <w:rPr>
          <w:rFonts w:ascii="Aptos" w:hAnsi="Aptos"/>
          <w:b w:val="0"/>
          <w:bCs w:val="0"/>
        </w:rPr>
      </w:pPr>
      <w:bookmarkStart w:id="10" w:name="X894e84717c4608541a9d17a286ad5701a3632e5"/>
      <w:bookmarkEnd w:id="8"/>
      <w:r>
        <w:rPr>
          <w:rFonts w:ascii="Aptos" w:hAnsi="Aptos"/>
          <w:b w:val="0"/>
          <w:bCs w:val="0"/>
        </w:rPr>
        <w:t>(v) The SI is ~40 pages; the Methods is 3–4 pages</w:t>
      </w:r>
    </w:p>
    <w:p w14:paraId="2ACBE8CA" w14:textId="77777777" w:rsidR="00EE4E82" w:rsidRPr="0097218A" w:rsidRDefault="00000000">
      <w:pPr>
        <w:pStyle w:val="BlockText"/>
        <w:rPr>
          <w:rFonts w:ascii="Aptos" w:hAnsi="Aptos"/>
          <w:i/>
          <w:iCs/>
        </w:rPr>
      </w:pPr>
      <w:r>
        <w:rPr>
          <w:rFonts w:ascii="Aptos" w:hAnsi="Aptos"/>
          <w:i/>
          <w:iCs/>
        </w:rPr>
        <w:t>The fundamentals of the modelling approach — spatial scales, crop-specific aggregation, and crop response — should be in the main manuscript. Elements of sensitivity analysis could remain in the supplementary.</w:t>
      </w:r>
    </w:p>
    <w:p w14:paraId="6BAE5696" w14:textId="1809DC4D" w:rsidR="00EE4E82" w:rsidRPr="0097218A" w:rsidRDefault="00000000">
      <w:pPr>
        <w:pStyle w:val="FirstParagraph"/>
        <w:rPr>
          <w:rFonts w:ascii="Aptos" w:hAnsi="Aptos"/>
        </w:rPr>
      </w:pPr>
      <w:r>
        <w:rPr>
          <w:rFonts w:ascii="Aptos" w:hAnsi="Aptos"/>
        </w:rPr>
        <w:t xml:space="preserve">Response: agreed and implemented. The revised Methods now carries: the scales/aggregation opening (i); the crop representation and response calibration (ii, iii); the data sources (iv); a compact statement of the governing equations (monthly N balance, Mitscherlich response with stoichiometric cap and water-stress factor, residue-return and SOM update, and the partial-equilibrium fertilizer-demand/food-price/land-allocation equations); and the scenario definitions. The SI is now explicitly organized as sensitivity and validation material supporting the main text, with an “Organization of this document” guide at the front. The full derivations remain in the SI, referenced from the main text, but the reader can now judge the framework from the paper alone.</w:t>
      </w:r>
    </w:p>
    <w:p w14:paraId="1A3CA418" w14:textId="77777777" w:rsidR="00EE4E82" w:rsidRPr="0097218A" w:rsidRDefault="00000000">
      <w:pPr>
        <w:pStyle w:val="Heading3"/>
        <w:rPr>
          <w:rFonts w:ascii="Aptos" w:hAnsi="Aptos"/>
          <w:b w:val="0"/>
          <w:bCs w:val="0"/>
        </w:rPr>
      </w:pPr>
      <w:bookmarkStart w:id="11" w:name="X6c700f0039f915ad69ef06fd47b545a253e27e4"/>
      <w:bookmarkEnd w:id="10"/>
      <w:r>
        <w:rPr>
          <w:rFonts w:ascii="Aptos" w:hAnsi="Aptos"/>
          <w:b w:val="0"/>
          <w:bCs w:val="0"/>
        </w:rPr>
        <w:lastRenderedPageBreak/>
        <w:t>(vi) Why add complexity only to the SOM module? Discuss uncertainty exhaustively</w:t>
      </w:r>
    </w:p>
    <w:p w14:paraId="236FD9E7" w14:textId="77777777" w:rsidR="00EE4E82" w:rsidRPr="0097218A" w:rsidRDefault="00000000">
      <w:pPr>
        <w:pStyle w:val="BlockText"/>
        <w:rPr>
          <w:rFonts w:ascii="Aptos" w:hAnsi="Aptos"/>
          <w:i/>
          <w:iCs/>
        </w:rPr>
      </w:pPr>
      <w:r>
        <w:rPr>
          <w:rFonts w:ascii="Aptos" w:hAnsi="Aptos"/>
          <w:i/>
          <w:iCs/>
        </w:rPr>
        <w:t>Crop response seems to be based on very crude assumptions, so possibly alternative modelling methods could also be explored… why complexify only the SOC module? … Possibly drop this additional complexity and discuss sources of uncertainty in an exhaustive way.</w:t>
      </w:r>
    </w:p>
    <w:p w14:paraId="15073AB4" w14:textId="449B95ED" w:rsidR="00EE4E82" w:rsidRPr="0097218A" w:rsidRDefault="00000000">
      <w:pPr>
        <w:pStyle w:val="FirstParagraph"/>
        <w:rPr>
          <w:rFonts w:ascii="Aptos" w:hAnsi="Aptos"/>
        </w:rPr>
      </w:pPr>
      <w:r>
        <w:rPr>
          <w:rFonts w:ascii="Aptos" w:hAnsi="Aptos"/>
        </w:rPr>
        <w:t>Response:</w:t>
      </w:r>
    </w:p>
    <w:p w14:paraId="344EEF4D" w14:textId="77777777" w:rsidR="00116981" w:rsidRPr="0097218A" w:rsidRDefault="00116981" w:rsidP="00116981">
      <w:pPr>
        <w:pStyle w:val="NormalWeb"/>
        <w:numPr>
          <w:ilvl w:val="0"/>
          <w:numId w:val="6"/>
        </w:numPr>
        <w:rPr>
          <w:rFonts w:ascii="Aptos" w:hAnsi="Aptos"/>
        </w:rPr>
      </w:pPr>
      <w:r>
        <w:rPr>
          <w:rFonts w:ascii="Aptos" w:hAnsi="Aptos"/>
        </w:rPr>
        <w:t>The crop-response formulation is intentionally matched to the scope of the paper. Our research questions focus on how soil nitrogen supply and SOM feedbacks buffer fertilizer disruptions, rather than on crop-specific differences in physiology, phenology, or genotype. We therefore used a parsimonious regional yield-response formulation and added model complexity where it was necessary to resolve the focal soil feedbacks. In the revision, we more fully documented and empirically validated that formulation using regional FAOSTAT yields, depleted-soil floors from long-term experiments, and temperate and tropical benchmarks. Greater crop resolution could be added, just as the model could incorporate greater complexity in climate, soil properties, and management. However, these extensions would substantially expand the model without directly addressing the questions posed here. A crop-resolved analysis is an important but separate research undertaking.</w:t>
      </w:r>
    </w:p>
    <w:p w14:paraId="3DE6F490" w14:textId="77777777" w:rsidR="00833C44" w:rsidRPr="0097218A" w:rsidRDefault="00833C44" w:rsidP="00833C44">
      <w:pPr>
        <w:pStyle w:val="NormalWeb"/>
        <w:numPr>
          <w:ilvl w:val="0"/>
          <w:numId w:val="6"/>
        </w:numPr>
        <w:rPr>
          <w:rFonts w:ascii="Aptos" w:hAnsi="Aptos"/>
        </w:rPr>
      </w:pPr>
      <w:r>
        <w:rPr>
          <w:rFonts w:ascii="Aptos" w:hAnsi="Aptos"/>
        </w:rPr>
        <w:t xml:space="preserve">We agree that the uncertainty analysis was not sufficiently visible in the submitted manuscript. The SI includes complementary tests of joint parameter uncertainty, model structure, individual parameter choices, and spatial-screen assumptions. These comprise a 1,000-draw joint-prior Monte Carlo ensemble across eight first-order biophysical and economic parameters (Supplementary Note 6; Fig. S9), </w:t>
      </w:r>
      <w:r>
        <w:rPr>
          <w:rFonts w:ascii="Aptos" w:hAnsi="Aptos"/>
        </w:rPr>
        <w:t xml:space="preserve">a microbially explicit four-pool structural sensitivity </w:t>
      </w:r>
      <w:r>
        <w:rPr>
          <w:rFonts w:ascii="Aptos" w:hAnsi="Aptos"/>
        </w:rPr>
        <w:t xml:space="preserve">(now regenerable from the deposit; </w:t>
      </w:r>
      <w:r>
        <w:rPr>
          <w:rFonts w:ascii="Aptos" w:hAnsi="Aptos"/>
        </w:rPr>
        <w:t xml:space="preserve">see below)</w:t>
      </w:r>
      <w:r>
        <w:rPr>
          <w:rFonts w:ascii="Aptos" w:hAnsi="Aptos"/>
        </w:rPr>
        <w:t xml:space="preserve">,</w:t>
      </w:r>
      <w:r>
        <w:rPr>
          <w:rFonts w:ascii="Aptos" w:hAnsi="Aptos"/>
        </w:rPr>
        <w:t xml:space="preserve"> one-at-a-time sensitivity to fertilizer-demand elasticity (Figs. S7–S8), mineralizable-N parameter sensitivity (Fig. S3), and a five-treatment robustness analysis of the spatial screen (Supplementary Note 7). We now reference these analyses prominently in the main-text Discussion. Together, they show that the paper’s principal qualitative conclusions persist across the parameter ranges and alternative formulations tested, while not implying that all sources of model uncertainty have been resolved.</w:t>
      </w:r>
    </w:p>
    <w:p>
      <w:pPr>
        <w:rPr/>
      </w:pPr>
      <w:r>
        <w:t xml:space="preserve">The revised uncertainty paragraph in the Discussion now reads: “Parameter uncertainty shifts the magnitude of these effects but not their direction. Price elasticities carry substantial uncertainty, particularly for Sub-Saharan Africa (εF,PF: −0.15 to −0.70 across country-level estimates); halving all elasticities preserves the qualitative regional pattern while compressing global year-10 yield loss by approximately 50% (Supplementary Fig. S8).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and widens the uncertainty range: in an exploratory structural sensitivity, year-30 SOC losses under the microbially-explicit scheme are 0.9–2.2 times the Century estimates (median 1.65×, and 1.56–1.77 across a plausible soil-texture range; Supplementary Fig. S5, Supplementary table 2), suggesting that alternative representations of SOM stabilization can produce larger estimates of long-run buffer erosion under prolonged shortfalls and shorter estimated windows over which the buffer remains intact.” [Discussion]</w:t>
      </w:r>
    </w:p>
    <w:p>
      <w:pPr>
        <w:rPr/>
      </w:pPr>
      <w:r>
        <w:t xml:space="preserve">On the microbially explicit four-pool comparison: in preparing this revision we found that the engine behind the submitted comparison was not part of the deposited reproducibility code, so those numbers could not be regenerated. We have re-implemented the scheme on the deposited model — it now runs the same ERA5 forcing, market clearing, water-stress response and calibration path as the central engine, and regenerates through the deposited build — and updated the comparison: year-30 SOC losses are 0.9–2.2 times the Century estimates across regions (median 1.65×), with Sub-Saharan Africa the only region below parity; the CUE-downregulation contribution to the engine difference is reported in Supplementary table 2. The four-pool scheme produced greater year-30 SOC loss in seven of eight regions and smaller relative loss in Sub-Saharan Africa; we present the comparison as exploratory structural sensitivity, with the corrected pathway description, the baseline-state differences between the engines, every four-pool parameter, and a soil-texture sensitivity now documented in Supplementary Note 2 and the Supplementary Methods.</w:t>
      </w:r>
    </w:p>
    <w:p w14:paraId="2701473B" w14:textId="77777777" w:rsidR="00EE4E82" w:rsidRPr="0097218A" w:rsidRDefault="00000000">
      <w:pPr>
        <w:pStyle w:val="Heading3"/>
        <w:rPr>
          <w:rFonts w:ascii="Aptos" w:hAnsi="Aptos"/>
          <w:b w:val="0"/>
          <w:bCs w:val="0"/>
        </w:rPr>
      </w:pPr>
      <w:r>
        <w:rPr>
          <w:rFonts w:ascii="Aptos" w:hAnsi="Aptos"/>
          <w:b w:val="0"/>
          <w:bCs w:val="0"/>
        </w:rPr>
        <w:t>Referee 2 — itemized minor comments</w:t>
      </w:r>
    </w:p>
    <w:p w14:paraId="77166006" w14:textId="77777777" w:rsidR="00EE4E82" w:rsidRPr="0097218A" w:rsidRDefault="00000000">
      <w:pPr>
        <w:pStyle w:val="Compact"/>
        <w:numPr>
          <w:ilvl w:val="0"/>
          <w:numId w:val="7"/>
        </w:numPr>
        <w:rPr>
          <w:rFonts w:ascii="Aptos" w:hAnsi="Aptos"/>
        </w:rPr>
      </w:pPr>
      <w:r>
        <w:rPr>
          <w:rFonts w:ascii="Aptos" w:hAnsi="Aptos"/>
        </w:rPr>
        <w:t>End of p.20 / start of p.21 (sensitivity results in the wrong place): moved into the Results.</w:t>
      </w:r>
    </w:p>
    <w:p w14:paraId="306EABDC" w14:textId="77777777" w:rsidR="00EE4E82" w:rsidRPr="0097218A" w:rsidRDefault="00000000">
      <w:pPr>
        <w:pStyle w:val="Compact"/>
        <w:numPr>
          <w:ilvl w:val="0"/>
          <w:numId w:val="7"/>
        </w:numPr>
        <w:rPr>
          <w:rFonts w:ascii="Aptos" w:hAnsi="Aptos"/>
        </w:rPr>
      </w:pPr>
      <w:r>
        <w:rPr>
          <w:rFonts w:ascii="Aptos" w:hAnsi="Aptos"/>
        </w:rPr>
        <w:t>Start of p.22 (African soil calibration belongs in Methods): moved to the new crop-response/parameterization Methods subsection.</w:t>
      </w:r>
    </w:p>
    <w:p w14:paraId="20C3DD22" w14:textId="77777777" w:rsidR="00EE4E82" w:rsidRPr="0097218A" w:rsidRDefault="00000000">
      <w:pPr>
        <w:pStyle w:val="Compact"/>
        <w:numPr>
          <w:ilvl w:val="0"/>
          <w:numId w:val="7"/>
        </w:numPr>
        <w:rPr>
          <w:rFonts w:ascii="Aptos" w:hAnsi="Aptos"/>
        </w:rPr>
      </w:pPr>
      <w:r>
        <w:rPr>
          <w:rFonts w:ascii="Aptos" w:hAnsi="Aptos"/>
        </w:rPr>
        <w:t>p.18 “base-yield position” unclear: reworded to “a region’s operating point on the Mitscherlich response curve (how N-limited current yields are at the regional mean SOC).”</w:t>
      </w:r>
    </w:p>
    <w:p w14:paraId="15071C66" w14:textId="77777777" w:rsidR="00EE4E82" w:rsidRPr="0097218A" w:rsidRDefault="00000000">
      <w:pPr>
        <w:pStyle w:val="Compact"/>
        <w:numPr>
          <w:ilvl w:val="0"/>
          <w:numId w:val="7"/>
        </w:numPr>
        <w:rPr>
          <w:rFonts w:ascii="Aptos" w:hAnsi="Aptos"/>
        </w:rPr>
      </w:pPr>
      <w:r>
        <w:rPr>
          <w:rFonts w:ascii="Aptos" w:hAnsi="Aptos"/>
        </w:rPr>
        <w:t>p.16 L29–38 belongs in Methods: relocated.</w:t>
      </w:r>
    </w:p>
    <w:p w14:paraId="4CD92DA0" w14:textId="77777777" w:rsidR="00EE4E82" w:rsidRPr="0097218A" w:rsidRDefault="00000000">
      <w:pPr>
        <w:pStyle w:val="Compact"/>
        <w:numPr>
          <w:ilvl w:val="0"/>
          <w:numId w:val="7"/>
        </w:numPr>
        <w:rPr>
          <w:rFonts w:ascii="Aptos" w:hAnsi="Aptos"/>
        </w:rPr>
      </w:pPr>
      <w:r>
        <w:rPr>
          <w:rFonts w:ascii="Aptos" w:hAnsi="Aptos"/>
        </w:rPr>
        <w:t>“less than half of N from that season’s fertilizer [9–11]” — unclear how derived; may not hold for SSA: we now state the basis (recovery-fraction meta-analyses) and add that the mineralization share is highest in low-input systems and lowest in intensively fertilized systems, explicitly noting the SSA/high-input contrast so the sentence is not read as a universal constant.</w:t>
      </w:r>
    </w:p>
    <w:p w14:paraId="42B83249" w14:textId="77777777" w:rsidR="00EE4E82" w:rsidRPr="0097218A" w:rsidRDefault="00000000">
      <w:pPr>
        <w:pStyle w:val="Compact"/>
        <w:numPr>
          <w:ilvl w:val="0"/>
          <w:numId w:val="7"/>
        </w:numPr>
        <w:rPr>
          <w:rFonts w:ascii="Aptos" w:hAnsi="Aptos"/>
        </w:rPr>
      </w:pPr>
      <w:r>
        <w:rPr>
          <w:rFonts w:ascii="Aptos" w:hAnsi="Aptos"/>
        </w:rPr>
        <w:t>“C and N turn over at stable C:N… SOC as observable proxy” unclear in Introduction: rephrased in the Introduction to separate modeled vs. observed (per R1 as well), deferring the mechanism to Methods.</w:t>
      </w:r>
    </w:p>
    <w:p w14:paraId="2F6DE839" w14:textId="77777777" w:rsidR="00EE4E82" w:rsidRPr="0097218A" w:rsidRDefault="00000000">
      <w:pPr>
        <w:pStyle w:val="Compact"/>
        <w:numPr>
          <w:ilvl w:val="0"/>
          <w:numId w:val="7"/>
        </w:numPr>
        <w:rPr>
          <w:rFonts w:ascii="Aptos" w:hAnsi="Aptos"/>
        </w:rPr>
      </w:pPr>
      <w:r>
        <w:rPr>
          <w:rFonts w:ascii="Aptos" w:hAnsi="Aptos"/>
        </w:rPr>
        <w:t>“three scales of resilience” mixes two spatial with one temporal: rephrased to “farm-level and regional-level resilience, with a temporal dimension capturing persistence of the soil buffer under prolonged disruption.”</w:t>
      </w:r>
    </w:p>
    <w:p w14:paraId="2672940C" w14:textId="77777777" w:rsidR="00EE4E82" w:rsidRPr="0097218A" w:rsidRDefault="00000000">
      <w:pPr>
        <w:pStyle w:val="Compact"/>
        <w:numPr>
          <w:ilvl w:val="0"/>
          <w:numId w:val="7"/>
        </w:numPr>
        <w:rPr>
          <w:rFonts w:ascii="Aptos" w:hAnsi="Aptos"/>
        </w:rPr>
      </w:pPr>
      <w:r>
        <w:rPr>
          <w:rFonts w:ascii="Aptos" w:hAnsi="Aptos"/>
        </w:rPr>
        <w:t>“monthly timesteps” — unclear: rephrased to “The biophysical model uses a hybrid architecture: SOM pools update annually, while a 12-month nitrogen balance resolves mineralization, uptake, and losses within each year.”</w:t>
      </w:r>
    </w:p>
    <w:p w14:paraId="14A652D3" w14:textId="7BD0F7C1" w:rsidR="00EE4E82" w:rsidRPr="0097218A" w:rsidRDefault="00000000">
      <w:pPr>
        <w:pStyle w:val="Compact"/>
        <w:numPr>
          <w:ilvl w:val="0"/>
          <w:numId w:val="7"/>
        </w:numPr>
        <w:rPr>
          <w:rFonts w:ascii="Aptos" w:hAnsi="Aptos"/>
        </w:rPr>
      </w:pPr>
      <w:r>
        <w:rPr>
          <w:rFonts w:ascii="Aptos" w:hAnsi="Aptos"/>
        </w:rPr>
        <w:t>“uptake 0.75 → NUE ~55%”: we now give the reason (crop demand is concentrated in mid-season months while mineral N is spread across the window, so part of the captured N is not demand-synchronized), rather than asserting the two numbers.</w:t>
      </w:r>
    </w:p>
    <w:p w14:paraId="4BC4208C" w14:textId="77777777" w:rsidR="00EE4E82" w:rsidRPr="0097218A" w:rsidRDefault="00000000">
      <w:pPr>
        <w:pStyle w:val="Compact"/>
        <w:numPr>
          <w:ilvl w:val="0"/>
          <w:numId w:val="7"/>
        </w:numPr>
        <w:rPr>
          <w:rFonts w:ascii="Aptos" w:hAnsi="Aptos"/>
        </w:rPr>
      </w:pPr>
      <w:r>
        <w:rPr>
          <w:rFonts w:ascii="Aptos" w:hAnsi="Aptos"/>
        </w:rPr>
        <w:t>“regionally calibrated carbon retention efficiency” — calibrated against what: stated (CRE set so each region’s initial SOC is at steady state under current management), with the conservative-bias caveat retained.</w:t>
      </w:r>
    </w:p>
    <w:p w14:paraId="3E218808" w14:textId="77777777" w:rsidR="00EE4E82" w:rsidRPr="0097218A" w:rsidRDefault="00000000">
      <w:pPr>
        <w:pStyle w:val="Compact"/>
        <w:numPr>
          <w:ilvl w:val="0"/>
          <w:numId w:val="7"/>
        </w:numPr>
        <w:rPr>
          <w:rFonts w:ascii="Aptos" w:hAnsi="Aptos"/>
        </w:rPr>
      </w:pPr>
      <w:r>
        <w:rPr>
          <w:rFonts w:ascii="Aptos" w:hAnsi="Aptos"/>
        </w:rPr>
        <w:t>Fig S1b water-stress arrows (“AI generated”): the schematic has been redrawn with a single explicit water-stress path and no decorative connectors.</w:t>
      </w:r>
    </w:p>
    <w:p w14:paraId="276C6756" w14:textId="77777777" w:rsidR="00EE4E82" w:rsidRPr="0097218A" w:rsidRDefault="00000000">
      <w:pPr>
        <w:pStyle w:val="Compact"/>
        <w:numPr>
          <w:ilvl w:val="0"/>
          <w:numId w:val="7"/>
        </w:numPr>
        <w:rPr>
          <w:rFonts w:ascii="Aptos" w:hAnsi="Aptos"/>
        </w:rPr>
      </w:pPr>
      <w:r>
        <w:rPr>
          <w:rFonts w:ascii="Aptos" w:hAnsi="Aptos"/>
        </w:rPr>
        <w:t>“land allocation” — how does it handle different crops: clarified that land allocation operates on the regional representative-crop aggregate, consistent with the single-cereal design in (ii).</w:t>
      </w:r>
    </w:p>
    <w:p w14:paraId="04C50C36" w14:textId="77777777" w:rsidR="00EE4E82" w:rsidRPr="0097218A" w:rsidRDefault="00000000">
      <w:pPr>
        <w:pStyle w:val="Compact"/>
        <w:numPr>
          <w:ilvl w:val="0"/>
          <w:numId w:val="7"/>
        </w:numPr>
        <w:rPr>
          <w:rFonts w:ascii="Aptos" w:hAnsi="Aptos"/>
        </w:rPr>
      </w:pPr>
      <w:r>
        <w:rPr>
          <w:rFonts w:ascii="Aptos" w:hAnsi="Aptos"/>
        </w:rPr>
        <w:t>“a single farm soil status” — one farm per pixel? regional average?: clarified per (i): a modeled soil at a specified % of regional mean SOC, not a pixel.</w:t>
      </w:r>
    </w:p>
    <w:p w14:paraId="16722F6A" w14:textId="77777777" w:rsidR="00EE4E82" w:rsidRPr="0097218A" w:rsidRDefault="00000000">
      <w:pPr>
        <w:pStyle w:val="Compact"/>
        <w:numPr>
          <w:ilvl w:val="0"/>
          <w:numId w:val="7"/>
        </w:numPr>
        <w:rPr>
          <w:rFonts w:ascii="Aptos" w:hAnsi="Aptos"/>
        </w:rPr>
      </w:pPr>
      <w:r>
        <w:rPr>
          <w:rFonts w:ascii="Aptos" w:hAnsi="Aptos"/>
        </w:rPr>
        <w:t>S13 FDME, GDAP acronyms: expanded on first use (FDME = Food Demand and Market Elasticities framework; GTAP corrected/expanded where it appeared).</w:t>
      </w:r>
    </w:p>
    <w:p w14:paraId="3591A709" w14:textId="77777777" w:rsidR="00EE4E82" w:rsidRPr="0097218A" w:rsidRDefault="00000000">
      <w:pPr>
        <w:pStyle w:val="Compact"/>
        <w:numPr>
          <w:ilvl w:val="0"/>
          <w:numId w:val="7"/>
        </w:numPr>
        <w:rPr>
          <w:rFonts w:ascii="Aptos" w:hAnsi="Aptos"/>
        </w:rPr>
      </w:pPr>
      <w:r>
        <w:rPr>
          <w:rFonts w:ascii="Aptos" w:hAnsi="Aptos"/>
        </w:rPr>
        <w:lastRenderedPageBreak/>
        <w:t>S13 “regional baseline yield” vs y_max: clarified — baseline yield is the observed FAOSTAT yield used as the calibration target; y_max is the fitted ceiling. See (iii).</w:t>
      </w:r>
    </w:p>
    <w:p w14:paraId="2FC1E095" w14:textId="77777777" w:rsidR="00EE4E82" w:rsidRPr="0097218A" w:rsidRDefault="00000000">
      <w:pPr>
        <w:pStyle w:val="Compact"/>
        <w:numPr>
          <w:ilvl w:val="0"/>
          <w:numId w:val="7"/>
        </w:numPr>
        <w:rPr>
          <w:rFonts w:ascii="Aptos" w:hAnsi="Aptos"/>
        </w:rPr>
      </w:pPr>
      <w:r>
        <w:rPr>
          <w:rFonts w:ascii="Aptos" w:hAnsi="Aptos"/>
        </w:rPr>
        <w:t>“regional SOC derived from” — mean or median: stated (cropland-area-weighted mean of SoilGrids pixels).</w:t>
      </w:r>
    </w:p>
    <w:p w14:paraId="3BD18594" w14:textId="77777777" w:rsidR="00EE4E82" w:rsidRPr="0097218A" w:rsidRDefault="00000000">
      <w:pPr>
        <w:pStyle w:val="Compact"/>
        <w:numPr>
          <w:ilvl w:val="0"/>
          <w:numId w:val="7"/>
        </w:numPr>
        <w:rPr>
          <w:rFonts w:ascii="Aptos" w:hAnsi="Aptos"/>
        </w:rPr>
      </w:pPr>
      <w:r>
        <w:rPr>
          <w:rFonts w:ascii="Aptos" w:hAnsi="Aptos"/>
        </w:rPr>
        <w:t>“regional climates parameterized with monthly T and precip” — source: added; see (iv).</w:t>
      </w:r>
    </w:p>
    <w:p w14:paraId="6FFE433F" w14:textId="77777777" w:rsidR="00EE4E82" w:rsidRPr="0097218A" w:rsidRDefault="00000000">
      <w:pPr>
        <w:pStyle w:val="Compact"/>
        <w:numPr>
          <w:ilvl w:val="0"/>
          <w:numId w:val="7"/>
        </w:numPr>
        <w:rPr>
          <w:rFonts w:ascii="Aptos" w:hAnsi="Aptos"/>
        </w:rPr>
      </w:pPr>
      <w:r>
        <w:rPr>
          <w:rFonts w:ascii="Aptos" w:hAnsi="Aptos"/>
        </w:rPr>
        <w:t>S19 “Broadbalk” = Rothamsted: identified explicitly as the Rothamsted Broadbalk Wheat Experiment (est. 1843).</w:t>
      </w:r>
    </w:p>
    <w:p w14:paraId="0866C8D8" w14:textId="77777777" w:rsidR="00EE4E82" w:rsidRPr="0097218A" w:rsidRDefault="00000000">
      <w:pPr>
        <w:pStyle w:val="Compact"/>
        <w:numPr>
          <w:ilvl w:val="0"/>
          <w:numId w:val="7"/>
        </w:numPr>
        <w:rPr>
          <w:rFonts w:ascii="Aptos" w:hAnsi="Aptos"/>
        </w:rPr>
      </w:pPr>
      <w:r>
        <w:rPr>
          <w:rFonts w:ascii="Aptos" w:hAnsi="Aptos"/>
        </w:rPr>
        <w:t>Broadbalk section should reference Fig S2: cross-reference added.</w:t>
      </w:r>
    </w:p>
    <w:p w14:paraId="6A33AACF" w14:textId="77777777" w:rsidR="00EE4E82" w:rsidRPr="0097218A" w:rsidRDefault="00000000">
      <w:pPr>
        <w:pStyle w:val="Compact"/>
        <w:numPr>
          <w:ilvl w:val="0"/>
          <w:numId w:val="7"/>
        </w:numPr>
        <w:rPr>
          <w:rFonts w:ascii="Aptos" w:hAnsi="Aptos"/>
        </w:rPr>
      </w:pPr>
      <w:r>
        <w:rPr>
          <w:rFonts w:ascii="Aptos" w:hAnsi="Aptos"/>
        </w:rPr>
        <w:t>Fig S2 red color undefined: defined in the caption.</w:t>
      </w:r>
    </w:p>
    <w:p w14:paraId="5B2CA4B5" w14:textId="77777777" w:rsidR="00EE4E82" w:rsidRPr="0097218A" w:rsidRDefault="00000000">
      <w:pPr>
        <w:pStyle w:val="Compact"/>
        <w:numPr>
          <w:ilvl w:val="0"/>
          <w:numId w:val="7"/>
        </w:numPr>
        <w:rPr>
          <w:rFonts w:ascii="Aptos" w:hAnsi="Aptos"/>
        </w:rPr>
      </w:pPr>
      <w:r>
        <w:rPr>
          <w:rFonts w:ascii="Aptos" w:hAnsi="Aptos"/>
        </w:rPr>
        <w:t>Caption over-interpretation (“scenario-based rather than site-specific”): trimmed from the figure caption and kept in the text.</w:t>
      </w:r>
    </w:p>
    <w:p w14:paraId="5AB7A7F7" w14:textId="77777777" w:rsidR="00EE4E82" w:rsidRPr="0097218A" w:rsidRDefault="00000000">
      <w:pPr>
        <w:pStyle w:val="Compact"/>
        <w:numPr>
          <w:ilvl w:val="0"/>
          <w:numId w:val="7"/>
        </w:numPr>
        <w:rPr>
          <w:rFonts w:ascii="Aptos" w:hAnsi="Aptos"/>
        </w:rPr>
      </w:pPr>
      <w:r>
        <w:rPr>
          <w:rFonts w:ascii="Aptos" w:hAnsi="Aptos"/>
        </w:rPr>
        <w:t>SOC-averaged-per-region only revealed on S33: moved to the main Methods (i).</w:t>
      </w:r>
    </w:p>
    <w:p w14:paraId="52B3A45E" w14:textId="77777777" w:rsidR="00EE4E82" w:rsidRPr="0097218A" w:rsidRDefault="00000000">
      <w:pPr>
        <w:pStyle w:val="Compact"/>
        <w:numPr>
          <w:ilvl w:val="0"/>
          <w:numId w:val="7"/>
        </w:numPr>
        <w:rPr>
          <w:rFonts w:ascii="Aptos" w:hAnsi="Aptos"/>
        </w:rPr>
      </w:pPr>
      <w:r>
        <w:rPr>
          <w:rFonts w:ascii="Aptos" w:hAnsi="Aptos"/>
        </w:rPr>
        <w:t>Spatial screen (Note 7) has a cryptic title and comes too late: retitled “Global soil-buffer and fertilizer-exposure screen (Figure 3),” and its data sources are summarized in the main Methods.</w:t>
      </w:r>
    </w:p>
    <w:p w14:paraId="50B58ABB" w14:textId="77777777" w:rsidR="00EE4E82" w:rsidRPr="0097218A" w:rsidRDefault="00000000">
      <w:pPr>
        <w:pStyle w:val="Compact"/>
        <w:numPr>
          <w:ilvl w:val="0"/>
          <w:numId w:val="7"/>
        </w:numPr>
        <w:rPr>
          <w:rFonts w:ascii="Aptos" w:hAnsi="Aptos"/>
        </w:rPr>
      </w:pPr>
      <w:r>
        <w:rPr>
          <w:rFonts w:ascii="Aptos" w:hAnsi="Aptos"/>
        </w:rPr>
        <w:t>“within-region SOC gradient” vs “SOC averaged per region”: reconciled — regional mean SOC sets the regional economics; the within-region gradient (10–200% of that mean) is the farm cross-section. Both are now defined together in the Methods.</w:t>
      </w:r>
    </w:p>
    <w:p w14:paraId="5F9806F1" w14:textId="77777777" w:rsidR="00EE4E82" w:rsidRPr="0097218A" w:rsidRDefault="00000000">
      <w:pPr>
        <w:pStyle w:val="Compact"/>
        <w:numPr>
          <w:ilvl w:val="0"/>
          <w:numId w:val="7"/>
        </w:numPr>
        <w:rPr>
          <w:rFonts w:ascii="Aptos" w:hAnsi="Aptos"/>
        </w:rPr>
      </w:pPr>
      <w:r>
        <w:rPr>
          <w:rFonts w:ascii="Aptos" w:hAnsi="Aptos"/>
        </w:rPr>
        <w:t>p.11 “region-specific behavioral parameters” undefined: enumerated (fertilizer-demand elasticity, food-demand elasticity, cross-price elasticity, land-response coefficient) with the regional table.</w:t>
      </w:r>
    </w:p>
    <w:p w14:paraId="664F31AD" w14:textId="77777777" w:rsidR="00EE4E82" w:rsidRPr="0097218A" w:rsidRDefault="00000000">
      <w:pPr>
        <w:pStyle w:val="Compact"/>
        <w:numPr>
          <w:ilvl w:val="0"/>
          <w:numId w:val="7"/>
        </w:numPr>
        <w:rPr>
          <w:rFonts w:ascii="Aptos" w:hAnsi="Aptos"/>
        </w:rPr>
      </w:pPr>
      <w:r>
        <w:rPr>
          <w:rFonts w:ascii="Aptos" w:hAnsi="Aptos"/>
        </w:rPr>
        <w:t>p.12 “water-stress floor”: defined (yield floored at 30% of baseline under severe stress to represent non-zero minimum biomass).</w:t>
      </w:r>
    </w:p>
    <w:p w14:paraId="0731A9CB" w14:textId="2BF0DE6E" w:rsidR="00EE4E82" w:rsidRPr="0097218A" w:rsidRDefault="003300FC">
      <w:pPr>
        <w:rPr>
          <w:rFonts w:ascii="Aptos" w:hAnsi="Aptos"/>
        </w:rPr>
      </w:pPr>
      <w:r>
        <w:rPr>
          <w:noProof/>
        </w:rPr>
        <mc:AlternateContent>
          <mc:Choice Requires="wps">
            <w:drawing>
              <wp:inline distT="0" distB="0" distL="0" distR="0" wp14:anchorId="091E30E6" wp14:editId="193546FC">
                <wp:extent cx="5943600" cy="13970"/>
                <wp:effectExtent l="9525" t="5080" r="9525" b="9525"/>
                <wp:docPr id="80972035"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62DE948"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74B9276" w14:textId="77777777" w:rsidR="00EE4E82" w:rsidRPr="0097218A" w:rsidRDefault="00000000">
      <w:pPr>
        <w:pStyle w:val="Heading2"/>
        <w:rPr>
          <w:rFonts w:ascii="Aptos" w:hAnsi="Aptos"/>
          <w:b w:val="0"/>
          <w:bCs w:val="0"/>
        </w:rPr>
      </w:pPr>
      <w:bookmarkStart w:id="13" w:name="referee-1"/>
      <w:bookmarkEnd w:id="1"/>
      <w:bookmarkEnd w:id="12"/>
      <w:r>
        <w:rPr>
          <w:rFonts w:ascii="Aptos" w:hAnsi="Aptos"/>
          <w:b w:val="0"/>
          <w:bCs w:val="0"/>
        </w:rPr>
        <w:t>Referee 1</w:t>
      </w:r>
    </w:p>
    <w:p w14:paraId="493E77CF" w14:textId="16A9ACA2" w:rsidR="00EE4E82" w:rsidRPr="0097218A" w:rsidRDefault="00833C44">
      <w:pPr>
        <w:pStyle w:val="FirstParagraph"/>
        <w:rPr>
          <w:rFonts w:ascii="Aptos" w:hAnsi="Aptos"/>
        </w:rPr>
      </w:pPr>
      <w:r>
        <w:rPr>
          <w:rFonts w:ascii="Aptos" w:hAnsi="Aptos"/>
        </w:rPr>
        <w:t xml:space="preserve">We thank </w:t>
      </w:r>
      <w:r>
        <w:rPr>
          <w:rFonts w:ascii="Aptos" w:hAnsi="Aptos"/>
        </w:rPr>
        <w:t xml:space="preserve">the </w:t>
      </w:r>
      <w:r>
        <w:rPr>
          <w:rFonts w:ascii="Aptos" w:hAnsi="Aptos"/>
        </w:rPr>
        <w:t xml:space="preserve">reviewer for the helpful editorial feedback</w:t>
      </w:r>
      <w:r>
        <w:rPr>
          <w:rFonts w:ascii="Aptos" w:hAnsi="Aptos"/>
        </w:rPr>
        <w:t xml:space="preserve">, which we address below.</w:t>
      </w:r>
    </w:p>
    <w:p w14:paraId="7C8709DA" w14:textId="77777777" w:rsidR="00EE4E82" w:rsidRPr="0097218A" w:rsidRDefault="00000000">
      <w:pPr>
        <w:pStyle w:val="Heading3"/>
        <w:rPr>
          <w:rFonts w:ascii="Aptos" w:hAnsi="Aptos"/>
          <w:b w:val="0"/>
          <w:bCs w:val="0"/>
        </w:rPr>
      </w:pPr>
      <w:bookmarkStart w:id="14" w:name="abstract"/>
      <w:r>
        <w:rPr>
          <w:rFonts w:ascii="Aptos" w:hAnsi="Aptos"/>
          <w:b w:val="0"/>
          <w:bCs w:val="0"/>
        </w:rPr>
        <w:t>Abstract</w:t>
      </w:r>
    </w:p>
    <w:p w14:paraId="6391DF3D" w14:textId="77777777" w:rsidR="00EE4E82" w:rsidRPr="0097218A" w:rsidRDefault="00000000">
      <w:pPr>
        <w:pStyle w:val="Compact"/>
        <w:numPr>
          <w:ilvl w:val="0"/>
          <w:numId w:val="8"/>
        </w:numPr>
        <w:rPr>
          <w:rFonts w:ascii="Aptos" w:hAnsi="Aptos"/>
        </w:rPr>
      </w:pPr>
      <w:r>
        <w:rPr>
          <w:rFonts w:ascii="Aptos" w:hAnsi="Aptos"/>
        </w:rPr>
        <w:t>State “eight global agricultural regions” explicitly: done in the abstract’s opening.</w:t>
      </w:r>
    </w:p>
    <w:p w14:paraId="6E2E0857" w14:textId="77777777" w:rsidR="00EE4E82" w:rsidRPr="0097218A" w:rsidRDefault="00000000">
      <w:pPr>
        <w:pStyle w:val="Compact"/>
        <w:numPr>
          <w:ilvl w:val="0"/>
          <w:numId w:val="8"/>
        </w:numPr>
        <w:rPr>
          <w:rFonts w:ascii="Aptos" w:hAnsi="Aptos"/>
        </w:rPr>
      </w:pPr>
      <w:r>
        <w:rPr>
          <w:rFonts w:ascii="Aptos" w:hAnsi="Aptos"/>
        </w:rPr>
        <w:t xml:space="preserve">Replace “~5 percentage points” with a range: replaced with </w:t>
      </w:r>
      <w:r>
        <w:rPr>
          <w:rFonts w:ascii="Aptos" w:hAnsi="Aptos"/>
        </w:rPr>
        <w:t xml:space="preserve">“0.3–1.0 </w:t>
      </w:r>
      <w:r>
        <w:rPr>
          <w:rFonts w:ascii="Aptos" w:hAnsi="Aptos"/>
        </w:rPr>
        <w:t xml:space="preserve">percentage </w:t>
      </w:r>
      <w:r>
        <w:rPr>
          <w:rFonts w:ascii="Aptos" w:hAnsi="Aptos"/>
        </w:rPr>
        <w:t xml:space="preserve">points” under the audited nitrogen and crop prices and the corrected market clearing.</w:t>
      </w:r>
    </w:p>
    <w:p w14:paraId="7702E1FF" w14:textId="77777777" w:rsidR="00EE4E82" w:rsidRPr="0097218A" w:rsidRDefault="00000000">
      <w:pPr>
        <w:pStyle w:val="Compact"/>
        <w:numPr>
          <w:ilvl w:val="0"/>
          <w:numId w:val="8"/>
        </w:numPr>
        <w:rPr>
          <w:rFonts w:ascii="Aptos" w:hAnsi="Aptos"/>
        </w:rPr>
      </w:pPr>
      <w:r>
        <w:rPr>
          <w:rFonts w:ascii="Aptos" w:hAnsi="Aptos"/>
        </w:rPr>
        <w:t>Make the “second risk” sentence explicit: revised to “Persistent disruptions trigger a reinforcing feedback: lower yields reduce residue return, depleting SOM and weakening future nitrogen supply.”</w:t>
      </w:r>
    </w:p>
    <w:p w14:paraId="44A4DF29" w14:textId="77777777" w:rsidR="00EE4E82" w:rsidRPr="0097218A" w:rsidRDefault="00000000">
      <w:pPr>
        <w:pStyle w:val="Compact"/>
        <w:numPr>
          <w:ilvl w:val="0"/>
          <w:numId w:val="8"/>
        </w:numPr>
        <w:rPr>
          <w:rFonts w:ascii="Aptos" w:hAnsi="Aptos"/>
        </w:rPr>
      </w:pPr>
      <w:r>
        <w:rPr>
          <w:rFonts w:ascii="Aptos" w:hAnsi="Aptos"/>
        </w:rPr>
        <w:t>End with an implications statement: added “These results suggest soil-health investment and fertilizer access should be evaluated jointly in food-security risk planning.”</w:t>
      </w:r>
    </w:p>
    <w:p w14:paraId="0411F48D" w14:textId="77777777" w:rsidR="00EE4E82" w:rsidRPr="0097218A" w:rsidRDefault="00000000">
      <w:pPr>
        <w:pStyle w:val="Heading3"/>
        <w:rPr>
          <w:rFonts w:ascii="Aptos" w:hAnsi="Aptos"/>
          <w:b w:val="0"/>
          <w:bCs w:val="0"/>
        </w:rPr>
      </w:pPr>
      <w:bookmarkStart w:id="15" w:name="introduction"/>
      <w:bookmarkEnd w:id="14"/>
      <w:r>
        <w:rPr>
          <w:rFonts w:ascii="Aptos" w:hAnsi="Aptos"/>
          <w:b w:val="0"/>
          <w:bCs w:val="0"/>
        </w:rPr>
        <w:lastRenderedPageBreak/>
        <w:t>Introduction</w:t>
      </w:r>
    </w:p>
    <w:p w14:paraId="3FDF71BB" w14:textId="17492EE6" w:rsidR="00EE4E82" w:rsidRPr="0097218A" w:rsidRDefault="00000000">
      <w:pPr>
        <w:pStyle w:val="Compact"/>
        <w:numPr>
          <w:ilvl w:val="0"/>
          <w:numId w:val="9"/>
        </w:numPr>
        <w:rPr>
          <w:rFonts w:ascii="Aptos" w:hAnsi="Aptos"/>
        </w:rPr>
      </w:pPr>
      <w:r>
        <w:rPr>
          <w:rFonts w:ascii="Aptos" w:hAnsi="Aptos"/>
        </w:rPr>
        <w:t xml:space="preserve">Add a manuscript-structure paragraph: </w:t>
      </w:r>
      <w:r>
        <w:rPr>
          <w:rFonts w:ascii="Aptos" w:hAnsi="Aptos"/>
        </w:rPr>
        <w:t xml:space="preserve">Added at the end </w:t>
      </w:r>
      <w:r>
        <w:rPr>
          <w:rFonts w:ascii="Aptos" w:hAnsi="Aptos"/>
        </w:rPr>
        <w:t xml:space="preserve">of the </w:t>
      </w:r>
      <w:r>
        <w:rPr>
          <w:rFonts w:ascii="Aptos" w:hAnsi="Aptos"/>
        </w:rPr>
        <w:t xml:space="preserve">Introduction.</w:t>
      </w:r>
    </w:p>
    <w:p w14:paraId="7A1AE8B9" w14:textId="6D98EB85" w:rsidR="00EE4E82" w:rsidRPr="0097218A" w:rsidRDefault="00000000">
      <w:pPr>
        <w:pStyle w:val="Compact"/>
        <w:numPr>
          <w:ilvl w:val="0"/>
          <w:numId w:val="9"/>
        </w:numPr>
        <w:rPr>
          <w:rFonts w:ascii="Aptos" w:hAnsi="Aptos"/>
        </w:rPr>
      </w:pPr>
      <w:r>
        <w:rPr>
          <w:rFonts w:ascii="Aptos" w:hAnsi="Aptos"/>
        </w:rPr>
        <w:t>Explain why C is tracked, not N (line 45): the Methods states “C is the conserved currency in standard SOM models”; we now add the one-sentence rationale in the Introduction as well and rephrase per the reviewer’s wording note (below).</w:t>
      </w:r>
    </w:p>
    <w:p w14:paraId="755F0095" w14:textId="77777777" w:rsidR="00EE4E82" w:rsidRPr="0097218A" w:rsidRDefault="00000000">
      <w:pPr>
        <w:pStyle w:val="Compact"/>
        <w:numPr>
          <w:ilvl w:val="0"/>
          <w:numId w:val="9"/>
        </w:numPr>
        <w:rPr>
          <w:rFonts w:ascii="Aptos" w:hAnsi="Aptos"/>
        </w:rPr>
      </w:pPr>
      <w:r>
        <w:rPr>
          <w:rFonts w:ascii="Aptos" w:hAnsi="Aptos"/>
        </w:rPr>
        <w:t>Define “mineralization,” “partial-equilibrium,” “Mitscherlich function” on first use: brief definitions added at first mention.</w:t>
      </w:r>
    </w:p>
    <w:p w14:paraId="58A64C3D" w14:textId="77777777" w:rsidR="00EE4E82" w:rsidRPr="0097218A" w:rsidRDefault="00000000">
      <w:pPr>
        <w:pStyle w:val="Heading3"/>
        <w:rPr>
          <w:rFonts w:ascii="Aptos" w:hAnsi="Aptos"/>
          <w:b w:val="0"/>
          <w:bCs w:val="0"/>
        </w:rPr>
      </w:pPr>
      <w:bookmarkStart w:id="16" w:name="methods"/>
      <w:bookmarkEnd w:id="15"/>
      <w:r>
        <w:rPr>
          <w:rFonts w:ascii="Aptos" w:hAnsi="Aptos"/>
          <w:b w:val="0"/>
          <w:bCs w:val="0"/>
        </w:rPr>
        <w:t>Methods</w:t>
      </w:r>
    </w:p>
    <w:p w14:paraId="7EC7A097" w14:textId="77777777" w:rsidR="00EE4E82" w:rsidRPr="0097218A" w:rsidRDefault="00000000">
      <w:pPr>
        <w:pStyle w:val="Compact"/>
        <w:numPr>
          <w:ilvl w:val="0"/>
          <w:numId w:val="10"/>
        </w:numPr>
        <w:rPr>
          <w:rFonts w:ascii="Aptos" w:hAnsi="Aptos"/>
        </w:rPr>
      </w:pPr>
      <w:r>
        <w:rPr>
          <w:rFonts w:ascii="Aptos" w:hAnsi="Aptos"/>
        </w:rPr>
        <w:t>Simplified schematic equation in the main text with full derivation in SI: added a compact form of the two-sided water-stress function and the Mitscherlich yield equation to the main text; full derivations retained in the SI.</w:t>
      </w:r>
    </w:p>
    <w:p w14:paraId="4B68B84A" w14:textId="77777777" w:rsidR="00EE4E82" w:rsidRPr="0097218A" w:rsidRDefault="00000000">
      <w:pPr>
        <w:pStyle w:val="Compact"/>
        <w:numPr>
          <w:ilvl w:val="0"/>
          <w:numId w:val="10"/>
        </w:numPr>
        <w:rPr>
          <w:rFonts w:ascii="Aptos" w:hAnsi="Aptos"/>
        </w:rPr>
      </w:pPr>
      <w:r>
        <w:rPr>
          <w:rFonts w:ascii="Aptos" w:hAnsi="Aptos"/>
        </w:rPr>
        <w:t>Clarify how regional output-price changes (at mean SOC) apply to farms at different SOC</w:t>
      </w:r>
      <w:r>
        <w:rPr>
          <w:rFonts w:ascii="Aptos" w:hAnsi="Aptos"/>
        </w:rPr>
        <w:t xml:space="preserve">; note competitive markets: the submitted Methods already includes the competitive-markets sentence; </w:t>
      </w:r>
      <w:r>
        <w:rPr>
          <w:rFonts w:ascii="Aptos" w:hAnsi="Aptos"/>
        </w:rPr>
        <w:t xml:space="preserve">we have tightened </w:t>
      </w:r>
      <w:r>
        <w:rPr>
          <w:rFonts w:ascii="Aptos" w:hAnsi="Aptos"/>
        </w:rPr>
        <w:t xml:space="preserve">it, </w:t>
      </w:r>
      <w:r>
        <w:rPr>
          <w:rFonts w:ascii="Aptos" w:hAnsi="Aptos"/>
        </w:rPr>
        <w:t xml:space="preserve">moved it adjacent to the new aggregation subsection so the logic is </w:t>
      </w:r>
      <w:r>
        <w:rPr>
          <w:rFonts w:ascii="Aptos" w:hAnsi="Aptos"/>
        </w:rPr>
        <w:t xml:space="preserve">contiguous, and added an operational statement in Methods: “the coupled model is solved once per region at the regional mean SOC, producing the regional price and fertilizer paths; farm-level responses at each point of the within-region SOC distribution are then computed under those same paths, with farm-specific nitrogen dynamics.”</w:t>
      </w:r>
    </w:p>
    <w:p w14:paraId="0B72DD41" w14:textId="77777777" w:rsidR="00EE4E82" w:rsidRPr="0097218A" w:rsidRDefault="00000000">
      <w:pPr>
        <w:pStyle w:val="Compact"/>
        <w:numPr>
          <w:ilvl w:val="0"/>
          <w:numId w:val="10"/>
        </w:numPr>
        <w:rPr>
          <w:rFonts w:ascii="Aptos" w:hAnsi="Aptos"/>
        </w:rPr>
      </w:pPr>
      <w:r>
        <w:rPr>
          <w:rFonts w:ascii="Aptos" w:hAnsi="Aptos"/>
        </w:rPr>
        <w:t>Provide a table of regional ε_F,PF values: the regional fertilizer-demand elasticity ε_F,PF (−0.20 NA to −0.50 SSA) and food-demand elasticity are tabulated by region in Supplementary Table 1; the regional fertilizer and crop prices are given in the Supplementary Methods (Regional fertilizer and crop price values) and the land-response coefficient in the economic-model equations. The revised Methods point to these explicitly for reproducibility.</w:t>
      </w:r>
    </w:p>
    <w:p w14:paraId="509ECF71" w14:textId="77777777" w:rsidR="00EE4E82" w:rsidRPr="0097218A" w:rsidRDefault="00000000">
      <w:pPr>
        <w:pStyle w:val="Compact"/>
        <w:numPr>
          <w:ilvl w:val="0"/>
          <w:numId w:val="10"/>
        </w:numPr>
        <w:rPr>
          <w:rFonts w:ascii="Aptos" w:hAnsi="Aptos"/>
        </w:rPr>
      </w:pPr>
      <w:r>
        <w:rPr>
          <w:rFonts w:ascii="Aptos" w:hAnsi="Aptos"/>
        </w:rPr>
        <w:t>Describe the spin-up procedure: a two-sentence description added to the main Methods (iterative spin-up to dynamic steady state from SoilGrids mean SOC under constant current management), with the full protocol retained in the SI.</w:t>
      </w:r>
    </w:p>
    <w:p w14:paraId="7789112B" w14:textId="77777777" w:rsidR="00EE4E82" w:rsidRPr="0097218A" w:rsidRDefault="00000000">
      <w:pPr>
        <w:pStyle w:val="Heading3"/>
        <w:rPr>
          <w:rFonts w:ascii="Aptos" w:hAnsi="Aptos"/>
          <w:b w:val="0"/>
          <w:bCs w:val="0"/>
        </w:rPr>
      </w:pPr>
      <w:bookmarkStart w:id="18" w:name="results"/>
      <w:bookmarkEnd w:id="16"/>
      <w:r>
        <w:rPr>
          <w:rFonts w:ascii="Aptos" w:hAnsi="Aptos"/>
          <w:b w:val="0"/>
          <w:bCs w:val="0"/>
        </w:rPr>
        <w:t>Results</w:t>
      </w:r>
    </w:p>
    <w:p w14:paraId="606486C5" w14:textId="1E902F7A" w:rsidR="00EE4E82" w:rsidRPr="0097218A" w:rsidRDefault="00000000">
      <w:pPr>
        <w:pStyle w:val="Compact"/>
        <w:numPr>
          <w:ilvl w:val="0"/>
          <w:numId w:val="11"/>
        </w:numPr>
        <w:rPr>
          <w:rFonts w:ascii="Aptos" w:hAnsi="Aptos"/>
        </w:rPr>
      </w:pPr>
      <w:r>
        <w:rPr>
          <w:rFonts w:ascii="Aptos" w:hAnsi="Aptos"/>
        </w:rPr>
        <w:t>Move the East Asia plateau explanation to a dedicated paragraph: the submitted Results devote a dedicated paragraph to this (high baseline N places yields on the Mitscherlich plateau); we have kept it as its own paragraph and added a signpost sentence so it is not read as buried.</w:t>
      </w:r>
    </w:p>
    <w:p w14:paraId="0B931FD7" w14:textId="77777777" w:rsidR="00EE4E82" w:rsidRPr="0097218A" w:rsidRDefault="00000000">
      <w:pPr>
        <w:pStyle w:val="Compact"/>
        <w:numPr>
          <w:ilvl w:val="0"/>
          <w:numId w:val="11"/>
        </w:numPr>
        <w:rPr>
          <w:rFonts w:ascii="Aptos" w:hAnsi="Aptos"/>
        </w:rPr>
      </w:pPr>
      <w:r>
        <w:rPr>
          <w:rFonts w:ascii="Aptos" w:hAnsi="Aptos"/>
        </w:rPr>
        <w:t xml:space="preserve">Quantify the “value of supply-side recovery”: </w:t>
      </w:r>
      <w:r>
        <w:rPr>
          <w:rFonts w:ascii="Aptos" w:hAnsi="Aptos"/>
        </w:rPr>
        <w:t xml:space="preserve">the manuscript </w:t>
      </w:r>
      <w:r>
        <w:rPr>
          <w:rFonts w:ascii="Aptos" w:hAnsi="Aptos"/>
        </w:rPr>
        <w:t xml:space="preserve">now </w:t>
      </w:r>
      <w:r>
        <w:rPr>
          <w:rFonts w:ascii="Aptos" w:hAnsi="Aptos"/>
        </w:rPr>
        <w:t xml:space="preserve">states the SC1–SC2 contrast as </w:t>
      </w:r>
      <w:r>
        <w:rPr>
          <w:rFonts w:ascii="Aptos" w:hAnsi="Aptos"/>
        </w:rPr>
        <w:t xml:space="preserve">the two values rather than </w:t>
      </w:r>
      <w:r>
        <w:rPr>
          <w:rFonts w:ascii="Aptos" w:hAnsi="Aptos"/>
        </w:rPr>
        <w:t xml:space="preserve">a </w:t>
      </w:r>
      <w:r>
        <w:rPr>
          <w:rFonts w:ascii="Aptos" w:hAnsi="Aptos"/>
        </w:rPr>
        <w:t xml:space="preserve">ratio: </w:t>
      </w:r>
      <w:r>
        <w:rPr>
          <w:rFonts w:ascii="Aptos" w:hAnsi="Aptos"/>
        </w:rPr>
        <w:t xml:space="preserve">a permanent physical constraint (SC1) </w:t>
      </w:r>
      <w:r>
        <w:rPr>
          <w:rFonts w:ascii="Aptos" w:hAnsi="Aptos"/>
        </w:rPr>
        <w:t xml:space="preserve">leaves a 3.8% </w:t>
      </w:r>
      <w:r>
        <w:rPr>
          <w:rFonts w:ascii="Aptos" w:hAnsi="Aptos"/>
        </w:rPr>
        <w:t xml:space="preserve">year-30 </w:t>
      </w:r>
      <w:r>
        <w:rPr>
          <w:rFonts w:ascii="Aptos" w:hAnsi="Aptos"/>
        </w:rPr>
        <w:t xml:space="preserve">loss, while </w:t>
      </w:r>
      <w:r>
        <w:rPr>
          <w:rFonts w:ascii="Aptos" w:hAnsi="Aptos"/>
        </w:rPr>
        <w:t xml:space="preserve">one that resolves over 20 years </w:t>
      </w:r>
      <w:r>
        <w:rPr>
          <w:rFonts w:ascii="Aptos" w:hAnsi="Aptos"/>
        </w:rPr>
        <w:t xml:space="preserve">(SC2) essentially recovers (0.02%). A ratio is not meaningful against </w:t>
      </w:r>
      <w:r>
        <w:rPr>
          <w:rFonts w:ascii="Aptos" w:hAnsi="Aptos"/>
        </w:rPr>
        <w:t xml:space="preserve">a </w:t>
      </w:r>
      <w:r>
        <w:rPr>
          <w:rFonts w:ascii="Aptos" w:hAnsi="Aptos"/>
        </w:rPr>
        <w:t xml:space="preserve">near-zero denominator, so we state the values; the underlying regional trajectories are in the deposited data.</w:t>
      </w:r>
    </w:p>
    <w:p w14:paraId="263940A4" w14:textId="77777777" w:rsidR="00EE4E82" w:rsidRPr="0097218A" w:rsidRDefault="00000000">
      <w:pPr>
        <w:pStyle w:val="Heading3"/>
        <w:rPr>
          <w:rFonts w:ascii="Aptos" w:hAnsi="Aptos"/>
          <w:b w:val="0"/>
          <w:bCs w:val="0"/>
        </w:rPr>
      </w:pPr>
      <w:bookmarkStart w:id="19" w:name="discussion"/>
      <w:bookmarkEnd w:id="18"/>
      <w:r>
        <w:rPr>
          <w:rFonts w:ascii="Aptos" w:hAnsi="Aptos"/>
          <w:b w:val="0"/>
          <w:bCs w:val="0"/>
        </w:rPr>
        <w:t>Discussion</w:t>
      </w:r>
    </w:p>
    <w:p w14:paraId="7D719CA1" w14:textId="77777777" w:rsidR="00EE4E82" w:rsidRPr="0097218A" w:rsidRDefault="00000000">
      <w:pPr>
        <w:pStyle w:val="Compact"/>
        <w:numPr>
          <w:ilvl w:val="0"/>
          <w:numId w:val="12"/>
        </w:numPr>
        <w:rPr>
          <w:rFonts w:ascii="Aptos" w:hAnsi="Aptos"/>
        </w:rPr>
      </w:pPr>
      <w:r>
        <w:rPr>
          <w:rFonts w:ascii="Aptos" w:hAnsi="Aptos"/>
        </w:rPr>
        <w:t>Distinguish (a) SOM buffering, (b) NUE improvement, (c) complementarity with subheadings/structure: the in-season-capture paragraph is restructured to make the three points sequential and explicit.</w:t>
      </w:r>
    </w:p>
    <w:p w14:paraId="0A92D084" w14:textId="77777777" w:rsidR="00EE4E82" w:rsidRPr="0097218A" w:rsidRDefault="00000000">
      <w:pPr>
        <w:pStyle w:val="Compact"/>
        <w:numPr>
          <w:ilvl w:val="0"/>
          <w:numId w:val="12"/>
        </w:numPr>
        <w:rPr>
          <w:rFonts w:ascii="Aptos" w:hAnsi="Aptos"/>
        </w:rPr>
      </w:pPr>
      <w:r>
        <w:rPr>
          <w:rFonts w:ascii="Aptos" w:hAnsi="Aptos"/>
        </w:rPr>
        <w:t>Smallholder vs. commercial farms: the submitted Discussion already raises liquidity-constrained smallholders; we expand it to contrast smallholder (credit/liquidity constraints, thin margins) with commercial (margin-stability motive under input-price volatility) responses.</w:t>
      </w:r>
    </w:p>
    <w:p w14:paraId="3D560D61" w14:textId="77777777" w:rsidR="00EE4E82" w:rsidRPr="0097218A" w:rsidRDefault="00000000">
      <w:pPr>
        <w:pStyle w:val="Compact"/>
        <w:numPr>
          <w:ilvl w:val="0"/>
          <w:numId w:val="12"/>
        </w:numPr>
        <w:rPr>
          <w:rFonts w:ascii="Aptos" w:hAnsi="Aptos"/>
        </w:rPr>
      </w:pPr>
      <w:r>
        <w:rPr>
          <w:rFonts w:ascii="Aptos" w:hAnsi="Aptos"/>
        </w:rPr>
        <w:t xml:space="preserve">Reference specific elasticity sensitivity </w:t>
      </w:r>
      <w:r>
        <w:rPr>
          <w:rFonts w:ascii="Aptos" w:hAnsi="Aptos"/>
        </w:rPr>
        <w:t xml:space="preserve">(halving all fertilizer-demand elasticities </w:t>
      </w:r>
      <w:r>
        <w:rPr>
          <w:rFonts w:ascii="Aptos" w:hAnsi="Aptos"/>
        </w:rPr>
        <w:t xml:space="preserve">compresses </w:t>
      </w:r>
      <w:r>
        <w:rPr>
          <w:rFonts w:ascii="Aptos" w:hAnsi="Aptos"/>
        </w:rPr>
        <w:t xml:space="preserve">global </w:t>
      </w:r>
      <w:r>
        <w:rPr>
          <w:rFonts w:ascii="Aptos" w:hAnsi="Aptos"/>
        </w:rPr>
        <w:t xml:space="preserve">year-10 loss </w:t>
      </w:r>
      <w:r>
        <w:rPr>
          <w:rFonts w:ascii="Aptos" w:hAnsi="Aptos"/>
        </w:rPr>
        <w:t xml:space="preserve">by ~50%): </w:t>
      </w:r>
      <w:r>
        <w:rPr>
          <w:rFonts w:ascii="Aptos" w:hAnsi="Aptos"/>
        </w:rPr>
        <w:t xml:space="preserve">added with the explicit cross-reference to the revised Supplementary Figure S8.</w:t>
      </w:r>
    </w:p>
    <w:p w14:paraId="294C0946" w14:textId="2C82C050" w:rsidR="00EE4E82" w:rsidRPr="0097218A" w:rsidRDefault="00000000">
      <w:pPr>
        <w:pStyle w:val="Compact"/>
        <w:numPr>
          <w:ilvl w:val="0"/>
          <w:numId w:val="12"/>
        </w:numPr>
        <w:rPr>
          <w:rFonts w:ascii="Aptos" w:hAnsi="Aptos"/>
        </w:rPr>
      </w:pPr>
      <w:r>
        <w:rPr>
          <w:rFonts w:ascii="Aptos" w:hAnsi="Aptos"/>
        </w:rPr>
        <w:t xml:space="preserve">Link to EU Soil Monitoring Law, African Fertilizer &amp; Soil Health Summit, USDA conservation programs: the discussion names all three; we expand each with the specific channel the reviewer asks for (resilience-based incentives under the EU law; regional soil-health-investment recommendations for the Summit; payment rates linked to modeled SOM benefits for USDA programs).</w:t>
      </w:r>
    </w:p>
    <w:p w14:paraId="650C7D65" w14:textId="2F8533F2" w:rsidR="00EE4E82" w:rsidRPr="0097218A" w:rsidRDefault="00000000">
      <w:pPr>
        <w:pStyle w:val="Compact"/>
        <w:numPr>
          <w:ilvl w:val="0"/>
          <w:numId w:val="12"/>
        </w:numPr>
        <w:rPr>
          <w:rFonts w:ascii="Aptos" w:hAnsi="Aptos"/>
        </w:rPr>
      </w:pPr>
      <w:r>
        <w:rPr>
          <w:rFonts w:ascii="Aptos" w:hAnsi="Aptos"/>
        </w:rPr>
        <w:t xml:space="preserve">SSA parameterization lacks tropical validation — add research priorities: We added the OFRA-based tropical crop-response validation and note the limitations of appropriate datasets in the text.</w:t>
      </w:r>
    </w:p>
    <w:p w14:paraId="2B338A06" w14:textId="77777777" w:rsidR="00EE4E82" w:rsidRPr="0097218A" w:rsidRDefault="00000000">
      <w:pPr>
        <w:pStyle w:val="Heading3"/>
        <w:rPr>
          <w:rFonts w:ascii="Aptos" w:hAnsi="Aptos"/>
          <w:b w:val="0"/>
          <w:bCs w:val="0"/>
        </w:rPr>
      </w:pPr>
      <w:bookmarkStart w:id="20" w:name="conclusion"/>
      <w:bookmarkEnd w:id="19"/>
      <w:r>
        <w:rPr>
          <w:rFonts w:ascii="Aptos" w:hAnsi="Aptos"/>
          <w:b w:val="0"/>
          <w:bCs w:val="0"/>
        </w:rPr>
        <w:t>Conclusion</w:t>
      </w:r>
    </w:p>
    <w:p w14:paraId="7342C518" w14:textId="77777777" w:rsidR="00EE4E82" w:rsidRPr="0097218A" w:rsidRDefault="00000000">
      <w:pPr>
        <w:pStyle w:val="Compact"/>
        <w:numPr>
          <w:ilvl w:val="0"/>
          <w:numId w:val="13"/>
        </w:numPr>
        <w:rPr>
          <w:rFonts w:ascii="Aptos" w:hAnsi="Aptos"/>
        </w:rPr>
      </w:pPr>
      <w:r>
        <w:rPr>
          <w:rFonts w:ascii="Aptos" w:hAnsi="Aptos"/>
        </w:rPr>
        <w:t>Add a priority-research-directions sentence: added (targeted empirical work in low-SOC, high-exposure regions with refined regional parameterization of the soil-N depletion feedback).</w:t>
      </w:r>
    </w:p>
    <w:p w14:paraId="63901D68" w14:textId="77777777" w:rsidR="00EE4E82" w:rsidRPr="0097218A" w:rsidRDefault="00000000">
      <w:pPr>
        <w:pStyle w:val="Compact"/>
        <w:numPr>
          <w:ilvl w:val="0"/>
          <w:numId w:val="13"/>
        </w:numPr>
        <w:rPr>
          <w:rFonts w:ascii="Aptos" w:hAnsi="Aptos"/>
        </w:rPr>
      </w:pPr>
      <w:r>
        <w:rPr>
          <w:rFonts w:ascii="Aptos" w:hAnsi="Aptos"/>
        </w:rPr>
        <w:t>No new data/interpretation in the Conclusion: checked and confirmed; any figures/numbers appearing there also appear in Results or Discussion.</w:t>
      </w:r>
    </w:p>
    <w:p w14:paraId="2AC50A01" w14:textId="77777777" w:rsidR="00EE4E82" w:rsidRPr="0097218A" w:rsidRDefault="00000000">
      <w:pPr>
        <w:pStyle w:val="Heading3"/>
        <w:rPr>
          <w:rFonts w:ascii="Aptos" w:hAnsi="Aptos"/>
          <w:b w:val="0"/>
          <w:bCs w:val="0"/>
        </w:rPr>
      </w:pPr>
      <w:bookmarkStart w:id="21" w:name="language-formatting-proofreading"/>
      <w:bookmarkEnd w:id="20"/>
      <w:r>
        <w:rPr>
          <w:rFonts w:ascii="Aptos" w:hAnsi="Aptos"/>
          <w:b w:val="0"/>
          <w:bCs w:val="0"/>
        </w:rPr>
        <w:t>Language, formatting, proofreading</w:t>
      </w:r>
    </w:p>
    <w:p w14:paraId="641D9F6E" w14:textId="77777777" w:rsidR="00EE4E82" w:rsidRPr="0097218A" w:rsidRDefault="00000000">
      <w:pPr>
        <w:pStyle w:val="Compact"/>
        <w:numPr>
          <w:ilvl w:val="0"/>
          <w:numId w:val="14"/>
        </w:numPr>
        <w:rPr>
          <w:rFonts w:ascii="Aptos" w:hAnsi="Aptos"/>
        </w:rPr>
      </w:pPr>
      <w:r>
        <w:rPr>
          <w:rFonts w:ascii="Aptos" w:hAnsi="Aptos"/>
        </w:rPr>
        <w:t>Abstract “their effects depend partly on how much nitrogen soils can supply” → “the extent to which soils can supply nitrogen.”</w:t>
      </w:r>
    </w:p>
    <w:p w14:paraId="5F7A1B59" w14:textId="77777777" w:rsidR="00EE4E82" w:rsidRPr="0097218A" w:rsidRDefault="00000000">
      <w:pPr>
        <w:pStyle w:val="Compact"/>
        <w:numPr>
          <w:ilvl w:val="0"/>
          <w:numId w:val="14"/>
        </w:numPr>
        <w:rPr>
          <w:rFonts w:ascii="Aptos" w:hAnsi="Aptos"/>
        </w:rPr>
      </w:pPr>
      <w:r>
        <w:rPr>
          <w:rFonts w:ascii="Aptos" w:hAnsi="Aptos"/>
        </w:rPr>
        <w:t>Introduction “we use SOC as the observable stock proxy” → “we use SOC as a proxy for the observable stock.”</w:t>
      </w:r>
    </w:p>
    <w:p w14:paraId="184E6F1E" w14:textId="489EFBE5" w:rsidR="00EE4E82" w:rsidRPr="0097218A" w:rsidRDefault="003300FC">
      <w:pPr>
        <w:rPr>
          <w:rFonts w:ascii="Aptos" w:hAnsi="Aptos"/>
        </w:rPr>
      </w:pPr>
      <w:r>
        <w:rPr>
          <w:noProof/>
        </w:rPr>
        <mc:AlternateContent>
          <mc:Choice Requires="wps">
            <w:drawing>
              <wp:inline distT="0" distB="0" distL="0" distR="0" wp14:anchorId="7FEF8E2A" wp14:editId="69C1BDE5">
                <wp:extent cx="5943600" cy="13970"/>
                <wp:effectExtent l="9525" t="5080" r="9525" b="9525"/>
                <wp:docPr id="430424485"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28D36AE"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4098680" w14:textId="24269E8A" w:rsidR="00EE4E82" w:rsidRPr="0097218A" w:rsidRDefault="00000000">
      <w:pPr>
        <w:pStyle w:val="Heading2"/>
        <w:rPr>
          <w:rFonts w:ascii="Aptos" w:hAnsi="Aptos"/>
          <w:b w:val="0"/>
          <w:bCs w:val="0"/>
        </w:rPr>
      </w:pPr>
      <w:bookmarkStart w:id="22" w:name="X4a9e0c156fb6a4aaf900a3d41e867be1758d5b8"/>
      <w:bookmarkEnd w:id="13"/>
      <w:bookmarkEnd w:id="21"/>
      <w:r>
        <w:rPr>
          <w:rFonts w:ascii="Aptos" w:hAnsi="Aptos"/>
          <w:b w:val="0"/>
          <w:bCs w:val="0"/>
        </w:rPr>
        <w:t xml:space="preserve">Analysis and figure tasks in this revision </w:t>
      </w:r>
    </w:p>
    <w:p w14:paraId="4C79A39B" w14:textId="79C55223" w:rsidR="00EE4E82" w:rsidRPr="0097218A" w:rsidRDefault="00000000">
      <w:pPr>
        <w:pStyle w:val="FirstParagraph"/>
        <w:rPr>
          <w:rFonts w:ascii="Aptos" w:hAnsi="Aptos"/>
        </w:rPr>
      </w:pPr>
      <w:r>
        <w:rPr>
          <w:rFonts w:ascii="Aptos" w:hAnsi="Aptos"/>
        </w:rPr>
        <w:t xml:space="preserve">Five </w:t>
      </w:r>
      <w:r>
        <w:rPr>
          <w:rFonts w:ascii="Aptos" w:hAnsi="Aptos"/>
        </w:rPr>
        <w:t xml:space="preserve">items in this revision in addition to textual modifications and additions:</w:t>
      </w:r>
    </w:p>
    <w:p w14:paraId="7186599B" w14:textId="39A9D9DB" w:rsidR="00EE4E82" w:rsidRPr="0097218A" w:rsidRDefault="00000000">
      <w:pPr>
        <w:pStyle w:val="Compact"/>
        <w:numPr>
          <w:ilvl w:val="0"/>
          <w:numId w:val="15"/>
        </w:numPr>
        <w:rPr>
          <w:rFonts w:ascii="Aptos" w:hAnsi="Aptos"/>
        </w:rPr>
      </w:pPr>
      <w:r>
        <w:rPr>
          <w:rFonts w:ascii="Aptos" w:hAnsi="Aptos"/>
        </w:rPr>
        <w:t xml:space="preserve">Tropical crop-response validation. The modeled SSA fertilizer-response was checked against the OFRA on-farm database (364 maize–nitrogen response functions); the modeled response is consistent with and conservative relative to the </w:t>
        <w:lastRenderedPageBreak/>
        <w:t>observed envelope (new SI figure). This closes R2(iii) and R2’s SSA-validation concern.</w:t>
      </w:r>
    </w:p>
    <w:p w14:paraId="4A288984" w14:textId="72652DC9" w:rsidR="00EE4E82" w:rsidRPr="0097218A" w:rsidRDefault="00000000">
      <w:pPr>
        <w:pStyle w:val="Compact"/>
        <w:numPr>
          <w:ilvl w:val="0"/>
          <w:numId w:val="15"/>
        </w:numPr>
        <w:rPr>
          <w:rFonts w:ascii="Aptos" w:hAnsi="Aptos"/>
        </w:rPr>
      </w:pPr>
      <w:r>
        <w:rPr>
          <w:rFonts w:ascii="Aptos" w:hAnsi="Aptos"/>
        </w:rPr>
        <w:t xml:space="preserve">Climate/soil-water provenance. The monthly climate inputs were re-derived from the ERA5 reanalysis (2001–2020 normals, Hargreaves PET) and the model re-run; </w:t>
      </w:r>
      <w:r>
        <w:rPr>
          <w:rFonts w:ascii="Aptos" w:hAnsi="Aptos"/>
        </w:rPr>
        <w:t xml:space="preserve">headline results are unchanged (max Δ </w:t>
      </w:r>
      <w:r>
        <w:rPr>
          <w:rFonts w:ascii="Aptos" w:hAnsi="Aptos"/>
        </w:rPr>
        <w:t xml:space="preserve">0.62 </w:t>
      </w:r>
      <w:r>
        <w:rPr>
          <w:rFonts w:ascii="Aptos" w:hAnsi="Aptos"/>
        </w:rPr>
        <w:t xml:space="preserve">pp; Spearman ρ = 0.98)</w:t>
      </w:r>
      <w:r>
        <w:rPr>
          <w:rFonts w:ascii="Aptos" w:hAnsi="Aptos"/>
        </w:rPr>
        <w:t xml:space="preserve">, with the ERA5 inputs now used directly in the Methods and the full old-versus-new comparison retained in the reproducibility archive as provenance.</w:t>
      </w:r>
    </w:p>
    <w:p w14:paraId="103070B0" w14:textId="5642FB98" w:rsidR="00EE4E82" w:rsidRPr="0097218A" w:rsidRDefault="00000000">
      <w:pPr>
        <w:pStyle w:val="Compact"/>
        <w:numPr>
          <w:ilvl w:val="0"/>
          <w:numId w:val="15"/>
        </w:numPr>
        <w:rPr>
          <w:rFonts w:ascii="Aptos" w:hAnsi="Aptos"/>
        </w:rPr>
      </w:pPr>
      <w:r>
        <w:rPr>
          <w:rFonts w:ascii="Aptos" w:hAnsi="Aptos"/>
        </w:rPr>
        <w:t>Figure S1 redraw. The model schematic was rebuilt with a single explicit water-stress path and no decorative connectors.</w:t>
      </w:r>
    </w:p>
    <w:p w14:paraId="2D5FBA59" w14:textId="6988F5EC" w:rsidR="00EE4E82" w:rsidRPr="0097218A" w:rsidRDefault="00000000">
      <w:pPr>
        <w:pStyle w:val="Compact"/>
        <w:numPr>
          <w:ilvl w:val="0"/>
          <w:numId w:val="15"/>
        </w:numPr>
        <w:rPr>
          <w:rFonts w:ascii="Aptos" w:hAnsi="Aptos"/>
        </w:rPr>
      </w:pPr>
      <w:r>
        <w:rPr>
          <w:rFonts w:ascii="Aptos" w:hAnsi="Aptos"/>
        </w:rPr>
        <w:t xml:space="preserve">Figure S6 correction. The buffer-ratio panel annotation </w:t>
      </w:r>
      <w:r>
        <w:rPr>
          <w:rFonts w:ascii="Aptos" w:hAnsi="Aptos"/>
        </w:rPr>
        <w:t xml:space="preserve">reads </w:t>
      </w:r>
      <w:r>
        <w:rPr>
          <w:rFonts w:ascii="Aptos" w:hAnsi="Aptos"/>
        </w:rPr>
        <w:t xml:space="preserve">Spearman ρ = </w:t>
      </w:r>
      <w:r>
        <w:rPr>
          <w:rFonts w:ascii="Aptos" w:hAnsi="Aptos"/>
        </w:rPr>
        <w:t xml:space="preserve">+0.19 </w:t>
      </w:r>
      <w:r>
        <w:rPr>
          <w:rFonts w:ascii="Aptos" w:hAnsi="Aptos"/>
        </w:rPr>
        <w:t xml:space="preserve">(Pearson R² = </w:t>
      </w:r>
      <w:r>
        <w:rPr>
          <w:rFonts w:ascii="Aptos" w:hAnsi="Aptos"/>
        </w:rPr>
        <w:t xml:space="preserve">0.10) in the final regenerated figure, </w:t>
      </w:r>
      <w:r>
        <w:rPr>
          <w:rFonts w:ascii="Aptos" w:hAnsi="Aptos"/>
        </w:rPr>
        <w:t xml:space="preserve">consistent with the revised SI </w:t>
      </w:r>
      <w:r>
        <w:rPr>
          <w:rFonts w:ascii="Aptos" w:hAnsi="Aptos"/>
        </w:rPr>
        <w:t xml:space="preserve">text </w:t>
      </w:r>
      <w:r>
        <w:rPr>
          <w:rFonts w:ascii="Aptos" w:hAnsi="Aptos"/>
        </w:rPr>
        <w:t xml:space="preserve">and </w:t>
      </w:r>
      <w:r>
        <w:rPr>
          <w:rFonts w:ascii="Aptos" w:hAnsi="Aptos"/>
        </w:rPr>
        <w:t xml:space="preserve">Supplementary </w:t>
      </w:r>
      <w:r>
        <w:rPr>
          <w:rFonts w:ascii="Aptos" w:hAnsi="Aptos"/>
        </w:rPr>
        <w:t xml:space="preserve">Table 3; </w:t>
      </w:r>
      <w:r>
        <w:rPr>
          <w:rFonts w:ascii="Aptos" w:hAnsi="Aptos"/>
        </w:rPr>
        <w:t xml:space="preserve">earlier drafts of </w:t>
      </w:r>
      <w:r>
        <w:rPr>
          <w:rFonts w:ascii="Aptos" w:hAnsi="Aptos"/>
        </w:rPr>
        <w:t xml:space="preserve">the </w:t>
      </w:r>
      <w:r>
        <w:rPr>
          <w:rFonts w:ascii="Aptos" w:hAnsi="Aptos"/>
        </w:rPr>
        <w:t xml:space="preserve">figure and letter carried </w:t>
      </w:r>
      <w:r>
        <w:rPr>
          <w:rFonts w:ascii="Aptos" w:hAnsi="Aptos"/>
        </w:rPr>
        <w:t xml:space="preserve">mislabeled </w:t>
      </w:r>
      <w:r>
        <w:rPr>
          <w:rFonts w:ascii="Aptos" w:hAnsi="Aptos"/>
        </w:rPr>
        <w:t xml:space="preserve">or stale values.</w:t>
      </w:r>
    </w:p>
    <w:p>
      <w:pPr>
        <w:rPr/>
      </w:pPr>
      <w:r>
        <w:t xml:space="preserve">Market-clearing consistency. In the course of this revision we identified, and removed, an internal inconsistency in the economic component: the food price was solved against a log-linear (Cobb–Douglas) approximation of the production response, while reported production came from the nonlinear biophysical model, so the price cleared a production change that differed from the reported one by up to 1.5 percentage points in year 1 (about 0.2 percentage points in the chronic phase). The market-clearing price is now solved directly against the biophysical production response by numerical root-finding at every timestep, so the reported yields and the production changes implicit in the food-price responses are the same quantity by construction (clearing residual below 10⁻⁸ at every step). Adopting the consistent clearing left all yield trajectories unchanged to reported precision (largest movement 0.05 percentage points) and raised year-10 food-price responses by roughly 1–2 percentage points in most regions. Final verification also caught a configuration error in which the soil-N depletion elasticity documented in the SI </w:t>
      </w:r>
      <w:r>
        <w:t xml:space="preserve">(εF,N </w:t>
      </w:r>
      <w:r>
        <w:t xml:space="preserve">= </w:t>
      </w:r>
      <w:r>
        <w:t xml:space="preserve">−0.50; </w:t>
      </w:r>
      <w:r>
        <w:t xml:space="preserve">active in S3, </w:t>
      </w:r>
      <w:r>
        <w:t xml:space="preserve">SC1, </w:t>
      </w:r>
      <w:r>
        <w:t xml:space="preserve">and SC2)</w:t>
      </w:r>
      <w:r>
        <w:t xml:space="preserve"> was set to zero in the code; the documented value is restored, and with it global year-10 loss is 3.0% and the one-year-pulse year-5 residual is 0.01%. The joint-prior Monte Carlo ensemble was regenerated under the corrected clearing and audited prices. All affected figures in the manuscript and SI have been updated accordingly.</w:t>
      </w:r>
    </w:p>
    <w:p w14:paraId="68183054" w14:textId="5DE0FF2E" w:rsidR="00EE4E82" w:rsidRPr="0097218A" w:rsidRDefault="00000000" w:rsidP="0097218A">
      <w:pPr>
        <w:pStyle w:val="FirstParagraph"/>
        <w:rPr>
          <w:rFonts w:ascii="Aptos" w:hAnsi="Aptos"/>
        </w:rPr>
      </w:pPr>
      <w:r>
        <w:rPr>
          <w:rFonts w:ascii="Aptos" w:hAnsi="Aptos"/>
        </w:rPr>
        <w:t xml:space="preserve">We also trimmed the Supplementary Information of passages now stated in the main-text Methods (for example the farm-definition text), so that relocating the fundamentals into the main text reduces rather than duplicates length, directly addressing Referee 2’s point (v). Together with the structural relocation of the model fundamentals into the main text, we hope that these changes fully address the reviewers’ concerns while preserving the paper’s central, positively-received contribution.</w:t>
      </w:r>
      <w:bookmarkEnd w:id="0"/>
      <w:bookmarkEnd w:id="22"/>
    </w:p>
    <w:sectPr w:rsidR="00EE4E82" w:rsidRPr="0097218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C1DE" w14:textId="77777777" w:rsidR="00D80181" w:rsidRDefault="00D80181">
      <w:pPr>
        <w:spacing w:after="0"/>
      </w:pPr>
      <w:r>
        <w:separator/>
      </w:r>
    </w:p>
  </w:endnote>
  <w:endnote w:type="continuationSeparator" w:id="0">
    <w:p w14:paraId="33090142" w14:textId="77777777" w:rsidR="00D80181" w:rsidRDefault="00D801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717E5" w14:textId="77777777" w:rsidR="00D80181" w:rsidRDefault="00D80181">
      <w:r>
        <w:separator/>
      </w:r>
    </w:p>
  </w:footnote>
  <w:footnote w:type="continuationSeparator" w:id="0">
    <w:p w14:paraId="30E6C02B" w14:textId="77777777" w:rsidR="00D80181" w:rsidRDefault="00D801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97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6290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4DE07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232762">
    <w:abstractNumId w:val="0"/>
  </w:num>
  <w:num w:numId="2" w16cid:durableId="1781610234">
    <w:abstractNumId w:val="1"/>
  </w:num>
  <w:num w:numId="3" w16cid:durableId="370036365">
    <w:abstractNumId w:val="1"/>
  </w:num>
  <w:num w:numId="4" w16cid:durableId="121578608">
    <w:abstractNumId w:val="1"/>
  </w:num>
  <w:num w:numId="5" w16cid:durableId="913856121">
    <w:abstractNumId w:val="1"/>
  </w:num>
  <w:num w:numId="6" w16cid:durableId="1469978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617136">
    <w:abstractNumId w:val="1"/>
  </w:num>
  <w:num w:numId="8" w16cid:durableId="1585728086">
    <w:abstractNumId w:val="1"/>
  </w:num>
  <w:num w:numId="9" w16cid:durableId="739256388">
    <w:abstractNumId w:val="1"/>
  </w:num>
  <w:num w:numId="10" w16cid:durableId="2049641502">
    <w:abstractNumId w:val="1"/>
  </w:num>
  <w:num w:numId="11" w16cid:durableId="667245703">
    <w:abstractNumId w:val="1"/>
  </w:num>
  <w:num w:numId="12" w16cid:durableId="1258709904">
    <w:abstractNumId w:val="1"/>
  </w:num>
  <w:num w:numId="13" w16cid:durableId="89085953">
    <w:abstractNumId w:val="1"/>
  </w:num>
  <w:num w:numId="14" w16cid:durableId="312834552">
    <w:abstractNumId w:val="1"/>
  </w:num>
  <w:num w:numId="15" w16cid:durableId="13141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ning, Dale">
    <w15:presenceInfo w15:providerId="AD" w15:userId="S::dmanni16@utk.edu::06ea6679-e8cf-42db-8220-b24e5250c2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2"/>
    <w:rsid w:val="000F43D1"/>
    <w:rsid w:val="00116981"/>
    <w:rsid w:val="001B0956"/>
    <w:rsid w:val="003300FC"/>
    <w:rsid w:val="00376159"/>
    <w:rsid w:val="0045706E"/>
    <w:rsid w:val="004818A8"/>
    <w:rsid w:val="006B6BD4"/>
    <w:rsid w:val="007E31AE"/>
    <w:rsid w:val="00833C44"/>
    <w:rsid w:val="00964205"/>
    <w:rsid w:val="0097218A"/>
    <w:rsid w:val="00A06751"/>
    <w:rsid w:val="00A57849"/>
    <w:rsid w:val="00C46905"/>
    <w:rsid w:val="00D278C1"/>
    <w:rsid w:val="00D608FA"/>
    <w:rsid w:val="00D80181"/>
    <w:rsid w:val="00E76AB1"/>
    <w:rsid w:val="00EE4E82"/>
    <w:rsid w:val="00F3197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CB466"/>
  <w15:docId w15:val="{353F219E-FCE5-B643-B10F-3790DD502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116981"/>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rsid w:val="0045706E"/>
    <w:rPr>
      <w:sz w:val="16"/>
      <w:szCs w:val="16"/>
    </w:rPr>
  </w:style>
  <w:style w:type="paragraph" w:styleId="CommentText">
    <w:name w:val="annotation text"/>
    <w:basedOn w:val="Normal"/>
    <w:link w:val="CommentTextChar"/>
    <w:rsid w:val="0045706E"/>
    <w:rPr>
      <w:sz w:val="20"/>
      <w:szCs w:val="20"/>
    </w:rPr>
  </w:style>
  <w:style w:type="character" w:customStyle="1" w:styleId="CommentTextChar">
    <w:name w:val="Comment Text Char"/>
    <w:basedOn w:val="DefaultParagraphFont"/>
    <w:link w:val="CommentText"/>
    <w:rsid w:val="0045706E"/>
    <w:rPr>
      <w:sz w:val="20"/>
      <w:szCs w:val="20"/>
    </w:rPr>
  </w:style>
  <w:style w:type="paragraph" w:styleId="CommentSubject">
    <w:name w:val="annotation subject"/>
    <w:basedOn w:val="CommentText"/>
    <w:next w:val="CommentText"/>
    <w:link w:val="CommentSubjectChar"/>
    <w:rsid w:val="0045706E"/>
    <w:rPr>
      <w:b/>
      <w:bCs/>
    </w:rPr>
  </w:style>
  <w:style w:type="character" w:customStyle="1" w:styleId="CommentSubjectChar">
    <w:name w:val="Comment Subject Char"/>
    <w:basedOn w:val="CommentTextChar"/>
    <w:link w:val="CommentSubject"/>
    <w:rsid w:val="0045706E"/>
    <w:rPr>
      <w:b/>
      <w:bCs/>
      <w:sz w:val="20"/>
      <w:szCs w:val="20"/>
    </w:rPr>
  </w:style>
  <w:style w:type="paragraph" w:styleId="Revision">
    <w:name w:val="Revision"/>
    <w:hidden/>
    <w:rsid w:val="004570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d006307-e4a9-430f-af16-eea280431306}" enabled="1" method="Standard" siteId="{06219a4a-a835-44d5-afaf-3926343bfb89}" contentBits="0" removed="0"/>
</clbl:labelList>
</file>

<file path=docProps/app.xml><?xml version="1.0" encoding="utf-8"?>
<Properties xmlns="http://schemas.openxmlformats.org/officeDocument/2006/extended-properties" xmlns:vt="http://schemas.openxmlformats.org/officeDocument/2006/docPropsVTypes">
  <Template>Normal</Template>
  <TotalTime>23</TotalTime>
  <Pages>11</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Matthew Wallenstein</dc:creator>
  <cp:keywords/>
  <cp:lastModifiedBy>Matthew Wallenstein</cp:lastModifiedBy>
  <cp:revision>3</cp:revision>
  <dcterms:created xsi:type="dcterms:W3CDTF">2026-08-20T18:42:00Z</dcterms:created>
  <dcterms:modified xsi:type="dcterms:W3CDTF">2026-08-28T20:34:00Z</dcterms:modified>
</cp:coreProperties>
</file>