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43.xml" ContentType="application/vnd.openxmlformats-officedocument.wordprocessingml.header+xml"/>
  <Override PartName="/word/footer23.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56.xml" ContentType="application/vnd.openxmlformats-officedocument.wordprocessingml.header+xml"/>
  <Override PartName="/word/footer3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79.xml" ContentType="application/vnd.openxmlformats-officedocument.wordprocessingml.header+xml"/>
  <Override PartName="/word/footer59.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84.xml" ContentType="application/vnd.openxmlformats-officedocument.wordprocessingml.header+xml"/>
  <Override PartName="/word/footer6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101.xml" ContentType="application/vnd.openxmlformats-officedocument.wordprocessingml.header+xml"/>
  <Override PartName="/word/footer81.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110.xml" ContentType="application/vnd.openxmlformats-officedocument.wordprocessingml.header+xml"/>
  <Override PartName="/word/footer90.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25.xml" ContentType="application/vnd.openxmlformats-officedocument.wordprocessingml.header+xml"/>
  <Override PartName="/word/footer105.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28.xml" ContentType="application/vnd.openxmlformats-officedocument.wordprocessingml.header+xml"/>
  <Override PartName="/word/header129.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34.xml" ContentType="application/vnd.openxmlformats-officedocument.wordprocessingml.header+xml"/>
  <Override PartName="/word/header135.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120.xml" ContentType="application/vnd.openxmlformats-officedocument.wordprocessingml.footer+xml"/>
  <Override PartName="/word/footer121.xml" ContentType="application/vnd.openxmlformats-officedocument.wordprocessingml.footer+xml"/>
  <Override PartName="/word/header142.xml" ContentType="application/vnd.openxmlformats-officedocument.wordprocessingml.header+xml"/>
  <Override PartName="/word/footer122.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25.xml" ContentType="application/vnd.openxmlformats-officedocument.wordprocessingml.footer+xml"/>
  <Override PartName="/word/footer126.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153.xml" ContentType="application/vnd.openxmlformats-officedocument.wordprocessingml.header+xml"/>
  <Override PartName="/word/footer13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34.xml" ContentType="application/vnd.openxmlformats-officedocument.wordprocessingml.footer+xml"/>
  <Override PartName="/word/footer135.xml" ContentType="application/vnd.openxmlformats-officedocument.wordprocessingml.footer+xml"/>
  <Override PartName="/word/header156.xml" ContentType="application/vnd.openxmlformats-officedocument.wordprocessingml.header+xml"/>
  <Override PartName="/word/header15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58.xml" ContentType="application/vnd.openxmlformats-officedocument.wordprocessingml.header+xml"/>
  <Override PartName="/word/footer138.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61.xml" ContentType="application/vnd.openxmlformats-officedocument.wordprocessingml.header+xml"/>
  <Override PartName="/word/footer141.xml" ContentType="application/vnd.openxmlformats-officedocument.wordprocessingml.footer+xml"/>
  <Override PartName="/word/header162.xml" ContentType="application/vnd.openxmlformats-officedocument.wordprocessingml.header+xml"/>
  <Override PartName="/word/header16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64.xml" ContentType="application/vnd.openxmlformats-officedocument.wordprocessingml.header+xml"/>
  <Override PartName="/word/footer144.xml" ContentType="application/vnd.openxmlformats-officedocument.wordprocessingml.footer+xml"/>
  <Override PartName="/word/header165.xml" ContentType="application/vnd.openxmlformats-officedocument.wordprocessingml.header+xml"/>
  <Override PartName="/word/header16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67.xml" ContentType="application/vnd.openxmlformats-officedocument.wordprocessingml.header+xml"/>
  <Override PartName="/word/footer14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2898" w14:textId="77777777" w:rsidR="0072615D" w:rsidRDefault="0072615D">
      <w:pPr>
        <w:pStyle w:val="Heading21"/>
        <w:keepNext/>
        <w:keepLines/>
        <w:spacing w:before="740" w:after="360"/>
      </w:pPr>
      <w:bookmarkStart w:id="0" w:name="bookmark0"/>
      <w:bookmarkStart w:id="1" w:name="bookmark1"/>
      <w:bookmarkStart w:id="2" w:name="bookmark2"/>
      <w:r>
        <w:t>Dedicatoria</w:t>
      </w:r>
      <w:bookmarkEnd w:id="0"/>
      <w:bookmarkEnd w:id="1"/>
      <w:bookmarkEnd w:id="2"/>
    </w:p>
    <w:p w14:paraId="54B84681" w14:textId="77777777" w:rsidR="0072615D" w:rsidRDefault="0072615D">
      <w:pPr>
        <w:jc w:val="center"/>
        <w:rPr>
          <w:sz w:val="2"/>
          <w:szCs w:val="2"/>
        </w:rPr>
      </w:pPr>
      <w:r>
        <w:rPr>
          <w:noProof/>
        </w:rPr>
        <w:drawing>
          <wp:inline distT="0" distB="0" distL="0" distR="0" wp14:anchorId="333DFCB0" wp14:editId="6C13BE6E">
            <wp:extent cx="1029970" cy="145097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1029970" cy="1450975"/>
                    </a:xfrm>
                    <a:prstGeom prst="rect">
                      <a:avLst/>
                    </a:prstGeom>
                  </pic:spPr>
                </pic:pic>
              </a:graphicData>
            </a:graphic>
          </wp:inline>
        </w:drawing>
      </w:r>
    </w:p>
    <w:p w14:paraId="3C75A34C" w14:textId="77777777" w:rsidR="0072615D" w:rsidRDefault="0072615D">
      <w:pPr>
        <w:spacing w:after="659" w:line="1" w:lineRule="exact"/>
      </w:pPr>
    </w:p>
    <w:p w14:paraId="08066BAF" w14:textId="77777777" w:rsidR="0072615D" w:rsidRDefault="0072615D">
      <w:pPr>
        <w:pStyle w:val="BodyText"/>
        <w:ind w:firstLine="0"/>
      </w:pPr>
      <w:r>
        <w:t xml:space="preserve">La presente edición del </w:t>
      </w:r>
      <w:r>
        <w:rPr>
          <w:rFonts w:ascii="Times New Roman" w:eastAsia="Times New Roman" w:hAnsi="Times New Roman" w:cs="Times New Roman"/>
          <w:i/>
          <w:iCs/>
          <w:sz w:val="16"/>
          <w:szCs w:val="16"/>
        </w:rPr>
        <w:t>Red Book</w:t>
      </w:r>
      <w:r>
        <w:t xml:space="preserve"> la dedicamos al Dr. Georges Peter, FAAP, quien ha trabajo 21 años en el Comité de Enfermedades Infecciosas </w:t>
      </w:r>
      <w:r>
        <w:rPr>
          <w:i/>
          <w:iCs/>
        </w:rPr>
        <w:t>(</w:t>
      </w:r>
      <w:r>
        <w:rPr>
          <w:rFonts w:ascii="Times New Roman" w:eastAsia="Times New Roman" w:hAnsi="Times New Roman" w:cs="Times New Roman"/>
          <w:i/>
          <w:iCs/>
          <w:sz w:val="16"/>
          <w:szCs w:val="16"/>
        </w:rPr>
        <w:t>Committee on Infectious Diseases</w:t>
      </w:r>
      <w:r>
        <w:rPr>
          <w:i/>
          <w:iCs/>
        </w:rPr>
        <w:t>,</w:t>
      </w:r>
      <w:r>
        <w:t xml:space="preserve"> COID) y que ha coordinado cinco ediciones (20</w:t>
      </w:r>
      <w:r>
        <w:rPr>
          <w:vertAlign w:val="superscript"/>
        </w:rPr>
        <w:t>a</w:t>
      </w:r>
      <w:r>
        <w:t xml:space="preserve"> a 24</w:t>
      </w:r>
      <w:r>
        <w:rPr>
          <w:vertAlign w:val="superscript"/>
        </w:rPr>
        <w:t>a</w:t>
      </w:r>
      <w:r>
        <w:t xml:space="preserve">) del </w:t>
      </w:r>
      <w:r>
        <w:rPr>
          <w:rFonts w:ascii="Times New Roman" w:eastAsia="Times New Roman" w:hAnsi="Times New Roman" w:cs="Times New Roman"/>
          <w:i/>
          <w:iCs/>
          <w:sz w:val="16"/>
          <w:szCs w:val="16"/>
        </w:rPr>
        <w:t xml:space="preserve">Red Book </w:t>
      </w:r>
      <w:r>
        <w:t>(1986-1997). Durante su gestión en COID el Dr. Peter trabajó con ocho directores generales de dicho comité y otros asociados más, lo que aseguró la continuidad y la coherencia institucional del libro que comentamos y también la de muchos temas considerados por ese comité. Nuestro homenajeado llevó tal labor a cabo sin desatender sus tareas de profesor de tiempo completo en el Departamento de Pediatría de la Escuela de Medicina de la Universidad Brown del Hospital Rhode Island.</w:t>
      </w:r>
    </w:p>
    <w:p w14:paraId="795DE094" w14:textId="77777777" w:rsidR="0072615D" w:rsidRDefault="0072615D">
      <w:pPr>
        <w:pStyle w:val="BodyText"/>
        <w:ind w:firstLine="360"/>
      </w:pPr>
      <w:r>
        <w:t>La primera edición que coordinó el Dr. Peter en 1986 tenía más de 500 páginas. Fue la primera en poseer la estructura de cinco secciones que tiene desde esa fecha; de 1986 a 1997 se sucedieron innumerables cambios en el campo de la pediatría, en particular en el de las enfermedades infecciosas y las vacunaciones. Incluyeron la identificación de enfermedades o síndromes clínicos nuevos, métodos rápidos de diagnóstico, terapias recientes y adelantos en la prevención, en especial en el área de inmunizaciones. Los cambios estructurales que introdujo el Dr. Peter permitieron tener acceso fácil a la información y en particular, a la más actualizada, lo cual se tradujo en beneficios para los profesionales en este terreno.</w:t>
      </w:r>
    </w:p>
    <w:p w14:paraId="217D7CF6" w14:textId="77777777" w:rsidR="0072615D" w:rsidRDefault="0072615D">
      <w:pPr>
        <w:pStyle w:val="BodyText"/>
        <w:ind w:firstLine="360"/>
      </w:pPr>
      <w:r>
        <w:t xml:space="preserve">Detrás de cada gran hombre hay una gran mujer. En este caso se trata de Carolyn, que ha sido la esposa de George durante 39 años, en los que ella le ha brindado ininterrumpidamente apoyo, aliento y paciencia y que han permitido la consecución plena de las metas que él se trazó. Ella ha descrito a su marido como “un hombre que se apasiona en todo lo que hace”. El </w:t>
      </w:r>
      <w:r>
        <w:rPr>
          <w:rFonts w:ascii="Times New Roman" w:eastAsia="Times New Roman" w:hAnsi="Times New Roman" w:cs="Times New Roman"/>
          <w:i/>
          <w:iCs/>
          <w:sz w:val="16"/>
          <w:szCs w:val="16"/>
        </w:rPr>
        <w:t>Red Book</w:t>
      </w:r>
      <w:r>
        <w:t xml:space="preserve"> ha ocupado el segundo lugar en la vida del Dr. Peter y todos hemos sido beneficiados por esa preferencia. Le expresamos nuestra gratitud perenne y nos honramos en dedicarle esta vigesimosexta edición del </w:t>
      </w:r>
      <w:r>
        <w:rPr>
          <w:rFonts w:ascii="Times New Roman" w:eastAsia="Times New Roman" w:hAnsi="Times New Roman" w:cs="Times New Roman"/>
          <w:i/>
          <w:iCs/>
          <w:sz w:val="16"/>
          <w:szCs w:val="16"/>
        </w:rPr>
        <w:t>Red Book</w:t>
      </w:r>
      <w:r>
        <w:t>. Gracias, Dr. Georges Peter.</w:t>
      </w:r>
    </w:p>
    <w:p w14:paraId="662FB21F" w14:textId="77777777" w:rsidR="0072615D" w:rsidRDefault="0072615D">
      <w:pPr>
        <w:pStyle w:val="Heading21"/>
        <w:keepNext/>
        <w:keepLines/>
      </w:pPr>
      <w:bookmarkStart w:id="3" w:name="bookmark3"/>
      <w:bookmarkStart w:id="4" w:name="bookmark4"/>
      <w:bookmarkStart w:id="5" w:name="bookmark5"/>
      <w:r>
        <w:t>Prefacio</w:t>
      </w:r>
      <w:bookmarkEnd w:id="3"/>
      <w:bookmarkEnd w:id="4"/>
      <w:bookmarkEnd w:id="5"/>
    </w:p>
    <w:p w14:paraId="4ED13769" w14:textId="77777777" w:rsidR="0072615D" w:rsidRDefault="0072615D">
      <w:pPr>
        <w:pStyle w:val="BodyText"/>
        <w:ind w:firstLine="0"/>
      </w:pPr>
      <w:r>
        <w:t xml:space="preserve">El Comité de Enfermedades Infecciosas (COID) tiene como tarea dar a los especialistas de este campo y a otros médicos la información más actual y exacta con que se cuenta hasta el momento. La práctica de la infectología pediátrica muestra cambios rápidos, y ante la aparición de nuevas enfermedades infecciosas, podemos advertir que asume máxima importancia la capacidad de contar inmediatamente con cualquier tipo de información. El </w:t>
      </w:r>
      <w:r>
        <w:rPr>
          <w:rFonts w:ascii="Times New Roman" w:eastAsia="Times New Roman" w:hAnsi="Times New Roman" w:cs="Times New Roman"/>
          <w:i/>
          <w:iCs/>
          <w:sz w:val="16"/>
          <w:szCs w:val="16"/>
        </w:rPr>
        <w:t>Red Book</w:t>
      </w:r>
      <w:r>
        <w:t xml:space="preserve"> es actualizado cada tres años, pero es importante que los profesionales que atienden niños visiten periódicamente la página Web de AAP (</w:t>
      </w:r>
      <w:hyperlink r:id="rId8" w:history="1">
        <w:r>
          <w:t>www.aap.org</w:t>
        </w:r>
      </w:hyperlink>
      <w:r>
        <w:t>) y la nueva página Web Online de Red Book (</w:t>
      </w:r>
      <w:hyperlink r:id="rId9" w:history="1">
        <w:r>
          <w:t>www.aapredbook.org</w:t>
        </w:r>
      </w:hyperlink>
      <w:r>
        <w:t>), en las cuales se suministran datos de actualización provisionales.</w:t>
      </w:r>
    </w:p>
    <w:p w14:paraId="4B47A36A" w14:textId="77777777" w:rsidR="0072615D" w:rsidRDefault="0072615D">
      <w:pPr>
        <w:pStyle w:val="BodyText"/>
        <w:ind w:firstLine="360"/>
      </w:pPr>
      <w:r>
        <w:t xml:space="preserve">El Comité de Enfermedades Infecciosas se basa en la información y la orientación que aportan los innumerables expertos que integran su lista de participantes. Expresamos nuestro agradecimiento a todas las personas de otros comités de AAP, the Center for Disease Control and Prevention, the Food and Drug Administration, the National Institutes of Health, the Canadian Paediatric Society, Organización Mundial de la Salud (OMS) y otras muchas instituciones que permitieron la publicación de este texto. Además, se han tomado en consideración las muchas sugerencias hechas por miembros individuales de AAP que mejoraron la presentación de datos sobre puntos específicos, bajo el atinado liderazgo de Larry K. Pickering, MD, director, y los directores asociados Carol J. Baker, MD, Gary D. Overturf, MD y Charles G. Prober, MD. También agradecemos a Edgar O. Ledbetter, MD, las muchas horas que dedicó a reunir los materiales gráficos que son parte de la versión electrónica de </w:t>
      </w:r>
      <w:r>
        <w:rPr>
          <w:rFonts w:ascii="Times New Roman" w:eastAsia="Times New Roman" w:hAnsi="Times New Roman" w:cs="Times New Roman"/>
          <w:i/>
          <w:iCs/>
          <w:sz w:val="16"/>
          <w:szCs w:val="16"/>
        </w:rPr>
        <w:t>Red Book</w:t>
      </w:r>
      <w:r>
        <w:t xml:space="preserve"> y que brindó su auxilio utilísimo a esta edición.</w:t>
      </w:r>
    </w:p>
    <w:p w14:paraId="16550568" w14:textId="77777777" w:rsidR="0072615D" w:rsidRDefault="0072615D">
      <w:pPr>
        <w:pStyle w:val="BodyText"/>
        <w:spacing w:after="440"/>
        <w:ind w:firstLine="360"/>
      </w:pPr>
      <w:r>
        <w:t>Como destacamos en las ediciones anteriores, son inevitables en un texto de esta índole algunas omisiones y errores. Abrigamos la esperanza de que los miembros de la AAP sigan auxiliando activamente al comité al sugerir formas específicas de mejorar la calidad de futuras ediciones.</w:t>
      </w:r>
    </w:p>
    <w:p w14:paraId="56BD2FD6" w14:textId="77777777" w:rsidR="0072615D" w:rsidRDefault="0072615D">
      <w:pPr>
        <w:pStyle w:val="BodyText"/>
        <w:ind w:firstLine="0"/>
        <w:jc w:val="center"/>
      </w:pPr>
      <w:r>
        <w:t>Jon S. Abramson, MD, FAAP</w:t>
      </w:r>
    </w:p>
    <w:p w14:paraId="32E10267" w14:textId="77777777" w:rsidR="0072615D" w:rsidRDefault="0072615D">
      <w:pPr>
        <w:pStyle w:val="BodyText"/>
        <w:spacing w:after="440"/>
        <w:ind w:firstLine="0"/>
        <w:jc w:val="center"/>
      </w:pPr>
      <w:r>
        <w:t>Director General, Comité de Enfermedades Infecciosas</w:t>
      </w:r>
    </w:p>
    <w:p w14:paraId="7D260534" w14:textId="77777777" w:rsidR="0072615D" w:rsidRDefault="0072615D">
      <w:pPr>
        <w:pStyle w:val="Heading21"/>
        <w:keepNext/>
        <w:keepLines/>
        <w:spacing w:after="460"/>
      </w:pPr>
      <w:bookmarkStart w:id="6" w:name="bookmark6"/>
      <w:bookmarkStart w:id="7" w:name="bookmark7"/>
      <w:bookmarkStart w:id="8" w:name="bookmark8"/>
      <w:r>
        <w:t>Introducción</w:t>
      </w:r>
      <w:bookmarkEnd w:id="6"/>
      <w:bookmarkEnd w:id="7"/>
      <w:bookmarkEnd w:id="8"/>
    </w:p>
    <w:p w14:paraId="36A28949" w14:textId="77777777" w:rsidR="0072615D" w:rsidRDefault="0072615D">
      <w:pPr>
        <w:pStyle w:val="BodyText"/>
        <w:spacing w:line="276" w:lineRule="auto"/>
        <w:ind w:firstLine="0"/>
      </w:pPr>
      <w:r>
        <w:t xml:space="preserve">El Comité de Enfermedades Infecciosas (COID) de la Academia Estadounidense de Pediatría </w:t>
      </w:r>
      <w:r>
        <w:rPr>
          <w:i/>
          <w:iCs/>
        </w:rPr>
        <w:t>(</w:t>
      </w:r>
      <w:r>
        <w:rPr>
          <w:rFonts w:ascii="Times New Roman" w:eastAsia="Times New Roman" w:hAnsi="Times New Roman" w:cs="Times New Roman"/>
          <w:i/>
          <w:iCs/>
          <w:sz w:val="16"/>
          <w:szCs w:val="16"/>
        </w:rPr>
        <w:t>American Academy of Pediatrics</w:t>
      </w:r>
      <w:r>
        <w:rPr>
          <w:i/>
          <w:iCs/>
        </w:rPr>
        <w:t>,</w:t>
      </w:r>
      <w:r>
        <w:t xml:space="preserve"> AAP) es el encargado de elaborar y revisar las directrices de dicha academia para el control de enfermedades infecciosas en niños. Cada tres años, aproximadamente, </w:t>
      </w:r>
      <w:r>
        <w:rPr>
          <w:rFonts w:ascii="Times New Roman" w:eastAsia="Times New Roman" w:hAnsi="Times New Roman" w:cs="Times New Roman"/>
          <w:i/>
          <w:iCs/>
          <w:sz w:val="16"/>
          <w:szCs w:val="16"/>
        </w:rPr>
        <w:t>el comité publica Red Book: Memoria del Comité de Enfermedades Infecciosas</w:t>
      </w:r>
      <w:r>
        <w:rPr>
          <w:i/>
          <w:iCs/>
        </w:rPr>
        <w:t>,</w:t>
      </w:r>
      <w:r>
        <w:t xml:space="preserve"> que contiene un resumen de las recomendaciones actuales que hace la Academia en cuanto a las enfermedades mencionadas y las inmunizaciones de lactantes, niños y adolescentes. Las recomendaciones en cuestión constituyen opiniones que en consenso plantean los miembros del comité junto con representantes de enlace del </w:t>
      </w:r>
      <w:r>
        <w:rPr>
          <w:rFonts w:ascii="Times New Roman" w:eastAsia="Times New Roman" w:hAnsi="Times New Roman" w:cs="Times New Roman"/>
          <w:i/>
          <w:iCs/>
          <w:sz w:val="16"/>
          <w:szCs w:val="16"/>
        </w:rPr>
        <w:t>Center for Disease Control and Prevention</w:t>
      </w:r>
      <w:r>
        <w:t xml:space="preserve"> (CDC), la </w:t>
      </w:r>
      <w:r>
        <w:rPr>
          <w:rFonts w:ascii="Times New Roman" w:eastAsia="Times New Roman" w:hAnsi="Times New Roman" w:cs="Times New Roman"/>
          <w:i/>
          <w:iCs/>
          <w:sz w:val="16"/>
          <w:szCs w:val="16"/>
        </w:rPr>
        <w:t xml:space="preserve">Food and Drug Administration </w:t>
      </w:r>
      <w:r>
        <w:t xml:space="preserve">(FDA), los </w:t>
      </w:r>
      <w:r>
        <w:rPr>
          <w:rFonts w:ascii="Times New Roman" w:eastAsia="Times New Roman" w:hAnsi="Times New Roman" w:cs="Times New Roman"/>
          <w:i/>
          <w:iCs/>
          <w:sz w:val="16"/>
          <w:szCs w:val="16"/>
        </w:rPr>
        <w:t>National Institutes of Health</w:t>
      </w:r>
      <w:r>
        <w:rPr>
          <w:i/>
          <w:iCs/>
        </w:rPr>
        <w:t>,</w:t>
      </w:r>
      <w:r>
        <w:t xml:space="preserve"> el </w:t>
      </w:r>
      <w:r>
        <w:rPr>
          <w:rFonts w:ascii="Times New Roman" w:eastAsia="Times New Roman" w:hAnsi="Times New Roman" w:cs="Times New Roman"/>
          <w:i/>
          <w:iCs/>
          <w:sz w:val="16"/>
          <w:szCs w:val="16"/>
        </w:rPr>
        <w:t>National Vaccine Program</w:t>
      </w:r>
      <w:r>
        <w:rPr>
          <w:i/>
          <w:iCs/>
        </w:rPr>
        <w:t>,</w:t>
      </w:r>
      <w:r>
        <w:t xml:space="preserve"> la </w:t>
      </w:r>
      <w:r>
        <w:rPr>
          <w:rFonts w:ascii="Times New Roman" w:eastAsia="Times New Roman" w:hAnsi="Times New Roman" w:cs="Times New Roman"/>
          <w:i/>
          <w:iCs/>
          <w:sz w:val="16"/>
          <w:szCs w:val="16"/>
        </w:rPr>
        <w:t>Canadian Paediatric Society</w:t>
      </w:r>
      <w:r>
        <w:rPr>
          <w:i/>
          <w:iCs/>
        </w:rPr>
        <w:t>,</w:t>
      </w:r>
      <w:r>
        <w:t xml:space="preserve"> los consultores del </w:t>
      </w:r>
      <w:r>
        <w:rPr>
          <w:rFonts w:ascii="Times New Roman" w:eastAsia="Times New Roman" w:hAnsi="Times New Roman" w:cs="Times New Roman"/>
          <w:i/>
          <w:iCs/>
          <w:sz w:val="16"/>
          <w:szCs w:val="16"/>
        </w:rPr>
        <w:t>Red Book</w:t>
      </w:r>
      <w:r>
        <w:t xml:space="preserve"> y numerosos colaboradores. La edición se ha basado en la información acumulada hasta enero de 2004.</w:t>
      </w:r>
    </w:p>
    <w:p w14:paraId="147996DB" w14:textId="77777777" w:rsidR="0072615D" w:rsidRDefault="0072615D">
      <w:pPr>
        <w:pStyle w:val="BodyText"/>
        <w:ind w:firstLine="360"/>
      </w:pPr>
      <w:r>
        <w:t>Algunas de las limitaciones propias de este texto son producto de dilemas científicos no resueltos, la complejidad de la práctica médica, la abundancia de información nueva y las diferencias inevitables de opinión entre los expertos. En el marco de tales limitaciones, el Comité se propone hacer recomendaciones actuales, importantes y defendibles para evitar y tratar las enfermedades infecciosas de lactantes, niños y adolescentes. En algunos casos, puede haber alguna diferencia con otros comités y expertos, en la interpretación de datos y las recomendaciones resultantes. En algunos casos es imposible hacer una sola recomendación, porque son igualmente aceptables diversas opciones de tratamiento.</w:t>
      </w:r>
    </w:p>
    <w:p w14:paraId="179D012A" w14:textId="77777777" w:rsidR="0072615D" w:rsidRDefault="0072615D">
      <w:pPr>
        <w:pStyle w:val="BodyText"/>
        <w:ind w:firstLine="360"/>
      </w:pPr>
      <w:r>
        <w:t xml:space="preserve">En sus recomendaciones dentro del </w:t>
      </w:r>
      <w:r>
        <w:rPr>
          <w:rFonts w:ascii="Times New Roman" w:eastAsia="Times New Roman" w:hAnsi="Times New Roman" w:cs="Times New Roman"/>
          <w:i/>
          <w:iCs/>
          <w:sz w:val="16"/>
          <w:szCs w:val="16"/>
        </w:rPr>
        <w:t>Red Book</w:t>
      </w:r>
      <w:r>
        <w:rPr>
          <w:i/>
          <w:iCs/>
        </w:rPr>
        <w:t>,</w:t>
      </w:r>
      <w:r>
        <w:t xml:space="preserve"> el Comité reconoce las diferencias señaladas en cuanto a opiniones y para ello se vale de las frases “casi todos los expertos recomiendan ...” y “algunos expertos recomiendan Ambas expresiones denotan recomendaciones válidas, pero la primera señala que existe un mayor apoyo entre los expertos, que es menor en la segunda frase. “Algunos expertos recomiendan ...” es una frase que denota un criterio minoritario que se basa en datos, experiencia o ambos elementos, pero que es lo suficientemente válido como para ser tomado en consideración.</w:t>
      </w:r>
    </w:p>
    <w:p w14:paraId="7D42652C" w14:textId="77777777" w:rsidR="0072615D" w:rsidRDefault="0072615D">
      <w:pPr>
        <w:pStyle w:val="BodyText"/>
        <w:ind w:firstLine="360"/>
      </w:pPr>
      <w:r>
        <w:t>Como aspecto inevitable de la práctica clínica surgen algunas dudas que es imposible solucionar con base en los datos disponibles hoy día. En tales casos, el Comité intenta plantear directrices y aportar información que, junto con el juicio clínico del profesionista, facilitará la toma de decisiones perfectamente fundadas. Agradecemos las preguntas, criterios y perspectivas diferentes y recomendaciones distintas que hemos recibido, y alentamos cualquier sugerencia o forma de correspondencia en virtud de las cuales mejorarán las futuras ediciones de este texto. Gracias al proceso en cuestión, uno de los objetivos del comité es brindar una guía práctica y autorizada para los médicos y otros profesionales asistenciales, en la atención de los niños.</w:t>
      </w:r>
    </w:p>
    <w:p w14:paraId="77303CAC" w14:textId="77777777" w:rsidR="0072615D" w:rsidRDefault="0072615D">
      <w:pPr>
        <w:pStyle w:val="BodyText"/>
        <w:ind w:firstLine="360"/>
        <w:sectPr w:rsidR="0072615D" w:rsidSect="0072615D">
          <w:pgSz w:w="8501" w:h="13022"/>
          <w:pgMar w:top="943" w:right="821" w:bottom="545" w:left="807" w:header="515" w:footer="117" w:gutter="0"/>
          <w:pgNumType w:start="1"/>
          <w:cols w:space="720"/>
          <w:noEndnote/>
          <w:docGrid w:linePitch="360"/>
        </w:sectPr>
      </w:pPr>
      <w:r>
        <w:t xml:space="preserve">Al surgir datos nuevos, inevitablemente comienza el proceso de envejecimiento de algunas recomendaciones en </w:t>
      </w:r>
      <w:r>
        <w:rPr>
          <w:rFonts w:ascii="Times New Roman" w:eastAsia="Times New Roman" w:hAnsi="Times New Roman" w:cs="Times New Roman"/>
          <w:i/>
          <w:iCs/>
          <w:sz w:val="16"/>
          <w:szCs w:val="16"/>
        </w:rPr>
        <w:t>Red Book</w:t>
      </w:r>
      <w:r>
        <w:t xml:space="preserve"> y obliga a que los profesionales en este campo se enteren de los adelantos y los cambios resultantes en ellas. Entre una edición y la </w:t>
      </w:r>
    </w:p>
    <w:p w14:paraId="10947DB6" w14:textId="77777777" w:rsidR="0072615D" w:rsidRDefault="0072615D">
      <w:pPr>
        <w:pStyle w:val="BodyText"/>
        <w:ind w:firstLine="0"/>
      </w:pPr>
      <w:r>
        <w:t xml:space="preserve">siguiente, AAP publica recomendaciones nuevas, recibidas del Comité, en publicaciones como </w:t>
      </w:r>
      <w:r>
        <w:rPr>
          <w:rFonts w:ascii="Times New Roman" w:eastAsia="Times New Roman" w:hAnsi="Times New Roman" w:cs="Times New Roman"/>
          <w:i/>
          <w:iCs/>
          <w:sz w:val="16"/>
          <w:szCs w:val="16"/>
        </w:rPr>
        <w:t>Pediatrics, AAP News</w:t>
      </w:r>
      <w:r>
        <w:t xml:space="preserve"> y en la página Web de AAP (</w:t>
      </w:r>
      <w:hyperlink r:id="rId10" w:history="1">
        <w:r>
          <w:t>www.aap.org</w:t>
        </w:r>
      </w:hyperlink>
      <w:r>
        <w:t>). En la edición presente hemos incluido direcciones de dicha página en todo el texto, para que el lector pueda tener acceso fácil y oportuno a información nueva.</w:t>
      </w:r>
    </w:p>
    <w:p w14:paraId="2BA75FE6" w14:textId="77777777" w:rsidR="0072615D" w:rsidRDefault="0072615D">
      <w:pPr>
        <w:pStyle w:val="BodyText"/>
        <w:ind w:firstLine="360"/>
      </w:pPr>
      <w:r>
        <w:t xml:space="preserve">Al utilizar los agentes antimicrobianos el médico debe revisar en primer lugar las recomendaciones impresas del fabricante (en las cajitas, folletos o en la misma presentación del producto), particularmente en busca de datos sobre contraindicaciones y reacciones adversas. En el </w:t>
      </w:r>
      <w:r>
        <w:rPr>
          <w:rFonts w:ascii="Times New Roman" w:eastAsia="Times New Roman" w:hAnsi="Times New Roman" w:cs="Times New Roman"/>
          <w:i/>
          <w:iCs/>
          <w:sz w:val="16"/>
          <w:szCs w:val="16"/>
        </w:rPr>
        <w:t>Red Book</w:t>
      </w:r>
      <w:r>
        <w:t xml:space="preserve"> no se ha hecho intento alguno de incluir toda la información comentada, pero se le puede obtener de algunas obras y publicaciones como </w:t>
      </w:r>
      <w:r>
        <w:rPr>
          <w:rFonts w:ascii="Times New Roman" w:eastAsia="Times New Roman" w:hAnsi="Times New Roman" w:cs="Times New Roman"/>
          <w:i/>
          <w:iCs/>
          <w:sz w:val="16"/>
          <w:szCs w:val="16"/>
        </w:rPr>
        <w:t>Physicians’ Desk Reference</w:t>
      </w:r>
      <w:r>
        <w:t xml:space="preserve"> en Estados Unidos (</w:t>
      </w:r>
      <w:hyperlink r:id="rId11" w:history="1">
        <w:r>
          <w:t>http://pdrel.thomsonhc.com/pdrel/</w:t>
        </w:r>
      </w:hyperlink>
      <w:r>
        <w:t xml:space="preserve"> librarian/action/command.Command), y en la información del fabricante en el envase o folleto del producto. Como en las ediciones anteriores, se incluyen las posologías recomendadas de los antimicrobianos (consultar la sección 4, Antimicrobianos y fármacos y similares). Las recomendaciones posológicas incluidas en el </w:t>
      </w:r>
      <w:r>
        <w:rPr>
          <w:rFonts w:ascii="Times New Roman" w:eastAsia="Times New Roman" w:hAnsi="Times New Roman" w:cs="Times New Roman"/>
          <w:i/>
          <w:iCs/>
          <w:sz w:val="16"/>
          <w:szCs w:val="16"/>
        </w:rPr>
        <w:t>Red Book</w:t>
      </w:r>
      <w:r>
        <w:t xml:space="preserve"> pueden diferir de las indicadas por el fabricante, en los datos de cada producto farmacéutico. Los médicos también deben conocer en detalle la información que suministra el fabricante, respecto a vacunas y concentrados de inmunoglobulinas, así como recomendaciones de otros comités (Fuentes de Información sobre Vacunas, sección 1).</w:t>
      </w:r>
    </w:p>
    <w:p w14:paraId="4F16B78C" w14:textId="77777777" w:rsidR="0072615D" w:rsidRDefault="0072615D">
      <w:pPr>
        <w:pStyle w:val="BodyText"/>
        <w:ind w:firstLine="360"/>
      </w:pPr>
      <w:r>
        <w:t xml:space="preserve">Este libro pudo materializarse gracias a la competencia profesional de personas como Edgar O. Ledbetter, MD, que fue el revisor designado por la Junta de Directores de AAP y por Modena E. H. Wilson, MD, MPH, directora del Departamento de Comités y Secciones, quienes hicieron sugerencias útiles y brindaron apoyo. También hay que reconocer la labor del personal de la AAP, por su dedicación y sus contribuciones, y destaca Martha Cook, directora, que se ocupó de los aspectos administrativos del comité y coordinó la preparación de </w:t>
      </w:r>
      <w:r>
        <w:rPr>
          <w:rFonts w:ascii="Times New Roman" w:eastAsia="Times New Roman" w:hAnsi="Times New Roman" w:cs="Times New Roman"/>
          <w:i/>
          <w:iCs/>
          <w:sz w:val="16"/>
          <w:szCs w:val="16"/>
        </w:rPr>
        <w:t>Red Book</w:t>
      </w:r>
      <w:r>
        <w:t>; Jennifer Pane, directora médica senior; Darlene Mattefs, asistente del departamento; Barbara Drelicharz, asistente divisional, y Peg Mulcahy, diseñadora gráfica. Damos también gracias a Tanya Lennon, asistente del director, por su trabajo, paciencia y apoyo, y a Mimi por su aliento incesante. Marc Fischer, MD, y Douglas Pratt, MD, de los CDC y FDA, respectivamente, dedicaron lapsos enormes y esfuerzo intenso para hacer aportaciones desde sus organizaciones. El director señala con gratitud particular a sus directores asociados, Carol J. Baker, MD, Gary D. Overturf, MD y Charles G. Prober, MD, por su experiencia, trabajo incansable y contribuciones inmensas en sus labores editoriales y del Comité. Georges Peter, MD y Walter A. Orenstein, MD, brindaron apoyo y orientación constantes. Los miembros del Comité dedicaron incontables horas y por ello merecen un reconocimiento a su dedicación, revisiones y análisis. El Comité aprecia en particular la orientación y dedicación de su director general, Jon Abramson, MD, cuyos conocimientos, dedicación, criterios y liderazgo se han reflejado en la gran calidad y productividad de tal organismo.</w:t>
      </w:r>
    </w:p>
    <w:p w14:paraId="358C4A28" w14:textId="77777777" w:rsidR="0072615D" w:rsidRDefault="0072615D">
      <w:pPr>
        <w:pStyle w:val="BodyText"/>
        <w:spacing w:after="220"/>
        <w:ind w:firstLine="360"/>
      </w:pPr>
      <w:r>
        <w:t>Agradecemos a los innumerables participantes su trabajo profesional y compromiso, elementos esenciales en la preparación de esta obra.</w:t>
      </w:r>
    </w:p>
    <w:p w14:paraId="6205A144" w14:textId="77777777" w:rsidR="0072615D" w:rsidRDefault="0072615D">
      <w:pPr>
        <w:pStyle w:val="BodyText"/>
        <w:ind w:left="3980" w:firstLine="0"/>
        <w:sectPr w:rsidR="0072615D" w:rsidSect="0072615D">
          <w:headerReference w:type="even" r:id="rId12"/>
          <w:headerReference w:type="default" r:id="rId13"/>
          <w:pgSz w:w="8501" w:h="13022"/>
          <w:pgMar w:top="943" w:right="821" w:bottom="545" w:left="807" w:header="0" w:footer="117" w:gutter="0"/>
          <w:pgNumType w:fmt="upperRoman" w:start="15"/>
          <w:cols w:space="720"/>
          <w:noEndnote/>
          <w:docGrid w:linePitch="360"/>
        </w:sectPr>
      </w:pPr>
      <w:r>
        <w:t>Larry K. Pickering, MD Director de la edición</w:t>
      </w:r>
    </w:p>
    <w:p w14:paraId="0D08AB83" w14:textId="77777777" w:rsidR="0072615D" w:rsidRDefault="0072615D">
      <w:pPr>
        <w:pStyle w:val="Heading21"/>
        <w:keepNext/>
        <w:keepLines/>
      </w:pPr>
      <w:bookmarkStart w:id="9" w:name="bookmark10"/>
      <w:bookmarkStart w:id="10" w:name="bookmark11"/>
      <w:bookmarkStart w:id="11" w:name="bookmark9"/>
      <w:r>
        <w:t>Contenido</w:t>
      </w:r>
      <w:bookmarkEnd w:id="9"/>
      <w:bookmarkEnd w:id="10"/>
      <w:bookmarkEnd w:id="11"/>
    </w:p>
    <w:p w14:paraId="20A87318" w14:textId="77777777" w:rsidR="0072615D" w:rsidRDefault="0072615D">
      <w:pPr>
        <w:pStyle w:val="Tableofcontents0"/>
        <w:tabs>
          <w:tab w:val="right" w:leader="dot" w:pos="6805"/>
        </w:tabs>
        <w:spacing w:after="260"/>
        <w:jc w:val="both"/>
      </w:pPr>
      <w:r>
        <w:fldChar w:fldCharType="begin"/>
      </w:r>
      <w:r>
        <w:instrText xml:space="preserve"> TOC \o "1-5" \h \z </w:instrText>
      </w:r>
      <w:r>
        <w:fldChar w:fldCharType="separate"/>
      </w:r>
      <w:hyperlink w:anchor="bookmark23" w:tooltip="Current Document">
        <w:r>
          <w:t xml:space="preserve">Aviso de cambios en </w:t>
        </w:r>
        <w:r>
          <w:rPr>
            <w:rFonts w:ascii="Times New Roman" w:eastAsia="Times New Roman" w:hAnsi="Times New Roman" w:cs="Times New Roman"/>
            <w:i/>
            <w:iCs/>
            <w:sz w:val="16"/>
            <w:szCs w:val="16"/>
          </w:rPr>
          <w:t>Red Book</w:t>
        </w:r>
        <w:r>
          <w:rPr>
            <w:i/>
            <w:iCs/>
          </w:rPr>
          <w:t>,</w:t>
        </w:r>
        <w:r>
          <w:t xml:space="preserve"> edición de 2003 </w:t>
        </w:r>
        <w:r>
          <w:tab/>
          <w:t xml:space="preserve"> xxiv</w:t>
        </w:r>
      </w:hyperlink>
    </w:p>
    <w:p w14:paraId="79542387" w14:textId="77777777" w:rsidR="0072615D" w:rsidRDefault="0072615D">
      <w:pPr>
        <w:pStyle w:val="Tableofcontents0"/>
        <w:jc w:val="both"/>
      </w:pPr>
      <w:r>
        <w:t>SECCIÓN 1</w:t>
      </w:r>
    </w:p>
    <w:p w14:paraId="2BE3DAA5" w14:textId="77777777" w:rsidR="0072615D" w:rsidRDefault="0072615D">
      <w:pPr>
        <w:pStyle w:val="Tableofcontents0"/>
        <w:spacing w:after="260"/>
        <w:jc w:val="both"/>
      </w:pPr>
      <w:r>
        <w:t>INMUNIZACIONES ACTIVA Y PASIVA</w:t>
      </w:r>
    </w:p>
    <w:p w14:paraId="5F47B54B" w14:textId="77777777" w:rsidR="0072615D" w:rsidRDefault="0072615D">
      <w:pPr>
        <w:pStyle w:val="Tableofcontents0"/>
        <w:tabs>
          <w:tab w:val="right" w:leader="dot" w:pos="6805"/>
        </w:tabs>
        <w:jc w:val="both"/>
      </w:pPr>
      <w:r>
        <w:t xml:space="preserve">Prólogo </w:t>
      </w:r>
      <w:r>
        <w:tab/>
        <w:t xml:space="preserve"> 1</w:t>
      </w:r>
    </w:p>
    <w:p w14:paraId="5D02F7C7" w14:textId="77777777" w:rsidR="0072615D" w:rsidRDefault="0072615D">
      <w:pPr>
        <w:pStyle w:val="Tableofcontents0"/>
        <w:tabs>
          <w:tab w:val="right" w:leader="dot" w:pos="6805"/>
        </w:tabs>
        <w:jc w:val="both"/>
      </w:pPr>
      <w:r>
        <w:t>Fuentes de información sobre vacunas</w:t>
      </w:r>
      <w:r>
        <w:tab/>
        <w:t xml:space="preserve"> 2</w:t>
      </w:r>
    </w:p>
    <w:p w14:paraId="55E87EF5" w14:textId="77777777" w:rsidR="0072615D" w:rsidRDefault="0072615D">
      <w:pPr>
        <w:pStyle w:val="Tableofcontents0"/>
        <w:tabs>
          <w:tab w:val="right" w:leader="dot" w:pos="6805"/>
        </w:tabs>
        <w:jc w:val="both"/>
      </w:pPr>
      <w:r>
        <w:t>Información a pacientes y sus padres</w:t>
      </w:r>
      <w:r>
        <w:tab/>
        <w:t xml:space="preserve"> 5</w:t>
      </w:r>
    </w:p>
    <w:p w14:paraId="535B6BE6" w14:textId="77777777" w:rsidR="0072615D" w:rsidRDefault="0072615D">
      <w:pPr>
        <w:pStyle w:val="Tableofcontents0"/>
        <w:tabs>
          <w:tab w:val="right" w:leader="dot" w:pos="6805"/>
        </w:tabs>
        <w:jc w:val="both"/>
      </w:pPr>
      <w:r>
        <w:t>Inmunización activa</w:t>
      </w:r>
      <w:r>
        <w:tab/>
        <w:t xml:space="preserve"> 7</w:t>
      </w:r>
    </w:p>
    <w:p w14:paraId="754729CC" w14:textId="77777777" w:rsidR="0072615D" w:rsidRDefault="0072615D">
      <w:pPr>
        <w:pStyle w:val="Tableofcontents0"/>
        <w:tabs>
          <w:tab w:val="right" w:leader="dot" w:pos="6805"/>
        </w:tabs>
        <w:ind w:firstLine="360"/>
        <w:jc w:val="both"/>
      </w:pPr>
      <w:r>
        <w:t xml:space="preserve">Agentes inmunizantes </w:t>
      </w:r>
      <w:r>
        <w:tab/>
        <w:t xml:space="preserve"> 10</w:t>
      </w:r>
    </w:p>
    <w:p w14:paraId="461B6FBE" w14:textId="77777777" w:rsidR="0072615D" w:rsidRDefault="0072615D">
      <w:pPr>
        <w:pStyle w:val="Tableofcontents0"/>
        <w:tabs>
          <w:tab w:val="right" w:leader="dot" w:pos="6805"/>
        </w:tabs>
        <w:ind w:firstLine="360"/>
        <w:jc w:val="both"/>
      </w:pPr>
      <w:r>
        <w:t>Manejo y almacenamiento de vacunas</w:t>
      </w:r>
      <w:r>
        <w:tab/>
        <w:t xml:space="preserve"> 11</w:t>
      </w:r>
    </w:p>
    <w:p w14:paraId="259AB6F3" w14:textId="77777777" w:rsidR="0072615D" w:rsidRDefault="0072615D">
      <w:pPr>
        <w:pStyle w:val="Tableofcontents0"/>
        <w:tabs>
          <w:tab w:val="right" w:leader="dot" w:pos="6805"/>
        </w:tabs>
        <w:ind w:firstLine="360"/>
        <w:jc w:val="both"/>
      </w:pPr>
      <w:r>
        <w:t>Administración de vacunas</w:t>
      </w:r>
      <w:r>
        <w:tab/>
        <w:t xml:space="preserve"> 18</w:t>
      </w:r>
    </w:p>
    <w:p w14:paraId="3B694379" w14:textId="77777777" w:rsidR="0072615D" w:rsidRDefault="0072615D">
      <w:pPr>
        <w:pStyle w:val="Tableofcontents0"/>
        <w:tabs>
          <w:tab w:val="left" w:leader="dot" w:pos="6120"/>
          <w:tab w:val="left" w:pos="6618"/>
        </w:tabs>
        <w:ind w:firstLine="360"/>
        <w:jc w:val="both"/>
      </w:pPr>
      <w:r>
        <w:t xml:space="preserve">Estrategias para disminuir el dolor de las inyecciones </w:t>
      </w:r>
      <w:r>
        <w:tab/>
      </w:r>
      <w:r>
        <w:tab/>
        <w:t>21</w:t>
      </w:r>
    </w:p>
    <w:p w14:paraId="504E3F77" w14:textId="77777777" w:rsidR="0072615D" w:rsidRDefault="0072615D">
      <w:pPr>
        <w:pStyle w:val="Tableofcontents0"/>
        <w:tabs>
          <w:tab w:val="right" w:leader="dot" w:pos="6805"/>
        </w:tabs>
        <w:ind w:firstLine="360"/>
        <w:jc w:val="both"/>
      </w:pPr>
      <w:r>
        <w:t>Calendario de vacunaciones</w:t>
      </w:r>
      <w:r>
        <w:tab/>
        <w:t xml:space="preserve"> 23</w:t>
      </w:r>
    </w:p>
    <w:p w14:paraId="64E58F25" w14:textId="77777777" w:rsidR="0072615D" w:rsidRDefault="0072615D">
      <w:pPr>
        <w:pStyle w:val="Tableofcontents0"/>
        <w:tabs>
          <w:tab w:val="right" w:leader="dot" w:pos="6805"/>
        </w:tabs>
        <w:ind w:firstLine="360"/>
        <w:jc w:val="both"/>
      </w:pPr>
      <w:r>
        <w:t xml:space="preserve">Edades e intervalos mínimos entre vacunaciones </w:t>
      </w:r>
      <w:r>
        <w:tab/>
        <w:t xml:space="preserve"> 25</w:t>
      </w:r>
    </w:p>
    <w:p w14:paraId="55B17341" w14:textId="77777777" w:rsidR="0072615D" w:rsidRDefault="0072615D">
      <w:pPr>
        <w:pStyle w:val="Tableofcontents0"/>
        <w:tabs>
          <w:tab w:val="right" w:leader="dot" w:pos="6805"/>
        </w:tabs>
        <w:ind w:firstLine="360"/>
        <w:jc w:val="both"/>
      </w:pPr>
      <w:r>
        <w:t xml:space="preserve">Posibilidad de intercambiar vacunas </w:t>
      </w:r>
      <w:r>
        <w:tab/>
        <w:t xml:space="preserve"> 34</w:t>
      </w:r>
    </w:p>
    <w:p w14:paraId="139F6546" w14:textId="77777777" w:rsidR="0072615D" w:rsidRDefault="0072615D">
      <w:pPr>
        <w:pStyle w:val="Tableofcontents0"/>
        <w:tabs>
          <w:tab w:val="right" w:leader="dot" w:pos="6805"/>
        </w:tabs>
        <w:ind w:firstLine="360"/>
        <w:jc w:val="both"/>
      </w:pPr>
      <w:r>
        <w:t>Administración simultánea de múltiples vacunas</w:t>
      </w:r>
      <w:r>
        <w:tab/>
        <w:t xml:space="preserve"> 35</w:t>
      </w:r>
    </w:p>
    <w:p w14:paraId="64FCEE0B" w14:textId="77777777" w:rsidR="0072615D" w:rsidRDefault="0072615D">
      <w:pPr>
        <w:pStyle w:val="Tableofcontents0"/>
        <w:tabs>
          <w:tab w:val="right" w:leader="dot" w:pos="6805"/>
        </w:tabs>
        <w:ind w:firstLine="360"/>
        <w:jc w:val="both"/>
      </w:pPr>
      <w:r>
        <w:t xml:space="preserve">Retrasos y omisiones en las vacunaciones </w:t>
      </w:r>
      <w:r>
        <w:tab/>
        <w:t xml:space="preserve"> 35</w:t>
      </w:r>
    </w:p>
    <w:p w14:paraId="5644FE00" w14:textId="77777777" w:rsidR="0072615D" w:rsidRDefault="0072615D">
      <w:pPr>
        <w:pStyle w:val="Tableofcontents0"/>
        <w:tabs>
          <w:tab w:val="left" w:leader="dot" w:pos="6120"/>
          <w:tab w:val="left" w:pos="6618"/>
        </w:tabs>
        <w:ind w:firstLine="360"/>
        <w:jc w:val="both"/>
      </w:pPr>
      <w:r>
        <w:t xml:space="preserve">Desconocimiento o incertidumbre respecto de vacunaciones </w:t>
      </w:r>
      <w:r>
        <w:tab/>
      </w:r>
      <w:r>
        <w:tab/>
        <w:t>35</w:t>
      </w:r>
    </w:p>
    <w:p w14:paraId="2FD13652" w14:textId="77777777" w:rsidR="0072615D" w:rsidRDefault="0072615D">
      <w:pPr>
        <w:pStyle w:val="Tableofcontents0"/>
        <w:tabs>
          <w:tab w:val="right" w:leader="dot" w:pos="6805"/>
        </w:tabs>
        <w:ind w:firstLine="360"/>
        <w:jc w:val="both"/>
      </w:pPr>
      <w:r>
        <w:t>Vacunaciones hechas fuera de Estados Unidos</w:t>
      </w:r>
      <w:r>
        <w:tab/>
        <w:t xml:space="preserve"> 36</w:t>
      </w:r>
    </w:p>
    <w:p w14:paraId="081DA5FC" w14:textId="77777777" w:rsidR="0072615D" w:rsidRDefault="0072615D">
      <w:pPr>
        <w:pStyle w:val="Tableofcontents0"/>
        <w:tabs>
          <w:tab w:val="right" w:leader="dot" w:pos="6805"/>
        </w:tabs>
        <w:ind w:firstLine="360"/>
        <w:jc w:val="both"/>
      </w:pPr>
      <w:r>
        <w:t>Dosis de vacunas</w:t>
      </w:r>
      <w:r>
        <w:tab/>
        <w:t xml:space="preserve"> 36</w:t>
      </w:r>
    </w:p>
    <w:p w14:paraId="74755EE1" w14:textId="77777777" w:rsidR="0072615D" w:rsidRDefault="0072615D">
      <w:pPr>
        <w:pStyle w:val="Tableofcontents0"/>
        <w:ind w:firstLine="360"/>
        <w:jc w:val="both"/>
      </w:pPr>
      <w:r>
        <w:t>Inmunización activa de personas que han recibido recientemente</w:t>
      </w:r>
    </w:p>
    <w:p w14:paraId="55C5CFA1" w14:textId="77777777" w:rsidR="0072615D" w:rsidRDefault="0072615D">
      <w:pPr>
        <w:pStyle w:val="Tableofcontents0"/>
        <w:tabs>
          <w:tab w:val="right" w:leader="dot" w:pos="6805"/>
        </w:tabs>
        <w:ind w:firstLine="480"/>
        <w:jc w:val="both"/>
      </w:pPr>
      <w:r>
        <w:t>concentrados de inmunoglobulinas</w:t>
      </w:r>
      <w:r>
        <w:tab/>
        <w:t xml:space="preserve"> 37</w:t>
      </w:r>
    </w:p>
    <w:p w14:paraId="20BB30ED" w14:textId="77777777" w:rsidR="0072615D" w:rsidRDefault="0072615D">
      <w:pPr>
        <w:pStyle w:val="Tableofcontents0"/>
        <w:tabs>
          <w:tab w:val="right" w:leader="dot" w:pos="6805"/>
        </w:tabs>
        <w:ind w:firstLine="360"/>
        <w:jc w:val="both"/>
      </w:pPr>
      <w:r>
        <w:t>Pruebas con tuberculina</w:t>
      </w:r>
      <w:r>
        <w:tab/>
        <w:t xml:space="preserve"> 38</w:t>
      </w:r>
    </w:p>
    <w:p w14:paraId="4850BAFB" w14:textId="77777777" w:rsidR="0072615D" w:rsidRDefault="0072615D">
      <w:pPr>
        <w:pStyle w:val="Tableofcontents0"/>
        <w:tabs>
          <w:tab w:val="right" w:leader="dot" w:pos="6805"/>
        </w:tabs>
        <w:ind w:firstLine="360"/>
        <w:jc w:val="both"/>
      </w:pPr>
      <w:r>
        <w:t>Archivos y registros de vacunaciones</w:t>
      </w:r>
      <w:r>
        <w:tab/>
        <w:t xml:space="preserve"> 38</w:t>
      </w:r>
    </w:p>
    <w:p w14:paraId="5C220294" w14:textId="77777777" w:rsidR="0072615D" w:rsidRDefault="0072615D">
      <w:pPr>
        <w:pStyle w:val="Tableofcontents0"/>
        <w:tabs>
          <w:tab w:val="right" w:leader="dot" w:pos="6805"/>
        </w:tabs>
        <w:ind w:firstLine="360"/>
        <w:jc w:val="both"/>
      </w:pPr>
      <w:r>
        <w:t>Escasez de vacunas</w:t>
      </w:r>
      <w:r>
        <w:tab/>
        <w:t xml:space="preserve"> 39</w:t>
      </w:r>
    </w:p>
    <w:p w14:paraId="1FC9C7FA" w14:textId="77777777" w:rsidR="0072615D" w:rsidRDefault="0072615D">
      <w:pPr>
        <w:pStyle w:val="Tableofcontents0"/>
        <w:tabs>
          <w:tab w:val="right" w:leader="dot" w:pos="6805"/>
        </w:tabs>
        <w:ind w:firstLine="360"/>
        <w:jc w:val="both"/>
      </w:pPr>
      <w:r>
        <w:t>Seguridad y contraindicaciones de las vacunas</w:t>
      </w:r>
      <w:r>
        <w:tab/>
        <w:t xml:space="preserve"> 40</w:t>
      </w:r>
    </w:p>
    <w:p w14:paraId="1B097DFE" w14:textId="77777777" w:rsidR="0072615D" w:rsidRDefault="0072615D">
      <w:pPr>
        <w:pStyle w:val="Tableofcontents0"/>
        <w:tabs>
          <w:tab w:val="right" w:leader="dot" w:pos="6805"/>
        </w:tabs>
        <w:ind w:firstLine="700"/>
        <w:jc w:val="both"/>
      </w:pPr>
      <w:r>
        <w:t>Riesgos y reacciones adversas</w:t>
      </w:r>
      <w:r>
        <w:tab/>
        <w:t xml:space="preserve"> 40</w:t>
      </w:r>
    </w:p>
    <w:p w14:paraId="56332747" w14:textId="77777777" w:rsidR="0072615D" w:rsidRDefault="0072615D">
      <w:pPr>
        <w:pStyle w:val="Tableofcontents0"/>
        <w:ind w:firstLine="700"/>
        <w:jc w:val="both"/>
      </w:pPr>
      <w:r>
        <w:t>Comité de Revisión de Seguridad de las Vacunaciones</w:t>
      </w:r>
    </w:p>
    <w:p w14:paraId="0376BCDE" w14:textId="77777777" w:rsidR="0072615D" w:rsidRDefault="0072615D">
      <w:pPr>
        <w:pStyle w:val="Tableofcontents0"/>
        <w:tabs>
          <w:tab w:val="right" w:leader="dot" w:pos="6805"/>
        </w:tabs>
        <w:ind w:firstLine="820"/>
        <w:jc w:val="both"/>
      </w:pPr>
      <w:r>
        <w:t xml:space="preserve">(Instituto de Medicina) </w:t>
      </w:r>
      <w:r>
        <w:tab/>
        <w:t xml:space="preserve"> 41</w:t>
      </w:r>
    </w:p>
    <w:p w14:paraId="7D383D9A" w14:textId="77777777" w:rsidR="0072615D" w:rsidRDefault="0072615D">
      <w:pPr>
        <w:pStyle w:val="Tableofcontents0"/>
        <w:tabs>
          <w:tab w:val="right" w:leader="dot" w:pos="6805"/>
        </w:tabs>
        <w:ind w:firstLine="700"/>
        <w:jc w:val="both"/>
      </w:pPr>
      <w:r>
        <w:t>La Colaboración Brighton</w:t>
      </w:r>
      <w:r>
        <w:tab/>
        <w:t xml:space="preserve"> 42</w:t>
      </w:r>
    </w:p>
    <w:p w14:paraId="71A03C8C" w14:textId="77777777" w:rsidR="0072615D" w:rsidRDefault="0072615D">
      <w:pPr>
        <w:pStyle w:val="Tableofcontents0"/>
        <w:tabs>
          <w:tab w:val="right" w:leader="dot" w:pos="6805"/>
        </w:tabs>
        <w:ind w:firstLine="700"/>
        <w:jc w:val="both"/>
      </w:pPr>
      <w:r>
        <w:t xml:space="preserve">Notificación de reacciones adversas </w:t>
      </w:r>
      <w:r>
        <w:tab/>
        <w:t xml:space="preserve"> 43</w:t>
      </w:r>
    </w:p>
    <w:p w14:paraId="2B3FAD96" w14:textId="77777777" w:rsidR="0072615D" w:rsidRDefault="0072615D">
      <w:pPr>
        <w:pStyle w:val="Tableofcontents0"/>
        <w:ind w:firstLine="700"/>
        <w:jc w:val="both"/>
      </w:pPr>
      <w:r>
        <w:t>Red de Evaluación de la Seguridad</w:t>
      </w:r>
    </w:p>
    <w:p w14:paraId="44F32E88" w14:textId="77777777" w:rsidR="0072615D" w:rsidRDefault="0072615D">
      <w:pPr>
        <w:pStyle w:val="Tableofcontents0"/>
        <w:tabs>
          <w:tab w:val="right" w:leader="dot" w:pos="6805"/>
        </w:tabs>
        <w:ind w:firstLine="820"/>
        <w:jc w:val="both"/>
      </w:pPr>
      <w:r>
        <w:t>de la Inmunización Clínica</w:t>
      </w:r>
      <w:r>
        <w:tab/>
        <w:t xml:space="preserve"> 45</w:t>
      </w:r>
    </w:p>
    <w:p w14:paraId="404CE57B" w14:textId="77777777" w:rsidR="0072615D" w:rsidRDefault="0072615D">
      <w:pPr>
        <w:pStyle w:val="Tableofcontents0"/>
        <w:tabs>
          <w:tab w:val="left" w:leader="dot" w:pos="6120"/>
          <w:tab w:val="left" w:pos="6618"/>
        </w:tabs>
        <w:ind w:firstLine="700"/>
        <w:jc w:val="both"/>
      </w:pPr>
      <w:r>
        <w:t xml:space="preserve">Proyecto de Enlace de Datos sobre inocuidad de las Vacunas </w:t>
      </w:r>
      <w:r>
        <w:tab/>
      </w:r>
      <w:r>
        <w:tab/>
        <w:t>45</w:t>
      </w:r>
    </w:p>
    <w:p w14:paraId="610C83DC" w14:textId="77777777" w:rsidR="0072615D" w:rsidRDefault="0072615D">
      <w:pPr>
        <w:pStyle w:val="Tableofcontents0"/>
        <w:tabs>
          <w:tab w:val="left" w:leader="dot" w:pos="6120"/>
          <w:tab w:val="left" w:pos="6618"/>
        </w:tabs>
        <w:ind w:firstLine="700"/>
        <w:jc w:val="both"/>
      </w:pPr>
      <w:r>
        <w:t xml:space="preserve">Iniciativa de Estándares de Identificación de Vacunas </w:t>
      </w:r>
      <w:r>
        <w:tab/>
      </w:r>
      <w:r>
        <w:tab/>
        <w:t>46</w:t>
      </w:r>
    </w:p>
    <w:p w14:paraId="382B8981" w14:textId="77777777" w:rsidR="0072615D" w:rsidRDefault="0072615D">
      <w:pPr>
        <w:pStyle w:val="Tableofcontents0"/>
        <w:tabs>
          <w:tab w:val="right" w:leader="dot" w:pos="6805"/>
        </w:tabs>
        <w:ind w:firstLine="700"/>
        <w:jc w:val="both"/>
      </w:pPr>
      <w:r>
        <w:t>Compensación de daños causados por la vacunación</w:t>
      </w:r>
      <w:r>
        <w:tab/>
        <w:t xml:space="preserve"> 47</w:t>
      </w:r>
    </w:p>
    <w:p w14:paraId="7946F9FE" w14:textId="77777777" w:rsidR="0072615D" w:rsidRDefault="0072615D">
      <w:pPr>
        <w:pStyle w:val="Tableofcontents0"/>
        <w:tabs>
          <w:tab w:val="right" w:leader="dot" w:pos="6805"/>
        </w:tabs>
        <w:ind w:firstLine="700"/>
        <w:jc w:val="both"/>
      </w:pPr>
      <w:r>
        <w:t xml:space="preserve">Precauciones y contraindicaciones </w:t>
      </w:r>
      <w:r>
        <w:tab/>
        <w:t xml:space="preserve"> 48</w:t>
      </w:r>
    </w:p>
    <w:p w14:paraId="32F18733" w14:textId="77777777" w:rsidR="0072615D" w:rsidRDefault="0072615D">
      <w:pPr>
        <w:pStyle w:val="Tableofcontents0"/>
        <w:tabs>
          <w:tab w:val="left" w:leader="dot" w:pos="6120"/>
          <w:tab w:val="left" w:pos="6618"/>
        </w:tabs>
        <w:ind w:firstLine="700"/>
        <w:jc w:val="both"/>
      </w:pPr>
      <w:r>
        <w:t xml:space="preserve">Reacciones de hipersensibilidad a constituyentes de la vacuna </w:t>
      </w:r>
      <w:r>
        <w:tab/>
      </w:r>
      <w:r>
        <w:tab/>
        <w:t>49</w:t>
      </w:r>
    </w:p>
    <w:p w14:paraId="76DC882A" w14:textId="77777777" w:rsidR="0072615D" w:rsidRDefault="0072615D">
      <w:pPr>
        <w:pStyle w:val="Tableofcontents0"/>
        <w:tabs>
          <w:tab w:val="left" w:pos="6618"/>
        </w:tabs>
        <w:ind w:firstLine="700"/>
        <w:jc w:val="both"/>
      </w:pPr>
      <w:r>
        <w:t>Conceptos erróneos sobre las contraindicaciones de la vacunación . . .</w:t>
      </w:r>
      <w:r>
        <w:tab/>
        <w:t>52</w:t>
      </w:r>
    </w:p>
    <w:p w14:paraId="0560AEE5" w14:textId="77777777" w:rsidR="0072615D" w:rsidRDefault="0072615D">
      <w:pPr>
        <w:pStyle w:val="Tableofcontents0"/>
        <w:tabs>
          <w:tab w:val="left" w:leader="dot" w:pos="6120"/>
          <w:tab w:val="left" w:pos="6618"/>
        </w:tabs>
        <w:ind w:firstLine="360"/>
        <w:jc w:val="both"/>
        <w:sectPr w:rsidR="0072615D" w:rsidSect="0072615D">
          <w:headerReference w:type="even" r:id="rId14"/>
          <w:headerReference w:type="default" r:id="rId15"/>
          <w:pgSz w:w="8501" w:h="13022"/>
          <w:pgMar w:top="943" w:right="821" w:bottom="545" w:left="807" w:header="515" w:footer="117" w:gutter="0"/>
          <w:pgNumType w:start="5"/>
          <w:cols w:space="720"/>
          <w:noEndnote/>
          <w:docGrid w:linePitch="360"/>
        </w:sectPr>
      </w:pPr>
      <w:r>
        <w:t xml:space="preserve">Notificación de enfermedades evitables por las vacunas </w:t>
      </w:r>
      <w:r>
        <w:tab/>
      </w:r>
      <w:r>
        <w:tab/>
        <w:t>53</w:t>
      </w:r>
    </w:p>
    <w:p w14:paraId="69222F93" w14:textId="77777777" w:rsidR="0072615D" w:rsidRDefault="0072615D">
      <w:pPr>
        <w:pStyle w:val="Tableofcontents0"/>
        <w:tabs>
          <w:tab w:val="right" w:leader="dot" w:pos="6805"/>
        </w:tabs>
        <w:ind w:firstLine="360"/>
        <w:jc w:val="both"/>
      </w:pPr>
      <w:r>
        <w:t>Normas de práctica de inmunización de niños y adolescentes</w:t>
      </w:r>
      <w:r>
        <w:tab/>
        <w:t xml:space="preserve"> 53</w:t>
      </w:r>
    </w:p>
    <w:p w14:paraId="5F8816EE" w14:textId="77777777" w:rsidR="0072615D" w:rsidRDefault="0072615D">
      <w:pPr>
        <w:pStyle w:val="Tableofcontents0"/>
        <w:tabs>
          <w:tab w:val="left" w:leader="dot" w:pos="6127"/>
          <w:tab w:val="left" w:pos="6576"/>
        </w:tabs>
        <w:ind w:firstLine="360"/>
        <w:jc w:val="both"/>
      </w:pPr>
      <w:r>
        <w:t>Conceptos erróneos de los padres respecto de las inmunizaciones</w:t>
      </w:r>
      <w:r>
        <w:tab/>
      </w:r>
      <w:r>
        <w:tab/>
        <w:t>54</w:t>
      </w:r>
    </w:p>
    <w:p w14:paraId="02E4A452" w14:textId="77777777" w:rsidR="0072615D" w:rsidRDefault="0072615D">
      <w:pPr>
        <w:pStyle w:val="Tableofcontents0"/>
        <w:tabs>
          <w:tab w:val="right" w:leader="dot" w:pos="6805"/>
        </w:tabs>
        <w:jc w:val="both"/>
      </w:pPr>
      <w:r>
        <w:t>Inmunización pasiva</w:t>
      </w:r>
      <w:r>
        <w:tab/>
        <w:t xml:space="preserve"> 57</w:t>
      </w:r>
    </w:p>
    <w:p w14:paraId="18809AEF" w14:textId="77777777" w:rsidR="0072615D" w:rsidRDefault="0072615D">
      <w:pPr>
        <w:pStyle w:val="Tableofcontents0"/>
        <w:tabs>
          <w:tab w:val="right" w:leader="dot" w:pos="6805"/>
        </w:tabs>
        <w:ind w:firstLine="360"/>
        <w:jc w:val="both"/>
      </w:pPr>
      <w:r>
        <w:t xml:space="preserve">Concentrados de inmunoglobulinas </w:t>
      </w:r>
      <w:r>
        <w:tab/>
        <w:t xml:space="preserve"> 58</w:t>
      </w:r>
    </w:p>
    <w:p w14:paraId="18C47EB2" w14:textId="77777777" w:rsidR="0072615D" w:rsidRDefault="0072615D">
      <w:pPr>
        <w:pStyle w:val="Tableofcontents0"/>
        <w:tabs>
          <w:tab w:val="right" w:leader="dot" w:pos="6805"/>
        </w:tabs>
        <w:ind w:firstLine="360"/>
        <w:jc w:val="both"/>
      </w:pPr>
      <w:r>
        <w:t xml:space="preserve">Concentrados de inmunoglobulinas específicas </w:t>
      </w:r>
      <w:r>
        <w:tab/>
        <w:t xml:space="preserve"> 60</w:t>
      </w:r>
    </w:p>
    <w:p w14:paraId="453D422A" w14:textId="77777777" w:rsidR="0072615D" w:rsidRDefault="0072615D">
      <w:pPr>
        <w:pStyle w:val="Tableofcontents0"/>
        <w:tabs>
          <w:tab w:val="right" w:leader="dot" w:pos="6805"/>
        </w:tabs>
        <w:ind w:firstLine="360"/>
        <w:jc w:val="both"/>
      </w:pPr>
      <w:r>
        <w:t xml:space="preserve">Concentrado inmunoglobulínico intravenoso </w:t>
      </w:r>
      <w:r>
        <w:tab/>
        <w:t xml:space="preserve"> 60</w:t>
      </w:r>
    </w:p>
    <w:p w14:paraId="5A201461" w14:textId="77777777" w:rsidR="0072615D" w:rsidRDefault="0072615D">
      <w:pPr>
        <w:pStyle w:val="Tableofcontents0"/>
        <w:tabs>
          <w:tab w:val="right" w:leader="dot" w:pos="6805"/>
        </w:tabs>
        <w:ind w:firstLine="360"/>
        <w:jc w:val="both"/>
      </w:pPr>
      <w:r>
        <w:t>Plasma humano</w:t>
      </w:r>
      <w:r>
        <w:tab/>
        <w:t xml:space="preserve"> 64</w:t>
      </w:r>
    </w:p>
    <w:p w14:paraId="1BBAC640" w14:textId="77777777" w:rsidR="0072615D" w:rsidRDefault="0072615D">
      <w:pPr>
        <w:pStyle w:val="Tableofcontents0"/>
        <w:tabs>
          <w:tab w:val="right" w:leader="dot" w:pos="6805"/>
        </w:tabs>
        <w:ind w:firstLine="360"/>
        <w:jc w:val="both"/>
      </w:pPr>
      <w:r>
        <w:t>Anticuerpos de origen animal (antisueros animales)</w:t>
      </w:r>
      <w:r>
        <w:tab/>
        <w:t xml:space="preserve"> 64</w:t>
      </w:r>
    </w:p>
    <w:p w14:paraId="67544623" w14:textId="77777777" w:rsidR="0072615D" w:rsidRDefault="0072615D">
      <w:pPr>
        <w:pStyle w:val="Tableofcontents0"/>
        <w:tabs>
          <w:tab w:val="right" w:leader="dot" w:pos="6805"/>
        </w:tabs>
        <w:ind w:firstLine="360"/>
        <w:jc w:val="both"/>
      </w:pPr>
      <w:r>
        <w:t>Tratamiento de las reacciones anafilácticas</w:t>
      </w:r>
      <w:r>
        <w:tab/>
        <w:t xml:space="preserve"> 68</w:t>
      </w:r>
    </w:p>
    <w:p w14:paraId="27139218" w14:textId="77777777" w:rsidR="0072615D" w:rsidRDefault="0072615D">
      <w:pPr>
        <w:pStyle w:val="Tableofcontents0"/>
        <w:tabs>
          <w:tab w:val="right" w:leader="dot" w:pos="6805"/>
        </w:tabs>
        <w:jc w:val="both"/>
      </w:pPr>
      <w:r>
        <w:t>Vacunaciones en circunstancias clínicas especiales</w:t>
      </w:r>
      <w:r>
        <w:tab/>
        <w:t xml:space="preserve"> 71</w:t>
      </w:r>
    </w:p>
    <w:p w14:paraId="34D87358" w14:textId="77777777" w:rsidR="0072615D" w:rsidRDefault="0072615D">
      <w:pPr>
        <w:pStyle w:val="Tableofcontents0"/>
        <w:tabs>
          <w:tab w:val="right" w:leader="dot" w:pos="6805"/>
        </w:tabs>
        <w:ind w:firstLine="360"/>
        <w:jc w:val="both"/>
      </w:pPr>
      <w:r>
        <w:t>Productos pretérmino y de bajo peso neonatal</w:t>
      </w:r>
      <w:r>
        <w:tab/>
        <w:t xml:space="preserve"> 71</w:t>
      </w:r>
    </w:p>
    <w:p w14:paraId="6ECDBB87" w14:textId="77777777" w:rsidR="0072615D" w:rsidRDefault="0072615D">
      <w:pPr>
        <w:pStyle w:val="Tableofcontents0"/>
        <w:tabs>
          <w:tab w:val="right" w:leader="dot" w:pos="6805"/>
        </w:tabs>
        <w:ind w:firstLine="360"/>
        <w:jc w:val="both"/>
      </w:pPr>
      <w:r>
        <w:t xml:space="preserve">Embarazo </w:t>
      </w:r>
      <w:r>
        <w:tab/>
        <w:t xml:space="preserve"> 73</w:t>
      </w:r>
    </w:p>
    <w:p w14:paraId="65A00B99" w14:textId="77777777" w:rsidR="0072615D" w:rsidRDefault="0072615D">
      <w:pPr>
        <w:pStyle w:val="Tableofcontents0"/>
        <w:tabs>
          <w:tab w:val="right" w:leader="dot" w:pos="6805"/>
        </w:tabs>
        <w:ind w:firstLine="360"/>
        <w:jc w:val="both"/>
      </w:pPr>
      <w:r>
        <w:t>Niños inmunodeficientes</w:t>
      </w:r>
      <w:r>
        <w:tab/>
        <w:t xml:space="preserve"> 75</w:t>
      </w:r>
    </w:p>
    <w:p w14:paraId="47E9D99A" w14:textId="77777777" w:rsidR="0072615D" w:rsidRDefault="0072615D">
      <w:pPr>
        <w:pStyle w:val="Tableofcontents0"/>
        <w:tabs>
          <w:tab w:val="left" w:leader="dot" w:pos="6127"/>
          <w:tab w:val="left" w:pos="6576"/>
        </w:tabs>
        <w:ind w:firstLine="360"/>
        <w:jc w:val="both"/>
      </w:pPr>
      <w:r>
        <w:t xml:space="preserve">Niños con el antecedente personal o familiar de convulsiones </w:t>
      </w:r>
      <w:r>
        <w:tab/>
      </w:r>
      <w:r>
        <w:tab/>
        <w:t>88</w:t>
      </w:r>
    </w:p>
    <w:p w14:paraId="714DCDCC" w14:textId="77777777" w:rsidR="0072615D" w:rsidRDefault="0072615D">
      <w:pPr>
        <w:pStyle w:val="Tableofcontents0"/>
        <w:tabs>
          <w:tab w:val="right" w:leader="dot" w:pos="6805"/>
        </w:tabs>
        <w:ind w:firstLine="360"/>
        <w:jc w:val="both"/>
      </w:pPr>
      <w:r>
        <w:t>Niños con enfermedades crónicas</w:t>
      </w:r>
      <w:r>
        <w:tab/>
        <w:t xml:space="preserve"> 89</w:t>
      </w:r>
    </w:p>
    <w:p w14:paraId="50DCF7AE" w14:textId="77777777" w:rsidR="0072615D" w:rsidRDefault="0072615D">
      <w:pPr>
        <w:pStyle w:val="Tableofcontents0"/>
        <w:tabs>
          <w:tab w:val="right" w:leader="dot" w:pos="6805"/>
        </w:tabs>
        <w:ind w:firstLine="360"/>
        <w:jc w:val="both"/>
      </w:pPr>
      <w:r>
        <w:t xml:space="preserve">Inmunización activa después de exposición a enfermedades </w:t>
      </w:r>
      <w:r>
        <w:tab/>
        <w:t xml:space="preserve"> 89</w:t>
      </w:r>
    </w:p>
    <w:p w14:paraId="4816AFB1" w14:textId="77777777" w:rsidR="0072615D" w:rsidRDefault="0072615D">
      <w:pPr>
        <w:pStyle w:val="Tableofcontents0"/>
        <w:tabs>
          <w:tab w:val="left" w:leader="dot" w:pos="6127"/>
          <w:tab w:val="right" w:pos="6805"/>
        </w:tabs>
        <w:ind w:firstLine="360"/>
        <w:jc w:val="both"/>
      </w:pPr>
      <w:r>
        <w:t xml:space="preserve">Niños indios estadounidenses nativos/nativos de Alaska </w:t>
      </w:r>
      <w:r>
        <w:tab/>
      </w:r>
      <w:r>
        <w:tab/>
        <w:t>91</w:t>
      </w:r>
    </w:p>
    <w:p w14:paraId="295EFF34" w14:textId="77777777" w:rsidR="0072615D" w:rsidRDefault="0072615D">
      <w:pPr>
        <w:pStyle w:val="Tableofcontents0"/>
        <w:tabs>
          <w:tab w:val="right" w:leader="dot" w:pos="6805"/>
        </w:tabs>
        <w:ind w:firstLine="360"/>
        <w:jc w:val="both"/>
      </w:pPr>
      <w:r>
        <w:t>Niños en instituciones de cuidado a largo plazo</w:t>
      </w:r>
      <w:r>
        <w:tab/>
        <w:t xml:space="preserve"> 92</w:t>
      </w:r>
    </w:p>
    <w:p w14:paraId="3C7148EE" w14:textId="77777777" w:rsidR="0072615D" w:rsidRDefault="0072615D">
      <w:pPr>
        <w:pStyle w:val="Tableofcontents0"/>
        <w:tabs>
          <w:tab w:val="right" w:leader="dot" w:pos="6805"/>
        </w:tabs>
        <w:ind w:firstLine="360"/>
        <w:jc w:val="both"/>
      </w:pPr>
      <w:r>
        <w:t>Niños en poblaciones militares</w:t>
      </w:r>
      <w:r>
        <w:tab/>
        <w:t xml:space="preserve"> 95</w:t>
      </w:r>
    </w:p>
    <w:p w14:paraId="6107A089" w14:textId="77777777" w:rsidR="0072615D" w:rsidRDefault="0072615D">
      <w:pPr>
        <w:pStyle w:val="Tableofcontents0"/>
        <w:tabs>
          <w:tab w:val="right" w:leader="dot" w:pos="6805"/>
        </w:tabs>
        <w:ind w:firstLine="360"/>
        <w:jc w:val="both"/>
      </w:pPr>
      <w:r>
        <w:t>Poblaciones de adolescentes y universitarios</w:t>
      </w:r>
      <w:r>
        <w:tab/>
        <w:t xml:space="preserve"> 95</w:t>
      </w:r>
    </w:p>
    <w:p w14:paraId="7CA68BF2" w14:textId="77777777" w:rsidR="0072615D" w:rsidRDefault="0072615D">
      <w:pPr>
        <w:pStyle w:val="Tableofcontents0"/>
        <w:tabs>
          <w:tab w:val="right" w:leader="dot" w:pos="6805"/>
        </w:tabs>
        <w:ind w:firstLine="360"/>
        <w:jc w:val="both"/>
      </w:pPr>
      <w:r>
        <w:t>Personal asistencial</w:t>
      </w:r>
      <w:r>
        <w:tab/>
        <w:t xml:space="preserve"> 97</w:t>
      </w:r>
    </w:p>
    <w:p w14:paraId="1C53BD80" w14:textId="77777777" w:rsidR="0072615D" w:rsidRDefault="0072615D">
      <w:pPr>
        <w:pStyle w:val="Tableofcontents0"/>
        <w:tabs>
          <w:tab w:val="right" w:leader="dot" w:pos="6805"/>
        </w:tabs>
        <w:ind w:firstLine="360"/>
        <w:jc w:val="both"/>
      </w:pPr>
      <w:r>
        <w:t xml:space="preserve">Refugiados y migrantes </w:t>
      </w:r>
      <w:r>
        <w:tab/>
        <w:t xml:space="preserve"> 99</w:t>
      </w:r>
    </w:p>
    <w:p w14:paraId="53999145" w14:textId="77777777" w:rsidR="0072615D" w:rsidRDefault="0072615D">
      <w:pPr>
        <w:pStyle w:val="Tableofcontents0"/>
        <w:tabs>
          <w:tab w:val="right" w:leader="dot" w:pos="6805"/>
        </w:tabs>
        <w:spacing w:after="260"/>
        <w:ind w:firstLine="360"/>
        <w:jc w:val="both"/>
      </w:pPr>
      <w:r>
        <w:t>Viajes internacionales</w:t>
      </w:r>
      <w:r>
        <w:tab/>
        <w:t xml:space="preserve"> 101</w:t>
      </w:r>
    </w:p>
    <w:p w14:paraId="4566DFA1" w14:textId="77777777" w:rsidR="0072615D" w:rsidRDefault="0072615D">
      <w:pPr>
        <w:pStyle w:val="Tableofcontents0"/>
        <w:jc w:val="both"/>
      </w:pPr>
      <w:r>
        <w:t>SECCIÓN 2</w:t>
      </w:r>
    </w:p>
    <w:p w14:paraId="169DFBFB" w14:textId="77777777" w:rsidR="0072615D" w:rsidRDefault="0072615D">
      <w:pPr>
        <w:pStyle w:val="Tableofcontents0"/>
        <w:jc w:val="both"/>
      </w:pPr>
      <w:r>
        <w:t>RECOMENDACIONES PARA LA ATENCIÓN DE NIÑOS</w:t>
      </w:r>
    </w:p>
    <w:p w14:paraId="45D89384" w14:textId="77777777" w:rsidR="0072615D" w:rsidRDefault="0072615D">
      <w:pPr>
        <w:pStyle w:val="Tableofcontents0"/>
        <w:spacing w:after="260"/>
        <w:jc w:val="both"/>
      </w:pPr>
      <w:r>
        <w:t>EN CIRCUNSTANCIAS ESPECIALES</w:t>
      </w:r>
    </w:p>
    <w:p w14:paraId="20A005CC" w14:textId="77777777" w:rsidR="0072615D" w:rsidRDefault="0072615D">
      <w:pPr>
        <w:pStyle w:val="Tableofcontents0"/>
        <w:tabs>
          <w:tab w:val="right" w:leader="dot" w:pos="6805"/>
        </w:tabs>
        <w:jc w:val="both"/>
      </w:pPr>
      <w:r>
        <w:t xml:space="preserve">Terrorismo biológico </w:t>
      </w:r>
      <w:r>
        <w:tab/>
        <w:t xml:space="preserve"> 109</w:t>
      </w:r>
    </w:p>
    <w:p w14:paraId="360B2A98" w14:textId="77777777" w:rsidR="0072615D" w:rsidRDefault="0072615D">
      <w:pPr>
        <w:pStyle w:val="Tableofcontents0"/>
        <w:jc w:val="both"/>
      </w:pPr>
      <w:r>
        <w:t>Aspectos de seguridad en el uso de sangre y hemoderivados: disminución</w:t>
      </w:r>
    </w:p>
    <w:p w14:paraId="656DC7A2" w14:textId="77777777" w:rsidR="0072615D" w:rsidRDefault="0072615D">
      <w:pPr>
        <w:pStyle w:val="Tableofcontents0"/>
        <w:tabs>
          <w:tab w:val="left" w:leader="dot" w:pos="6127"/>
          <w:tab w:val="left" w:pos="6576"/>
        </w:tabs>
        <w:ind w:firstLine="140"/>
        <w:jc w:val="both"/>
      </w:pPr>
      <w:r>
        <w:t xml:space="preserve">del riesgo de infecciones transmitidas en transfusiones </w:t>
      </w:r>
      <w:r>
        <w:tab/>
      </w:r>
      <w:r>
        <w:tab/>
        <w:t>117</w:t>
      </w:r>
    </w:p>
    <w:p w14:paraId="3F907774" w14:textId="77777777" w:rsidR="0072615D" w:rsidRDefault="0072615D">
      <w:pPr>
        <w:pStyle w:val="Tableofcontents0"/>
        <w:tabs>
          <w:tab w:val="right" w:leader="dot" w:pos="6805"/>
        </w:tabs>
        <w:ind w:firstLine="360"/>
        <w:jc w:val="both"/>
      </w:pPr>
      <w:r>
        <w:t>Componentes hemáticos y derivados plasmáticos</w:t>
      </w:r>
      <w:r>
        <w:tab/>
        <w:t xml:space="preserve"> 117</w:t>
      </w:r>
    </w:p>
    <w:p w14:paraId="244382AC" w14:textId="77777777" w:rsidR="0072615D" w:rsidRDefault="0072615D">
      <w:pPr>
        <w:pStyle w:val="Tableofcontents0"/>
        <w:tabs>
          <w:tab w:val="right" w:leader="dot" w:pos="6805"/>
        </w:tabs>
        <w:ind w:firstLine="360"/>
        <w:jc w:val="both"/>
      </w:pPr>
      <w:r>
        <w:t>Medidas actuales de seguridad en el uso de sangre</w:t>
      </w:r>
      <w:r>
        <w:tab/>
        <w:t xml:space="preserve"> 117</w:t>
      </w:r>
    </w:p>
    <w:p w14:paraId="4CF8B8AE" w14:textId="77777777" w:rsidR="0072615D" w:rsidRDefault="0072615D">
      <w:pPr>
        <w:pStyle w:val="Tableofcontents0"/>
        <w:tabs>
          <w:tab w:val="right" w:leader="dot" w:pos="6805"/>
        </w:tabs>
        <w:ind w:firstLine="360"/>
        <w:jc w:val="both"/>
      </w:pPr>
      <w:r>
        <w:t xml:space="preserve">Programas de revisión de antecedentes </w:t>
      </w:r>
      <w:r>
        <w:tab/>
        <w:t xml:space="preserve"> 119</w:t>
      </w:r>
    </w:p>
    <w:p w14:paraId="7CD1CDE3" w14:textId="77777777" w:rsidR="0072615D" w:rsidRDefault="0072615D">
      <w:pPr>
        <w:pStyle w:val="Tableofcontents0"/>
        <w:ind w:firstLine="360"/>
        <w:jc w:val="both"/>
      </w:pPr>
      <w:r>
        <w:t>Agentes transmitidos por transfusiones: peligros identificados</w:t>
      </w:r>
    </w:p>
    <w:p w14:paraId="17D48623" w14:textId="77777777" w:rsidR="0072615D" w:rsidRDefault="0072615D">
      <w:pPr>
        <w:pStyle w:val="Tableofcontents0"/>
        <w:tabs>
          <w:tab w:val="right" w:leader="dot" w:pos="6805"/>
        </w:tabs>
        <w:ind w:firstLine="480"/>
        <w:jc w:val="both"/>
      </w:pPr>
      <w:r>
        <w:t xml:space="preserve">y patógenos potenciales </w:t>
      </w:r>
      <w:r>
        <w:tab/>
        <w:t xml:space="preserve"> 119</w:t>
      </w:r>
    </w:p>
    <w:p w14:paraId="4F2AAC2E" w14:textId="77777777" w:rsidR="0072615D" w:rsidRDefault="0072615D">
      <w:pPr>
        <w:pStyle w:val="Tableofcontents0"/>
        <w:tabs>
          <w:tab w:val="right" w:leader="dot" w:pos="6805"/>
        </w:tabs>
        <w:spacing w:after="260"/>
        <w:ind w:firstLine="360"/>
        <w:jc w:val="both"/>
      </w:pPr>
      <w:r>
        <w:t>Mejoría en la seguridad del uso de sangre</w:t>
      </w:r>
      <w:r>
        <w:tab/>
        <w:t xml:space="preserve"> 127</w:t>
      </w:r>
    </w:p>
    <w:p w14:paraId="331C34C8" w14:textId="77777777" w:rsidR="0072615D" w:rsidRDefault="0072615D">
      <w:pPr>
        <w:pStyle w:val="Tableofcontents0"/>
        <w:tabs>
          <w:tab w:val="right" w:leader="dot" w:pos="6805"/>
        </w:tabs>
        <w:jc w:val="both"/>
      </w:pPr>
      <w:r>
        <w:t>Leche materna</w:t>
      </w:r>
      <w:r>
        <w:tab/>
        <w:t xml:space="preserve"> 129</w:t>
      </w:r>
    </w:p>
    <w:p w14:paraId="5C21AEDA" w14:textId="77777777" w:rsidR="0072615D" w:rsidRDefault="0072615D">
      <w:pPr>
        <w:pStyle w:val="Tableofcontents0"/>
        <w:tabs>
          <w:tab w:val="right" w:leader="dot" w:pos="6805"/>
        </w:tabs>
        <w:ind w:firstLine="360"/>
        <w:jc w:val="both"/>
      </w:pPr>
      <w:r>
        <w:t xml:space="preserve">Inmunización de madres y lactantes </w:t>
      </w:r>
      <w:r>
        <w:tab/>
        <w:t xml:space="preserve"> 130</w:t>
      </w:r>
    </w:p>
    <w:p w14:paraId="133DC501" w14:textId="77777777" w:rsidR="0072615D" w:rsidRDefault="0072615D">
      <w:pPr>
        <w:pStyle w:val="Tableofcontents0"/>
        <w:tabs>
          <w:tab w:val="left" w:leader="dot" w:pos="6127"/>
          <w:tab w:val="left" w:pos="6576"/>
        </w:tabs>
        <w:ind w:firstLine="360"/>
        <w:jc w:val="both"/>
      </w:pPr>
      <w:r>
        <w:t xml:space="preserve">Transmisión de agentes infecciosos por la leche materna </w:t>
      </w:r>
      <w:r>
        <w:tab/>
      </w:r>
      <w:r>
        <w:tab/>
        <w:t>130</w:t>
      </w:r>
    </w:p>
    <w:p w14:paraId="43BB68BE" w14:textId="77777777" w:rsidR="0072615D" w:rsidRDefault="0072615D">
      <w:pPr>
        <w:pStyle w:val="Tableofcontents0"/>
        <w:tabs>
          <w:tab w:val="right" w:leader="dot" w:pos="6805"/>
        </w:tabs>
        <w:ind w:firstLine="360"/>
        <w:jc w:val="both"/>
      </w:pPr>
      <w:r>
        <w:t>Agentes antimicrobianos en la leche materna</w:t>
      </w:r>
      <w:r>
        <w:tab/>
        <w:t xml:space="preserve"> 134</w:t>
      </w:r>
    </w:p>
    <w:p w14:paraId="07AE0F67" w14:textId="77777777" w:rsidR="0072615D" w:rsidRDefault="0072615D">
      <w:pPr>
        <w:pStyle w:val="Tableofcontents0"/>
        <w:tabs>
          <w:tab w:val="right" w:leader="dot" w:pos="6805"/>
        </w:tabs>
        <w:jc w:val="both"/>
      </w:pPr>
      <w:r>
        <w:t>Niños en el sistema asistencial extrahogareño</w:t>
      </w:r>
      <w:r>
        <w:tab/>
        <w:t xml:space="preserve"> 136</w:t>
      </w:r>
    </w:p>
    <w:p w14:paraId="3B9195BF" w14:textId="77777777" w:rsidR="0072615D" w:rsidRDefault="0072615D">
      <w:pPr>
        <w:pStyle w:val="Tableofcontents0"/>
        <w:tabs>
          <w:tab w:val="right" w:leader="dot" w:pos="6805"/>
        </w:tabs>
        <w:ind w:firstLine="360"/>
        <w:jc w:val="both"/>
      </w:pPr>
      <w:r>
        <w:t xml:space="preserve">Clasificación de servicios </w:t>
      </w:r>
      <w:r>
        <w:tab/>
        <w:t xml:space="preserve"> 137</w:t>
      </w:r>
    </w:p>
    <w:p w14:paraId="5B2A841F" w14:textId="77777777" w:rsidR="0072615D" w:rsidRDefault="0072615D">
      <w:pPr>
        <w:pStyle w:val="Tableofcontents0"/>
        <w:tabs>
          <w:tab w:val="right" w:leader="dot" w:pos="6805"/>
        </w:tabs>
        <w:ind w:firstLine="360"/>
        <w:jc w:val="both"/>
      </w:pPr>
      <w:r>
        <w:t>Medidas de control y prevención de enfermedades</w:t>
      </w:r>
      <w:r>
        <w:tab/>
        <w:t xml:space="preserve"> 137</w:t>
      </w:r>
    </w:p>
    <w:p w14:paraId="091B7AE6" w14:textId="77777777" w:rsidR="0072615D" w:rsidRDefault="0072615D">
      <w:pPr>
        <w:pStyle w:val="Tableofcontents0"/>
        <w:tabs>
          <w:tab w:val="right" w:leader="dot" w:pos="6805"/>
        </w:tabs>
        <w:ind w:firstLine="360"/>
        <w:jc w:val="both"/>
      </w:pPr>
      <w:r>
        <w:t>Recomendaciones para inclusión o exclusión</w:t>
      </w:r>
      <w:r>
        <w:tab/>
        <w:t xml:space="preserve"> 139</w:t>
      </w:r>
    </w:p>
    <w:p w14:paraId="7E4670AA" w14:textId="77777777" w:rsidR="0072615D" w:rsidRDefault="0072615D">
      <w:pPr>
        <w:pStyle w:val="Tableofcontents0"/>
        <w:tabs>
          <w:tab w:val="left" w:leader="dot" w:pos="6127"/>
          <w:tab w:val="left" w:pos="6576"/>
        </w:tabs>
        <w:ind w:firstLine="360"/>
        <w:jc w:val="both"/>
      </w:pPr>
      <w:r>
        <w:t xml:space="preserve">Aspectos epidemiológicos y control de enfermedades infecciosas </w:t>
      </w:r>
      <w:r>
        <w:tab/>
      </w:r>
      <w:r>
        <w:tab/>
        <w:t>141</w:t>
      </w:r>
    </w:p>
    <w:p w14:paraId="6F5D22EA" w14:textId="77777777" w:rsidR="0072615D" w:rsidRDefault="0072615D">
      <w:pPr>
        <w:pStyle w:val="Tableofcontents0"/>
        <w:tabs>
          <w:tab w:val="right" w:leader="dot" w:pos="6805"/>
        </w:tabs>
        <w:ind w:firstLine="360"/>
        <w:jc w:val="both"/>
      </w:pPr>
      <w:r>
        <w:t>Prácticas generales</w:t>
      </w:r>
      <w:r>
        <w:tab/>
        <w:t xml:space="preserve"> 149</w:t>
      </w:r>
    </w:p>
    <w:p w14:paraId="63116045" w14:textId="77777777" w:rsidR="0072615D" w:rsidRDefault="0072615D">
      <w:pPr>
        <w:pStyle w:val="Tableofcontents0"/>
        <w:tabs>
          <w:tab w:val="right" w:leader="dot" w:pos="6799"/>
        </w:tabs>
        <w:jc w:val="both"/>
      </w:pPr>
      <w:r>
        <w:t xml:space="preserve">Salud escolar </w:t>
      </w:r>
      <w:r>
        <w:tab/>
        <w:t xml:space="preserve"> 152</w:t>
      </w:r>
    </w:p>
    <w:p w14:paraId="2CA71B3F" w14:textId="77777777" w:rsidR="0072615D" w:rsidRDefault="0072615D">
      <w:pPr>
        <w:pStyle w:val="Tableofcontents0"/>
        <w:tabs>
          <w:tab w:val="right" w:leader="dot" w:pos="6799"/>
        </w:tabs>
        <w:jc w:val="both"/>
      </w:pPr>
      <w:r>
        <w:t xml:space="preserve">Enfermedades evitables con las vacunaciones sistemáticas en la niñez </w:t>
      </w:r>
      <w:r>
        <w:tab/>
        <w:t xml:space="preserve"> 153</w:t>
      </w:r>
    </w:p>
    <w:p w14:paraId="21CD141C" w14:textId="77777777" w:rsidR="0072615D" w:rsidRDefault="0072615D">
      <w:pPr>
        <w:pStyle w:val="Tableofcontents0"/>
        <w:tabs>
          <w:tab w:val="right" w:leader="dot" w:pos="6799"/>
        </w:tabs>
        <w:jc w:val="both"/>
      </w:pPr>
      <w:r>
        <w:t>Otras infecciones diseminadas por vías respiratorias</w:t>
      </w:r>
      <w:r>
        <w:tab/>
        <w:t xml:space="preserve"> 154</w:t>
      </w:r>
    </w:p>
    <w:p w14:paraId="53892FF1" w14:textId="77777777" w:rsidR="0072615D" w:rsidRDefault="0072615D">
      <w:pPr>
        <w:pStyle w:val="Tableofcontents0"/>
        <w:tabs>
          <w:tab w:val="right" w:leader="dot" w:pos="6799"/>
        </w:tabs>
        <w:ind w:firstLine="360"/>
        <w:jc w:val="both"/>
      </w:pPr>
      <w:r>
        <w:t xml:space="preserve">Infecciones diseminadas por contacto directo </w:t>
      </w:r>
      <w:r>
        <w:tab/>
        <w:t xml:space="preserve"> 155</w:t>
      </w:r>
    </w:p>
    <w:p w14:paraId="51010C1D" w14:textId="77777777" w:rsidR="0072615D" w:rsidRDefault="0072615D">
      <w:pPr>
        <w:pStyle w:val="Tableofcontents0"/>
        <w:tabs>
          <w:tab w:val="right" w:leader="dot" w:pos="6799"/>
        </w:tabs>
        <w:ind w:firstLine="360"/>
        <w:jc w:val="both"/>
      </w:pPr>
      <w:r>
        <w:t>Infecciones diseminadas por la vía fecal-bucal</w:t>
      </w:r>
      <w:r>
        <w:tab/>
        <w:t xml:space="preserve"> 158</w:t>
      </w:r>
    </w:p>
    <w:p w14:paraId="303A8D07" w14:textId="77777777" w:rsidR="0072615D" w:rsidRDefault="0072615D">
      <w:pPr>
        <w:pStyle w:val="Tableofcontents0"/>
        <w:tabs>
          <w:tab w:val="right" w:leader="dot" w:pos="6799"/>
        </w:tabs>
        <w:ind w:firstLine="360"/>
        <w:jc w:val="both"/>
      </w:pPr>
      <w:r>
        <w:t xml:space="preserve">Infecciones diseminadas por la sangre y líquidos corporales </w:t>
      </w:r>
      <w:r>
        <w:tab/>
        <w:t xml:space="preserve"> 158</w:t>
      </w:r>
    </w:p>
    <w:p w14:paraId="51410CE0" w14:textId="77777777" w:rsidR="0072615D" w:rsidRDefault="0072615D">
      <w:pPr>
        <w:pStyle w:val="Tableofcontents0"/>
        <w:tabs>
          <w:tab w:val="right" w:leader="dot" w:pos="6799"/>
        </w:tabs>
        <w:jc w:val="both"/>
      </w:pPr>
      <w:r>
        <w:t xml:space="preserve">Control infectológico de niños hospitalizados </w:t>
      </w:r>
      <w:r>
        <w:tab/>
        <w:t xml:space="preserve"> 162</w:t>
      </w:r>
    </w:p>
    <w:p w14:paraId="4797C437" w14:textId="77777777" w:rsidR="0072615D" w:rsidRDefault="0072615D">
      <w:pPr>
        <w:pStyle w:val="Tableofcontents0"/>
        <w:tabs>
          <w:tab w:val="right" w:leader="dot" w:pos="6799"/>
        </w:tabs>
        <w:jc w:val="both"/>
      </w:pPr>
      <w:r>
        <w:t>Precauciones seguidas en el aislamiento</w:t>
      </w:r>
      <w:r>
        <w:tab/>
        <w:t xml:space="preserve"> 162</w:t>
      </w:r>
    </w:p>
    <w:p w14:paraId="244F5FD4" w14:textId="77777777" w:rsidR="0072615D" w:rsidRDefault="0072615D">
      <w:pPr>
        <w:pStyle w:val="Tableofcontents0"/>
        <w:tabs>
          <w:tab w:val="right" w:leader="dot" w:pos="6799"/>
        </w:tabs>
        <w:jc w:val="both"/>
      </w:pPr>
      <w:r>
        <w:t xml:space="preserve">Salud ocupacional </w:t>
      </w:r>
      <w:r>
        <w:tab/>
        <w:t xml:space="preserve"> 168</w:t>
      </w:r>
    </w:p>
    <w:p w14:paraId="141C066F" w14:textId="77777777" w:rsidR="0072615D" w:rsidRDefault="0072615D">
      <w:pPr>
        <w:pStyle w:val="Tableofcontents0"/>
        <w:tabs>
          <w:tab w:val="right" w:leader="dot" w:pos="6799"/>
        </w:tabs>
        <w:ind w:firstLine="360"/>
        <w:jc w:val="both"/>
      </w:pPr>
      <w:r>
        <w:t>Visitas de hermanos</w:t>
      </w:r>
      <w:r>
        <w:tab/>
        <w:t xml:space="preserve"> 169</w:t>
      </w:r>
    </w:p>
    <w:p w14:paraId="122F8F91" w14:textId="77777777" w:rsidR="0072615D" w:rsidRDefault="0072615D">
      <w:pPr>
        <w:pStyle w:val="Tableofcontents0"/>
        <w:tabs>
          <w:tab w:val="right" w:leader="dot" w:pos="6799"/>
        </w:tabs>
        <w:ind w:firstLine="360"/>
        <w:jc w:val="both"/>
      </w:pPr>
      <w:r>
        <w:t xml:space="preserve">Visitas de mascotas </w:t>
      </w:r>
      <w:r>
        <w:tab/>
        <w:t xml:space="preserve"> 170</w:t>
      </w:r>
    </w:p>
    <w:p w14:paraId="45A36CD7" w14:textId="77777777" w:rsidR="0072615D" w:rsidRDefault="0072615D">
      <w:pPr>
        <w:pStyle w:val="Tableofcontents0"/>
        <w:tabs>
          <w:tab w:val="right" w:leader="dot" w:pos="6799"/>
        </w:tabs>
        <w:jc w:val="both"/>
      </w:pPr>
      <w:r>
        <w:t>Control infectológico en el consultorio</w:t>
      </w:r>
      <w:r>
        <w:tab/>
        <w:t xml:space="preserve"> 171</w:t>
      </w:r>
    </w:p>
    <w:p w14:paraId="299352AB" w14:textId="77777777" w:rsidR="0072615D" w:rsidRDefault="0072615D">
      <w:pPr>
        <w:pStyle w:val="Tableofcontents0"/>
        <w:tabs>
          <w:tab w:val="left" w:leader="dot" w:pos="6107"/>
          <w:tab w:val="right" w:pos="6799"/>
        </w:tabs>
        <w:jc w:val="both"/>
      </w:pPr>
      <w:r>
        <w:t xml:space="preserve">Enfermedades de transmisión sexual en adolescentes y niños </w:t>
      </w:r>
      <w:r>
        <w:tab/>
      </w:r>
      <w:r>
        <w:tab/>
        <w:t>172</w:t>
      </w:r>
    </w:p>
    <w:p w14:paraId="13D72671" w14:textId="77777777" w:rsidR="0072615D" w:rsidRDefault="0072615D">
      <w:pPr>
        <w:pStyle w:val="Tableofcontents0"/>
        <w:tabs>
          <w:tab w:val="left" w:leader="dot" w:pos="6107"/>
          <w:tab w:val="right" w:pos="6799"/>
        </w:tabs>
        <w:ind w:firstLine="360"/>
        <w:jc w:val="both"/>
      </w:pPr>
      <w:r>
        <w:t xml:space="preserve">Enfermedades de transmisión sexual en adolescentes </w:t>
      </w:r>
      <w:r>
        <w:tab/>
      </w:r>
      <w:r>
        <w:tab/>
        <w:t>173</w:t>
      </w:r>
    </w:p>
    <w:p w14:paraId="3FEA78FE" w14:textId="77777777" w:rsidR="0072615D" w:rsidRDefault="0072615D">
      <w:pPr>
        <w:pStyle w:val="Tableofcontents0"/>
        <w:tabs>
          <w:tab w:val="right" w:leader="dot" w:pos="6799"/>
        </w:tabs>
        <w:ind w:firstLine="360"/>
        <w:jc w:val="both"/>
      </w:pPr>
      <w:r>
        <w:t>Diagnóstico y tratamiento de STD en niños</w:t>
      </w:r>
      <w:r>
        <w:tab/>
        <w:t xml:space="preserve"> 175</w:t>
      </w:r>
    </w:p>
    <w:p w14:paraId="21308E1A" w14:textId="77777777" w:rsidR="0072615D" w:rsidRDefault="0072615D">
      <w:pPr>
        <w:pStyle w:val="Tableofcontents0"/>
        <w:tabs>
          <w:tab w:val="right" w:leader="dot" w:pos="6799"/>
        </w:tabs>
        <w:ind w:firstLine="360"/>
        <w:jc w:val="both"/>
      </w:pPr>
      <w:r>
        <w:t xml:space="preserve">Repercusiones sociales de la STD en niños </w:t>
      </w:r>
      <w:r>
        <w:tab/>
        <w:t xml:space="preserve"> 176</w:t>
      </w:r>
    </w:p>
    <w:p w14:paraId="5EC84F83" w14:textId="77777777" w:rsidR="0072615D" w:rsidRDefault="0072615D">
      <w:pPr>
        <w:pStyle w:val="Tableofcontents0"/>
        <w:tabs>
          <w:tab w:val="right" w:leader="dot" w:pos="6799"/>
        </w:tabs>
        <w:ind w:firstLine="360"/>
        <w:jc w:val="both"/>
      </w:pPr>
      <w:r>
        <w:t xml:space="preserve">Abuso sexual y STD </w:t>
      </w:r>
      <w:r>
        <w:tab/>
        <w:t xml:space="preserve"> 178</w:t>
      </w:r>
    </w:p>
    <w:p w14:paraId="459F4D26" w14:textId="77777777" w:rsidR="0072615D" w:rsidRDefault="0072615D">
      <w:pPr>
        <w:pStyle w:val="Tableofcontents0"/>
        <w:tabs>
          <w:tab w:val="right" w:leader="dot" w:pos="6799"/>
        </w:tabs>
        <w:jc w:val="both"/>
      </w:pPr>
      <w:r>
        <w:t>Hepatitis en jóvenes en correccionales</w:t>
      </w:r>
      <w:r>
        <w:tab/>
        <w:t xml:space="preserve"> 183</w:t>
      </w:r>
    </w:p>
    <w:p w14:paraId="0B5F8E9D" w14:textId="77777777" w:rsidR="0072615D" w:rsidRDefault="0072615D">
      <w:pPr>
        <w:pStyle w:val="Tableofcontents0"/>
        <w:tabs>
          <w:tab w:val="right" w:leader="dot" w:pos="6799"/>
        </w:tabs>
        <w:ind w:firstLine="360"/>
        <w:jc w:val="both"/>
      </w:pPr>
      <w:r>
        <w:t>Hepatitis A</w:t>
      </w:r>
      <w:r>
        <w:tab/>
        <w:t xml:space="preserve"> 184</w:t>
      </w:r>
    </w:p>
    <w:p w14:paraId="6BEECE69" w14:textId="77777777" w:rsidR="0072615D" w:rsidRDefault="0072615D">
      <w:pPr>
        <w:pStyle w:val="Tableofcontents0"/>
        <w:tabs>
          <w:tab w:val="right" w:leader="dot" w:pos="6799"/>
        </w:tabs>
        <w:ind w:firstLine="360"/>
        <w:jc w:val="both"/>
      </w:pPr>
      <w:r>
        <w:t xml:space="preserve">Hepatitis B </w:t>
      </w:r>
      <w:r>
        <w:tab/>
        <w:t xml:space="preserve"> 185</w:t>
      </w:r>
    </w:p>
    <w:p w14:paraId="437186E2" w14:textId="77777777" w:rsidR="0072615D" w:rsidRDefault="0072615D">
      <w:pPr>
        <w:pStyle w:val="Tableofcontents0"/>
        <w:tabs>
          <w:tab w:val="right" w:leader="dot" w:pos="6799"/>
        </w:tabs>
        <w:ind w:firstLine="360"/>
        <w:jc w:val="both"/>
      </w:pPr>
      <w:r>
        <w:t>Hepatitis C</w:t>
      </w:r>
      <w:r>
        <w:tab/>
        <w:t xml:space="preserve"> 188</w:t>
      </w:r>
    </w:p>
    <w:p w14:paraId="755065F0" w14:textId="77777777" w:rsidR="0072615D" w:rsidRDefault="0072615D">
      <w:pPr>
        <w:pStyle w:val="Tableofcontents0"/>
        <w:jc w:val="both"/>
      </w:pPr>
      <w:r>
        <w:t>Valoración médica inicial en busca de enfermedades infecciosas en niños</w:t>
      </w:r>
    </w:p>
    <w:p w14:paraId="2863A039" w14:textId="77777777" w:rsidR="0072615D" w:rsidRDefault="0072615D">
      <w:pPr>
        <w:pStyle w:val="Tableofcontents0"/>
        <w:tabs>
          <w:tab w:val="right" w:leader="dot" w:pos="6799"/>
        </w:tabs>
        <w:ind w:firstLine="140"/>
        <w:jc w:val="both"/>
      </w:pPr>
      <w:r>
        <w:t>extranjeros adoptados</w:t>
      </w:r>
      <w:r>
        <w:tab/>
        <w:t xml:space="preserve"> 190</w:t>
      </w:r>
    </w:p>
    <w:p w14:paraId="11068440" w14:textId="77777777" w:rsidR="0072615D" w:rsidRDefault="0072615D">
      <w:pPr>
        <w:pStyle w:val="Tableofcontents0"/>
        <w:tabs>
          <w:tab w:val="right" w:leader="dot" w:pos="6799"/>
        </w:tabs>
        <w:ind w:firstLine="360"/>
        <w:jc w:val="both"/>
      </w:pPr>
      <w:r>
        <w:t xml:space="preserve">Hepatitis vírica </w:t>
      </w:r>
      <w:r>
        <w:tab/>
        <w:t xml:space="preserve"> 191</w:t>
      </w:r>
    </w:p>
    <w:p w14:paraId="420C410C" w14:textId="77777777" w:rsidR="0072615D" w:rsidRDefault="0072615D">
      <w:pPr>
        <w:pStyle w:val="Tableofcontents0"/>
        <w:tabs>
          <w:tab w:val="right" w:leader="dot" w:pos="6799"/>
        </w:tabs>
        <w:ind w:firstLine="360"/>
        <w:jc w:val="both"/>
      </w:pPr>
      <w:r>
        <w:t>Virus citomegálico</w:t>
      </w:r>
      <w:r>
        <w:tab/>
        <w:t xml:space="preserve"> 193</w:t>
      </w:r>
    </w:p>
    <w:p w14:paraId="6B28533B" w14:textId="77777777" w:rsidR="0072615D" w:rsidRDefault="0072615D">
      <w:pPr>
        <w:pStyle w:val="Tableofcontents0"/>
        <w:tabs>
          <w:tab w:val="right" w:leader="dot" w:pos="6799"/>
        </w:tabs>
        <w:ind w:firstLine="360"/>
        <w:jc w:val="both"/>
      </w:pPr>
      <w:r>
        <w:t xml:space="preserve">Enteropatógenos </w:t>
      </w:r>
      <w:r>
        <w:tab/>
        <w:t xml:space="preserve"> 193</w:t>
      </w:r>
    </w:p>
    <w:p w14:paraId="050DF187" w14:textId="77777777" w:rsidR="0072615D" w:rsidRDefault="0072615D">
      <w:pPr>
        <w:pStyle w:val="Tableofcontents0"/>
        <w:tabs>
          <w:tab w:val="right" w:leader="dot" w:pos="6799"/>
        </w:tabs>
        <w:ind w:firstLine="360"/>
        <w:jc w:val="both"/>
      </w:pPr>
      <w:r>
        <w:t xml:space="preserve">Tuberculosis </w:t>
      </w:r>
      <w:r>
        <w:tab/>
        <w:t xml:space="preserve"> 194</w:t>
      </w:r>
    </w:p>
    <w:p w14:paraId="02F77B86" w14:textId="77777777" w:rsidR="0072615D" w:rsidRDefault="0072615D">
      <w:pPr>
        <w:pStyle w:val="Tableofcontents0"/>
        <w:tabs>
          <w:tab w:val="right" w:leader="dot" w:pos="6799"/>
        </w:tabs>
        <w:ind w:firstLine="360"/>
        <w:jc w:val="both"/>
      </w:pPr>
      <w:r>
        <w:t xml:space="preserve">Sífilis </w:t>
      </w:r>
      <w:r>
        <w:tab/>
        <w:t xml:space="preserve"> 194</w:t>
      </w:r>
    </w:p>
    <w:p w14:paraId="6B4A6EFC" w14:textId="77777777" w:rsidR="0072615D" w:rsidRDefault="0072615D">
      <w:pPr>
        <w:pStyle w:val="Tableofcontents0"/>
        <w:tabs>
          <w:tab w:val="right" w:leader="dot" w:pos="6799"/>
        </w:tabs>
        <w:ind w:firstLine="360"/>
        <w:jc w:val="both"/>
      </w:pPr>
      <w:r>
        <w:t>Infección por virus de inmunodeficiencia humana</w:t>
      </w:r>
      <w:r>
        <w:tab/>
        <w:t xml:space="preserve"> 195</w:t>
      </w:r>
    </w:p>
    <w:p w14:paraId="2190B94E" w14:textId="77777777" w:rsidR="0072615D" w:rsidRDefault="0072615D">
      <w:pPr>
        <w:pStyle w:val="Tableofcontents0"/>
        <w:tabs>
          <w:tab w:val="right" w:leader="dot" w:pos="6799"/>
        </w:tabs>
        <w:ind w:firstLine="360"/>
        <w:jc w:val="both"/>
      </w:pPr>
      <w:hyperlink w:anchor="bookmark595" w:tooltip="Current Document">
        <w:r>
          <w:t>Otras enfermedades infecciosas</w:t>
        </w:r>
        <w:r>
          <w:tab/>
          <w:t xml:space="preserve"> 195</w:t>
        </w:r>
      </w:hyperlink>
    </w:p>
    <w:p w14:paraId="4821A433" w14:textId="77777777" w:rsidR="0072615D" w:rsidRDefault="0072615D">
      <w:pPr>
        <w:pStyle w:val="Tableofcontents0"/>
        <w:tabs>
          <w:tab w:val="right" w:leader="dot" w:pos="6799"/>
        </w:tabs>
        <w:ind w:firstLine="360"/>
        <w:jc w:val="both"/>
      </w:pPr>
      <w:r>
        <w:t>Inmunizaciones</w:t>
      </w:r>
      <w:r>
        <w:tab/>
        <w:t xml:space="preserve"> 195</w:t>
      </w:r>
    </w:p>
    <w:p w14:paraId="4DA52194" w14:textId="77777777" w:rsidR="0072615D" w:rsidRDefault="0072615D">
      <w:pPr>
        <w:pStyle w:val="Tableofcontents0"/>
        <w:tabs>
          <w:tab w:val="right" w:leader="dot" w:pos="6799"/>
        </w:tabs>
        <w:jc w:val="both"/>
      </w:pPr>
      <w:r>
        <w:t xml:space="preserve">Lesiones por agujas desechadas en la comunidad </w:t>
      </w:r>
      <w:r>
        <w:tab/>
        <w:t xml:space="preserve"> 199</w:t>
      </w:r>
    </w:p>
    <w:p w14:paraId="5305F791" w14:textId="77777777" w:rsidR="0072615D" w:rsidRDefault="0072615D">
      <w:pPr>
        <w:pStyle w:val="Tableofcontents0"/>
        <w:tabs>
          <w:tab w:val="right" w:leader="dot" w:pos="6799"/>
        </w:tabs>
        <w:jc w:val="both"/>
      </w:pPr>
      <w:r>
        <w:t xml:space="preserve">Mordeduras </w:t>
      </w:r>
      <w:r>
        <w:tab/>
        <w:t xml:space="preserve"> 201</w:t>
      </w:r>
    </w:p>
    <w:p w14:paraId="26F7567C" w14:textId="77777777" w:rsidR="0072615D" w:rsidRDefault="0072615D">
      <w:pPr>
        <w:pStyle w:val="Tableofcontents0"/>
        <w:tabs>
          <w:tab w:val="left" w:leader="dot" w:pos="6107"/>
          <w:tab w:val="right" w:pos="6799"/>
        </w:tabs>
        <w:spacing w:after="260"/>
        <w:jc w:val="both"/>
      </w:pPr>
      <w:r>
        <w:t xml:space="preserve">Prevención de infecciones transmitidas por garrapatas </w:t>
      </w:r>
      <w:r>
        <w:tab/>
      </w:r>
      <w:r>
        <w:tab/>
        <w:t>205</w:t>
      </w:r>
    </w:p>
    <w:p w14:paraId="79BDA098" w14:textId="77777777" w:rsidR="0072615D" w:rsidRDefault="0072615D">
      <w:pPr>
        <w:pStyle w:val="Tableofcontents0"/>
        <w:jc w:val="both"/>
      </w:pPr>
      <w:r>
        <w:t>SECCIÓN 3</w:t>
      </w:r>
    </w:p>
    <w:p w14:paraId="7AC6E758" w14:textId="77777777" w:rsidR="0072615D" w:rsidRDefault="0072615D">
      <w:pPr>
        <w:pStyle w:val="Tableofcontents0"/>
        <w:spacing w:after="260"/>
        <w:jc w:val="both"/>
      </w:pPr>
      <w:r>
        <w:t>RESÚMENES DE ENFERMEDADES INFECCIOSAS</w:t>
      </w:r>
    </w:p>
    <w:p w14:paraId="3BA60C30" w14:textId="77777777" w:rsidR="0072615D" w:rsidRDefault="0072615D">
      <w:pPr>
        <w:pStyle w:val="Tableofcontents0"/>
        <w:tabs>
          <w:tab w:val="right" w:leader="dot" w:pos="6799"/>
        </w:tabs>
        <w:jc w:val="both"/>
      </w:pPr>
      <w:r>
        <w:t xml:space="preserve">Actinomicosis </w:t>
      </w:r>
      <w:r>
        <w:tab/>
        <w:t xml:space="preserve"> 207</w:t>
      </w:r>
    </w:p>
    <w:p w14:paraId="6C2E5298" w14:textId="77777777" w:rsidR="0072615D" w:rsidRDefault="0072615D">
      <w:pPr>
        <w:pStyle w:val="Tableofcontents0"/>
        <w:tabs>
          <w:tab w:val="right" w:leader="dot" w:pos="6799"/>
        </w:tabs>
        <w:jc w:val="both"/>
      </w:pPr>
      <w:r>
        <w:t xml:space="preserve">Adenovirus, infecciones </w:t>
      </w:r>
      <w:r>
        <w:tab/>
        <w:t xml:space="preserve"> 208</w:t>
      </w:r>
    </w:p>
    <w:p w14:paraId="48238429" w14:textId="77777777" w:rsidR="0072615D" w:rsidRDefault="0072615D">
      <w:pPr>
        <w:pStyle w:val="Tableofcontents0"/>
        <w:tabs>
          <w:tab w:val="right" w:leader="dot" w:pos="6799"/>
        </w:tabs>
        <w:jc w:val="both"/>
      </w:pPr>
      <w:r>
        <w:t>Amibianas, meningoencefalitis y queratitis</w:t>
      </w:r>
      <w:r>
        <w:tab/>
        <w:t xml:space="preserve"> 210</w:t>
      </w:r>
    </w:p>
    <w:p w14:paraId="1591E4F3" w14:textId="77777777" w:rsidR="0072615D" w:rsidRDefault="0072615D">
      <w:pPr>
        <w:pStyle w:val="Tableofcontents0"/>
        <w:tabs>
          <w:tab w:val="right" w:leader="dot" w:pos="6799"/>
        </w:tabs>
        <w:jc w:val="both"/>
      </w:pPr>
      <w:r>
        <w:t xml:space="preserve">Amibiasis </w:t>
      </w:r>
      <w:r>
        <w:tab/>
        <w:t xml:space="preserve"> 212</w:t>
      </w:r>
    </w:p>
    <w:p w14:paraId="1908FFC4" w14:textId="77777777" w:rsidR="0072615D" w:rsidRDefault="0072615D">
      <w:pPr>
        <w:pStyle w:val="Tableofcontents0"/>
        <w:tabs>
          <w:tab w:val="right" w:leader="dot" w:pos="6799"/>
        </w:tabs>
        <w:jc w:val="both"/>
      </w:pPr>
      <w:r>
        <w:t>Arañazo de gato</w:t>
      </w:r>
      <w:r>
        <w:tab/>
        <w:t xml:space="preserve"> 214</w:t>
      </w:r>
    </w:p>
    <w:p w14:paraId="0948D29B" w14:textId="77777777" w:rsidR="0072615D" w:rsidRDefault="0072615D">
      <w:pPr>
        <w:pStyle w:val="Tableofcontents0"/>
        <w:tabs>
          <w:tab w:val="right" w:leader="dot" w:pos="6799"/>
        </w:tabs>
        <w:jc w:val="both"/>
      </w:pPr>
      <w:r>
        <w:t xml:space="preserve">Arbovirus, infecciones </w:t>
      </w:r>
      <w:r>
        <w:tab/>
        <w:t xml:space="preserve"> 214</w:t>
      </w:r>
    </w:p>
    <w:p w14:paraId="49C433F6" w14:textId="77777777" w:rsidR="0072615D" w:rsidRDefault="0072615D">
      <w:pPr>
        <w:pStyle w:val="Tableofcontents0"/>
        <w:tabs>
          <w:tab w:val="right" w:leader="dot" w:pos="6799"/>
        </w:tabs>
        <w:jc w:val="both"/>
      </w:pPr>
      <w:r>
        <w:rPr>
          <w:rFonts w:ascii="Times New Roman" w:eastAsia="Times New Roman" w:hAnsi="Times New Roman" w:cs="Times New Roman"/>
          <w:i/>
          <w:iCs/>
          <w:sz w:val="16"/>
          <w:szCs w:val="16"/>
        </w:rPr>
        <w:t>Arcanobacterium haemolyticum</w:t>
      </w:r>
      <w:r>
        <w:rPr>
          <w:i/>
          <w:iCs/>
        </w:rPr>
        <w:t>,</w:t>
      </w:r>
      <w:r>
        <w:t xml:space="preserve"> infecciones </w:t>
      </w:r>
      <w:r>
        <w:tab/>
        <w:t xml:space="preserve"> 220</w:t>
      </w:r>
    </w:p>
    <w:p w14:paraId="070A524A" w14:textId="77777777" w:rsidR="0072615D" w:rsidRDefault="0072615D">
      <w:pPr>
        <w:pStyle w:val="Tableofcontents0"/>
        <w:tabs>
          <w:tab w:val="right" w:leader="dot" w:pos="6799"/>
        </w:tabs>
        <w:jc w:val="both"/>
      </w:pPr>
      <w:r>
        <w:rPr>
          <w:rFonts w:ascii="Times New Roman" w:eastAsia="Times New Roman" w:hAnsi="Times New Roman" w:cs="Times New Roman"/>
          <w:i/>
          <w:iCs/>
          <w:sz w:val="16"/>
          <w:szCs w:val="16"/>
        </w:rPr>
        <w:t>Ascaris lumbricoides</w:t>
      </w:r>
      <w:r>
        <w:rPr>
          <w:i/>
          <w:iCs/>
        </w:rPr>
        <w:t>,</w:t>
      </w:r>
      <w:r>
        <w:t xml:space="preserve"> infecciones</w:t>
      </w:r>
      <w:r>
        <w:tab/>
        <w:t xml:space="preserve"> 221</w:t>
      </w:r>
    </w:p>
    <w:p w14:paraId="3203A645" w14:textId="77777777" w:rsidR="0072615D" w:rsidRDefault="0072615D">
      <w:pPr>
        <w:pStyle w:val="Tableofcontents0"/>
        <w:tabs>
          <w:tab w:val="right" w:leader="dot" w:pos="6799"/>
        </w:tabs>
        <w:jc w:val="both"/>
      </w:pPr>
      <w:r>
        <w:t xml:space="preserve">Aspergilosis </w:t>
      </w:r>
      <w:r>
        <w:tab/>
        <w:t xml:space="preserve"> 223</w:t>
      </w:r>
    </w:p>
    <w:p w14:paraId="510E602F" w14:textId="77777777" w:rsidR="0072615D" w:rsidRDefault="0072615D">
      <w:pPr>
        <w:pStyle w:val="Tableofcontents0"/>
        <w:tabs>
          <w:tab w:val="right" w:leader="dot" w:pos="6799"/>
        </w:tabs>
        <w:jc w:val="both"/>
      </w:pPr>
      <w:r>
        <w:t xml:space="preserve">Astrovirus, infecciones </w:t>
      </w:r>
      <w:r>
        <w:tab/>
        <w:t xml:space="preserve"> 225</w:t>
      </w:r>
    </w:p>
    <w:p w14:paraId="2F8CD0FA" w14:textId="77777777" w:rsidR="0072615D" w:rsidRDefault="0072615D">
      <w:pPr>
        <w:pStyle w:val="Tableofcontents0"/>
        <w:tabs>
          <w:tab w:val="right" w:leader="dot" w:pos="6784"/>
        </w:tabs>
        <w:jc w:val="both"/>
      </w:pPr>
      <w:r>
        <w:t xml:space="preserve">Babesiosis </w:t>
      </w:r>
      <w:r>
        <w:tab/>
        <w:t xml:space="preserve"> 226</w:t>
      </w:r>
    </w:p>
    <w:p w14:paraId="4839E1DC"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Bacillus cereus</w:t>
      </w:r>
      <w:r>
        <w:rPr>
          <w:i/>
          <w:iCs/>
        </w:rPr>
        <w:t>,</w:t>
      </w:r>
      <w:r>
        <w:t xml:space="preserve"> infecciones</w:t>
      </w:r>
      <w:r>
        <w:tab/>
        <w:t xml:space="preserve"> 227</w:t>
      </w:r>
    </w:p>
    <w:p w14:paraId="6F9A82FF" w14:textId="77777777" w:rsidR="0072615D" w:rsidRDefault="0072615D">
      <w:pPr>
        <w:pStyle w:val="Tableofcontents0"/>
        <w:tabs>
          <w:tab w:val="right" w:leader="dot" w:pos="6784"/>
        </w:tabs>
        <w:jc w:val="both"/>
      </w:pPr>
      <w:r>
        <w:t>Bacteriana, vaginosis</w:t>
      </w:r>
      <w:r>
        <w:tab/>
        <w:t xml:space="preserve"> 228</w:t>
      </w:r>
    </w:p>
    <w:p w14:paraId="15A054D2"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Bacteroidesy Prevotella</w:t>
      </w:r>
      <w:r>
        <w:rPr>
          <w:i/>
          <w:iCs/>
        </w:rPr>
        <w:t>,</w:t>
      </w:r>
      <w:r>
        <w:t xml:space="preserve"> infecciones </w:t>
      </w:r>
      <w:r>
        <w:tab/>
        <w:t xml:space="preserve"> 230</w:t>
      </w:r>
    </w:p>
    <w:p w14:paraId="42E2AA38"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Balantidium coli</w:t>
      </w:r>
      <w:r>
        <w:rPr>
          <w:i/>
          <w:iCs/>
        </w:rPr>
        <w:t>,</w:t>
      </w:r>
      <w:r>
        <w:t xml:space="preserve"> infecciones (balantidiasis) </w:t>
      </w:r>
      <w:r>
        <w:tab/>
        <w:t xml:space="preserve"> 231</w:t>
      </w:r>
    </w:p>
    <w:p w14:paraId="0CA90D73"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Blastocystis hominis</w:t>
      </w:r>
      <w:r>
        <w:rPr>
          <w:i/>
          <w:iCs/>
        </w:rPr>
        <w:t>,</w:t>
      </w:r>
      <w:r>
        <w:t xml:space="preserve"> infecciones</w:t>
      </w:r>
      <w:r>
        <w:tab/>
        <w:t xml:space="preserve"> 232</w:t>
      </w:r>
    </w:p>
    <w:p w14:paraId="4C75A5DB" w14:textId="77777777" w:rsidR="0072615D" w:rsidRDefault="0072615D">
      <w:pPr>
        <w:pStyle w:val="Tableofcontents0"/>
        <w:tabs>
          <w:tab w:val="right" w:leader="dot" w:pos="6784"/>
        </w:tabs>
        <w:jc w:val="both"/>
      </w:pPr>
      <w:r>
        <w:t>Blastomicosis</w:t>
      </w:r>
      <w:r>
        <w:tab/>
        <w:t xml:space="preserve"> 232</w:t>
      </w:r>
    </w:p>
    <w:p w14:paraId="58689B6C"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Borreliosis</w:t>
      </w:r>
      <w:r>
        <w:t xml:space="preserve"> (fiebre recurrente)</w:t>
      </w:r>
      <w:r>
        <w:tab/>
        <w:t xml:space="preserve"> 234</w:t>
      </w:r>
    </w:p>
    <w:p w14:paraId="401F6868" w14:textId="77777777" w:rsidR="0072615D" w:rsidRDefault="0072615D">
      <w:pPr>
        <w:pStyle w:val="Tableofcontents0"/>
        <w:tabs>
          <w:tab w:val="right" w:leader="dot" w:pos="6784"/>
        </w:tabs>
        <w:jc w:val="both"/>
      </w:pPr>
      <w:r>
        <w:t xml:space="preserve">Brucelosis </w:t>
      </w:r>
      <w:r>
        <w:tab/>
        <w:t xml:space="preserve"> 237</w:t>
      </w:r>
    </w:p>
    <w:p w14:paraId="0FF54662"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Burkholderia</w:t>
      </w:r>
      <w:r>
        <w:rPr>
          <w:i/>
          <w:iCs/>
        </w:rPr>
        <w:t>,</w:t>
      </w:r>
      <w:r>
        <w:t xml:space="preserve"> infección</w:t>
      </w:r>
      <w:r>
        <w:tab/>
        <w:t xml:space="preserve"> 238</w:t>
      </w:r>
    </w:p>
    <w:p w14:paraId="4F99E6F5" w14:textId="77777777" w:rsidR="0072615D" w:rsidRDefault="0072615D">
      <w:pPr>
        <w:pStyle w:val="Tableofcontents0"/>
        <w:tabs>
          <w:tab w:val="right" w:leader="dot" w:pos="6784"/>
        </w:tabs>
        <w:jc w:val="both"/>
      </w:pPr>
      <w:r>
        <w:t xml:space="preserve">Calicivirus </w:t>
      </w:r>
      <w:r>
        <w:tab/>
        <w:t xml:space="preserve"> 240</w:t>
      </w:r>
    </w:p>
    <w:p w14:paraId="5E3E182C"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Campylobacter,</w:t>
      </w:r>
      <w:r>
        <w:t xml:space="preserve"> infecciones </w:t>
      </w:r>
      <w:r>
        <w:tab/>
        <w:t xml:space="preserve"> 241</w:t>
      </w:r>
    </w:p>
    <w:p w14:paraId="0F3241A7" w14:textId="77777777" w:rsidR="0072615D" w:rsidRDefault="0072615D">
      <w:pPr>
        <w:pStyle w:val="Tableofcontents0"/>
        <w:tabs>
          <w:tab w:val="right" w:leader="dot" w:pos="6784"/>
        </w:tabs>
        <w:jc w:val="both"/>
      </w:pPr>
      <w:r>
        <w:t xml:space="preserve">Candidiasis </w:t>
      </w:r>
      <w:r>
        <w:tab/>
        <w:t xml:space="preserve"> 243</w:t>
      </w:r>
    </w:p>
    <w:p w14:paraId="160D6C34" w14:textId="77777777" w:rsidR="0072615D" w:rsidRDefault="0072615D">
      <w:pPr>
        <w:pStyle w:val="Tableofcontents0"/>
        <w:tabs>
          <w:tab w:val="right" w:leader="dot" w:pos="6784"/>
        </w:tabs>
        <w:jc w:val="both"/>
      </w:pPr>
      <w:r>
        <w:t xml:space="preserve">Carbunco </w:t>
      </w:r>
      <w:r>
        <w:tab/>
        <w:t xml:space="preserve"> 246</w:t>
      </w:r>
    </w:p>
    <w:p w14:paraId="1BFCB3C6" w14:textId="77777777" w:rsidR="0072615D" w:rsidRDefault="0072615D">
      <w:pPr>
        <w:pStyle w:val="Tableofcontents0"/>
        <w:tabs>
          <w:tab w:val="right" w:leader="dot" w:pos="6784"/>
        </w:tabs>
        <w:jc w:val="both"/>
      </w:pPr>
      <w:r>
        <w:t xml:space="preserve">Chancroide </w:t>
      </w:r>
      <w:r>
        <w:tab/>
        <w:t xml:space="preserve"> 249</w:t>
      </w:r>
    </w:p>
    <w:p w14:paraId="48898533" w14:textId="77777777" w:rsidR="0072615D" w:rsidRDefault="0072615D">
      <w:pPr>
        <w:pStyle w:val="Tableofcontents0"/>
        <w:tabs>
          <w:tab w:val="right" w:leader="dot" w:pos="6784"/>
        </w:tabs>
        <w:jc w:val="both"/>
      </w:pPr>
      <w:r>
        <w:t>Choque tóxico, síndrome</w:t>
      </w:r>
      <w:r>
        <w:tab/>
        <w:t xml:space="preserve"> 251</w:t>
      </w:r>
    </w:p>
    <w:p w14:paraId="5EC7E04C" w14:textId="77777777" w:rsidR="0072615D" w:rsidRDefault="0072615D">
      <w:pPr>
        <w:pStyle w:val="Tableofcontents0"/>
        <w:tabs>
          <w:tab w:val="right" w:leader="dot" w:pos="6784"/>
        </w:tabs>
        <w:jc w:val="both"/>
      </w:pPr>
      <w:r>
        <w:t xml:space="preserve">Citomegálico, virus, infecciones </w:t>
      </w:r>
      <w:r>
        <w:tab/>
        <w:t xml:space="preserve"> 257</w:t>
      </w:r>
    </w:p>
    <w:p w14:paraId="34F4BD98" w14:textId="77777777" w:rsidR="0072615D" w:rsidRDefault="0072615D">
      <w:pPr>
        <w:pStyle w:val="Tableofcontents0"/>
        <w:tabs>
          <w:tab w:val="right" w:leader="dot" w:pos="6784"/>
        </w:tabs>
        <w:jc w:val="both"/>
      </w:pPr>
      <w:r>
        <w:t xml:space="preserve">Clamidiasis </w:t>
      </w:r>
      <w:r>
        <w:tab/>
        <w:t xml:space="preserve"> 261</w:t>
      </w:r>
    </w:p>
    <w:p w14:paraId="2C1A3EF8" w14:textId="77777777" w:rsidR="0072615D" w:rsidRDefault="0072615D">
      <w:pPr>
        <w:pStyle w:val="Tableofcontents0"/>
        <w:tabs>
          <w:tab w:val="right" w:leader="dot" w:pos="6784"/>
        </w:tabs>
        <w:ind w:firstLine="360"/>
        <w:jc w:val="both"/>
      </w:pPr>
      <w:r>
        <w:rPr>
          <w:rFonts w:ascii="Times New Roman" w:eastAsia="Times New Roman" w:hAnsi="Times New Roman" w:cs="Times New Roman"/>
          <w:i/>
          <w:iCs/>
          <w:sz w:val="16"/>
          <w:szCs w:val="16"/>
        </w:rPr>
        <w:t>Chlamydia (Chlamydophila) pneumoniae</w:t>
      </w:r>
      <w:r>
        <w:rPr>
          <w:rFonts w:ascii="Times New Roman" w:eastAsia="Times New Roman" w:hAnsi="Times New Roman" w:cs="Times New Roman"/>
          <w:i/>
          <w:iCs/>
          <w:sz w:val="16"/>
          <w:szCs w:val="16"/>
        </w:rPr>
        <w:tab/>
      </w:r>
      <w:r>
        <w:t xml:space="preserve"> 261</w:t>
      </w:r>
    </w:p>
    <w:p w14:paraId="05EE8644" w14:textId="77777777" w:rsidR="0072615D" w:rsidRDefault="0072615D">
      <w:pPr>
        <w:pStyle w:val="Tableofcontents0"/>
        <w:tabs>
          <w:tab w:val="right" w:leader="dot" w:pos="6784"/>
        </w:tabs>
        <w:ind w:firstLine="360"/>
        <w:jc w:val="both"/>
      </w:pPr>
      <w:r>
        <w:rPr>
          <w:rFonts w:ascii="Times New Roman" w:eastAsia="Times New Roman" w:hAnsi="Times New Roman" w:cs="Times New Roman"/>
          <w:i/>
          <w:iCs/>
          <w:sz w:val="16"/>
          <w:szCs w:val="16"/>
        </w:rPr>
        <w:t>Chlamydia (Chlamydophila) psittaci</w:t>
      </w:r>
      <w:r>
        <w:rPr>
          <w:rFonts w:ascii="Times New Roman" w:eastAsia="Times New Roman" w:hAnsi="Times New Roman" w:cs="Times New Roman"/>
          <w:i/>
          <w:iCs/>
          <w:sz w:val="16"/>
          <w:szCs w:val="16"/>
        </w:rPr>
        <w:tab/>
      </w:r>
      <w:r>
        <w:t xml:space="preserve"> 263</w:t>
      </w:r>
    </w:p>
    <w:p w14:paraId="2AA18DD6" w14:textId="77777777" w:rsidR="0072615D" w:rsidRDefault="0072615D">
      <w:pPr>
        <w:pStyle w:val="Tableofcontents0"/>
        <w:tabs>
          <w:tab w:val="right" w:leader="dot" w:pos="6784"/>
        </w:tabs>
        <w:ind w:firstLine="360"/>
        <w:jc w:val="both"/>
      </w:pPr>
      <w:r>
        <w:rPr>
          <w:rFonts w:ascii="Times New Roman" w:eastAsia="Times New Roman" w:hAnsi="Times New Roman" w:cs="Times New Roman"/>
          <w:i/>
          <w:iCs/>
          <w:sz w:val="16"/>
          <w:szCs w:val="16"/>
        </w:rPr>
        <w:t>Chlamydia trachomatis</w:t>
      </w:r>
      <w:r>
        <w:rPr>
          <w:rFonts w:ascii="Times New Roman" w:eastAsia="Times New Roman" w:hAnsi="Times New Roman" w:cs="Times New Roman"/>
          <w:i/>
          <w:iCs/>
          <w:sz w:val="16"/>
          <w:szCs w:val="16"/>
        </w:rPr>
        <w:tab/>
      </w:r>
      <w:r>
        <w:t xml:space="preserve"> 264</w:t>
      </w:r>
    </w:p>
    <w:p w14:paraId="12CB07E3" w14:textId="77777777" w:rsidR="0072615D" w:rsidRDefault="0072615D">
      <w:pPr>
        <w:pStyle w:val="Tableofcontents0"/>
        <w:tabs>
          <w:tab w:val="right" w:leader="dot" w:pos="6784"/>
        </w:tabs>
        <w:jc w:val="both"/>
      </w:pPr>
      <w:r>
        <w:t xml:space="preserve">Clostridios, infección </w:t>
      </w:r>
      <w:r>
        <w:tab/>
        <w:t xml:space="preserve"> 269</w:t>
      </w:r>
    </w:p>
    <w:p w14:paraId="11FA4B56" w14:textId="77777777" w:rsidR="0072615D" w:rsidRDefault="0072615D">
      <w:pPr>
        <w:pStyle w:val="Tableofcontents0"/>
        <w:tabs>
          <w:tab w:val="right" w:leader="dot" w:pos="6784"/>
        </w:tabs>
        <w:ind w:firstLine="360"/>
        <w:jc w:val="both"/>
      </w:pPr>
      <w:r>
        <w:t>Botulismo en niños y lactantes</w:t>
      </w:r>
      <w:r>
        <w:tab/>
        <w:t xml:space="preserve"> 269</w:t>
      </w:r>
    </w:p>
    <w:p w14:paraId="4A28DABD" w14:textId="77777777" w:rsidR="0072615D" w:rsidRDefault="0072615D">
      <w:pPr>
        <w:pStyle w:val="Tableofcontents0"/>
        <w:tabs>
          <w:tab w:val="right" w:leader="dot" w:pos="6784"/>
        </w:tabs>
        <w:ind w:firstLine="360"/>
        <w:jc w:val="both"/>
      </w:pPr>
      <w:r>
        <w:rPr>
          <w:rFonts w:ascii="Times New Roman" w:eastAsia="Times New Roman" w:hAnsi="Times New Roman" w:cs="Times New Roman"/>
          <w:i/>
          <w:iCs/>
          <w:sz w:val="16"/>
          <w:szCs w:val="16"/>
        </w:rPr>
        <w:t xml:space="preserve">Clostridium difficile </w:t>
      </w:r>
      <w:r>
        <w:rPr>
          <w:rFonts w:ascii="Times New Roman" w:eastAsia="Times New Roman" w:hAnsi="Times New Roman" w:cs="Times New Roman"/>
          <w:i/>
          <w:iCs/>
          <w:sz w:val="16"/>
          <w:szCs w:val="16"/>
        </w:rPr>
        <w:tab/>
      </w:r>
      <w:r>
        <w:t xml:space="preserve"> 272</w:t>
      </w:r>
    </w:p>
    <w:p w14:paraId="1C5C5CDA" w14:textId="77777777" w:rsidR="0072615D" w:rsidRDefault="0072615D">
      <w:pPr>
        <w:pStyle w:val="Tableofcontents0"/>
        <w:tabs>
          <w:tab w:val="right" w:leader="dot" w:pos="6784"/>
        </w:tabs>
        <w:ind w:firstLine="360"/>
        <w:jc w:val="both"/>
      </w:pPr>
      <w:r>
        <w:t>Clostridios, mionecrosis</w:t>
      </w:r>
      <w:r>
        <w:tab/>
        <w:t xml:space="preserve"> 274</w:t>
      </w:r>
    </w:p>
    <w:p w14:paraId="1E62E905" w14:textId="77777777" w:rsidR="0072615D" w:rsidRDefault="0072615D">
      <w:pPr>
        <w:pStyle w:val="Tableofcontents0"/>
        <w:tabs>
          <w:tab w:val="right" w:leader="dot" w:pos="6784"/>
        </w:tabs>
        <w:ind w:firstLine="360"/>
        <w:jc w:val="both"/>
      </w:pPr>
      <w:r>
        <w:rPr>
          <w:rFonts w:ascii="Times New Roman" w:eastAsia="Times New Roman" w:hAnsi="Times New Roman" w:cs="Times New Roman"/>
          <w:i/>
          <w:iCs/>
          <w:sz w:val="16"/>
          <w:szCs w:val="16"/>
        </w:rPr>
        <w:t>Clostridium perfnngens,</w:t>
      </w:r>
      <w:r>
        <w:t xml:space="preserve"> intoxicación alimentaria </w:t>
      </w:r>
      <w:r>
        <w:tab/>
        <w:t xml:space="preserve"> 275</w:t>
      </w:r>
    </w:p>
    <w:p w14:paraId="539225C7" w14:textId="77777777" w:rsidR="0072615D" w:rsidRDefault="0072615D">
      <w:pPr>
        <w:pStyle w:val="Tableofcontents0"/>
        <w:tabs>
          <w:tab w:val="right" w:leader="dot" w:pos="6784"/>
        </w:tabs>
        <w:jc w:val="both"/>
      </w:pPr>
      <w:r>
        <w:t xml:space="preserve">Coccidioidomicosis </w:t>
      </w:r>
      <w:r>
        <w:tab/>
        <w:t xml:space="preserve"> 276</w:t>
      </w:r>
    </w:p>
    <w:p w14:paraId="28C02FA4" w14:textId="77777777" w:rsidR="0072615D" w:rsidRDefault="0072615D">
      <w:pPr>
        <w:pStyle w:val="Tableofcontents0"/>
        <w:tabs>
          <w:tab w:val="right" w:leader="dot" w:pos="6784"/>
        </w:tabs>
        <w:jc w:val="both"/>
      </w:pPr>
      <w:r>
        <w:t xml:space="preserve">Coronavirus </w:t>
      </w:r>
      <w:r>
        <w:tab/>
        <w:t xml:space="preserve"> 279</w:t>
      </w:r>
    </w:p>
    <w:p w14:paraId="6FF07314" w14:textId="77777777" w:rsidR="0072615D" w:rsidRDefault="0072615D">
      <w:pPr>
        <w:pStyle w:val="Tableofcontents0"/>
        <w:tabs>
          <w:tab w:val="right" w:leader="dot" w:pos="6784"/>
        </w:tabs>
        <w:jc w:val="both"/>
      </w:pPr>
      <w:r>
        <w:t xml:space="preserve">Criptosporidiosis </w:t>
      </w:r>
      <w:r>
        <w:tab/>
        <w:t xml:space="preserve"> 279</w:t>
      </w:r>
    </w:p>
    <w:p w14:paraId="767BB18F"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Cryptococcus neoformans,</w:t>
      </w:r>
      <w:r>
        <w:t xml:space="preserve"> infecciones </w:t>
      </w:r>
      <w:r>
        <w:tab/>
        <w:t xml:space="preserve"> 281</w:t>
      </w:r>
    </w:p>
    <w:p w14:paraId="0257BF5A" w14:textId="77777777" w:rsidR="0072615D" w:rsidRDefault="0072615D">
      <w:pPr>
        <w:pStyle w:val="Tableofcontents0"/>
        <w:tabs>
          <w:tab w:val="right" w:leader="dot" w:pos="6784"/>
        </w:tabs>
        <w:jc w:val="both"/>
      </w:pPr>
      <w:r>
        <w:t xml:space="preserve">Cutánea, </w:t>
      </w:r>
      <w:r>
        <w:rPr>
          <w:rFonts w:ascii="Times New Roman" w:eastAsia="Times New Roman" w:hAnsi="Times New Roman" w:cs="Times New Roman"/>
          <w:i/>
          <w:iCs/>
          <w:sz w:val="16"/>
          <w:szCs w:val="16"/>
        </w:rPr>
        <w:t>larva migrans</w:t>
      </w:r>
      <w:r>
        <w:rPr>
          <w:rFonts w:ascii="Times New Roman" w:eastAsia="Times New Roman" w:hAnsi="Times New Roman" w:cs="Times New Roman"/>
          <w:i/>
          <w:iCs/>
          <w:sz w:val="16"/>
          <w:szCs w:val="16"/>
        </w:rPr>
        <w:tab/>
      </w:r>
      <w:r>
        <w:t xml:space="preserve"> 282</w:t>
      </w:r>
    </w:p>
    <w:p w14:paraId="7B5491AB"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Cyclospora,</w:t>
      </w:r>
      <w:r>
        <w:t xml:space="preserve"> infecciones (ciclosporiasis) </w:t>
      </w:r>
      <w:r>
        <w:tab/>
        <w:t xml:space="preserve"> 283</w:t>
      </w:r>
    </w:p>
    <w:p w14:paraId="7665533E" w14:textId="77777777" w:rsidR="0072615D" w:rsidRDefault="0072615D">
      <w:pPr>
        <w:pStyle w:val="Tableofcontents0"/>
        <w:tabs>
          <w:tab w:val="right" w:leader="dot" w:pos="6784"/>
        </w:tabs>
        <w:jc w:val="both"/>
      </w:pPr>
      <w:r>
        <w:t xml:space="preserve">Difteria </w:t>
      </w:r>
      <w:r>
        <w:tab/>
        <w:t xml:space="preserve"> 284</w:t>
      </w:r>
    </w:p>
    <w:p w14:paraId="283767B0" w14:textId="77777777" w:rsidR="0072615D" w:rsidRDefault="0072615D">
      <w:pPr>
        <w:pStyle w:val="Tableofcontents0"/>
        <w:tabs>
          <w:tab w:val="right" w:leader="dot" w:pos="6784"/>
        </w:tabs>
        <w:jc w:val="both"/>
      </w:pPr>
      <w:r>
        <w:t xml:space="preserve">Donovanosis </w:t>
      </w:r>
      <w:r>
        <w:tab/>
        <w:t xml:space="preserve"> 288</w:t>
      </w:r>
    </w:p>
    <w:p w14:paraId="70918FA5"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Ehrlichia,</w:t>
      </w:r>
      <w:r>
        <w:t xml:space="preserve"> infecciones (ehrlichiosis de humanos)</w:t>
      </w:r>
      <w:r>
        <w:tab/>
        <w:t xml:space="preserve"> 288</w:t>
      </w:r>
    </w:p>
    <w:p w14:paraId="1B409C70" w14:textId="77777777" w:rsidR="0072615D" w:rsidRDefault="0072615D">
      <w:pPr>
        <w:pStyle w:val="Tableofcontents0"/>
        <w:tabs>
          <w:tab w:val="right" w:leader="dot" w:pos="6784"/>
        </w:tabs>
        <w:jc w:val="both"/>
      </w:pPr>
      <w:r>
        <w:t xml:space="preserve">Enterobiasis </w:t>
      </w:r>
      <w:r>
        <w:tab/>
        <w:t xml:space="preserve"> 290</w:t>
      </w:r>
    </w:p>
    <w:p w14:paraId="18BE32F5" w14:textId="77777777" w:rsidR="0072615D" w:rsidRDefault="0072615D">
      <w:pPr>
        <w:pStyle w:val="Tableofcontents0"/>
        <w:tabs>
          <w:tab w:val="right" w:leader="dot" w:pos="6784"/>
        </w:tabs>
        <w:jc w:val="both"/>
      </w:pPr>
      <w:r>
        <w:t xml:space="preserve">Enterovirus, infecciones (no poliomielíticos) </w:t>
      </w:r>
      <w:r>
        <w:tab/>
        <w:t xml:space="preserve"> 292</w:t>
      </w:r>
    </w:p>
    <w:p w14:paraId="53B5924E" w14:textId="77777777" w:rsidR="0072615D" w:rsidRDefault="0072615D">
      <w:pPr>
        <w:pStyle w:val="Tableofcontents0"/>
        <w:tabs>
          <w:tab w:val="right" w:leader="dot" w:pos="6784"/>
        </w:tabs>
        <w:jc w:val="both"/>
      </w:pPr>
      <w:r>
        <w:t>Epstein-Barr, virus, infecciones</w:t>
      </w:r>
      <w:r>
        <w:tab/>
        <w:t xml:space="preserve"> 293</w:t>
      </w:r>
    </w:p>
    <w:p w14:paraId="77BAA81A" w14:textId="77777777" w:rsidR="0072615D" w:rsidRDefault="0072615D">
      <w:pPr>
        <w:pStyle w:val="Tableofcontents0"/>
        <w:tabs>
          <w:tab w:val="right" w:leader="dot" w:pos="6784"/>
        </w:tabs>
        <w:jc w:val="both"/>
      </w:pPr>
      <w:r>
        <w:t xml:space="preserve">Escabiasis </w:t>
      </w:r>
      <w:r>
        <w:tab/>
        <w:t xml:space="preserve"> 296</w:t>
      </w:r>
    </w:p>
    <w:p w14:paraId="4ECFF19E"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Escherichia coli,</w:t>
      </w:r>
      <w:r>
        <w:t xml:space="preserve"> y otros bacilos gramnegativos </w:t>
      </w:r>
      <w:r>
        <w:tab/>
        <w:t xml:space="preserve"> 298</w:t>
      </w:r>
    </w:p>
    <w:p w14:paraId="1A752420" w14:textId="77777777" w:rsidR="0072615D" w:rsidRDefault="0072615D">
      <w:pPr>
        <w:pStyle w:val="Tableofcontents0"/>
        <w:tabs>
          <w:tab w:val="right" w:leader="dot" w:pos="6784"/>
        </w:tabs>
        <w:jc w:val="both"/>
      </w:pPr>
      <w:r>
        <w:rPr>
          <w:rFonts w:ascii="Times New Roman" w:eastAsia="Times New Roman" w:hAnsi="Times New Roman" w:cs="Times New Roman"/>
          <w:i/>
          <w:iCs/>
          <w:sz w:val="16"/>
          <w:szCs w:val="16"/>
        </w:rPr>
        <w:t>Escherichia coli,</w:t>
      </w:r>
      <w:r>
        <w:t xml:space="preserve"> diarrea</w:t>
      </w:r>
      <w:r>
        <w:tab/>
        <w:t xml:space="preserve"> 300</w:t>
      </w:r>
    </w:p>
    <w:p w14:paraId="1AF79E6B" w14:textId="77777777" w:rsidR="0072615D" w:rsidRDefault="0072615D">
      <w:pPr>
        <w:pStyle w:val="Tableofcontents0"/>
        <w:tabs>
          <w:tab w:val="right" w:leader="dot" w:pos="6784"/>
        </w:tabs>
        <w:jc w:val="both"/>
      </w:pPr>
      <w:r>
        <w:t>Esporotricosis</w:t>
      </w:r>
      <w:r>
        <w:tab/>
        <w:t xml:space="preserve"> 305</w:t>
      </w:r>
    </w:p>
    <w:p w14:paraId="28852A97" w14:textId="77777777" w:rsidR="0072615D" w:rsidRDefault="0072615D">
      <w:pPr>
        <w:pStyle w:val="Tableofcontents0"/>
        <w:tabs>
          <w:tab w:val="right" w:leader="dot" w:pos="6784"/>
        </w:tabs>
        <w:jc w:val="both"/>
      </w:pPr>
      <w:r>
        <w:t>Esquistosomiasis</w:t>
      </w:r>
      <w:r>
        <w:tab/>
        <w:t xml:space="preserve"> 307</w:t>
      </w:r>
    </w:p>
    <w:p w14:paraId="17BFB3C8" w14:textId="77777777" w:rsidR="0072615D" w:rsidRDefault="0072615D">
      <w:pPr>
        <w:pStyle w:val="Tableofcontents0"/>
        <w:tabs>
          <w:tab w:val="right" w:leader="dot" w:pos="6784"/>
        </w:tabs>
        <w:jc w:val="both"/>
      </w:pPr>
      <w:r>
        <w:t xml:space="preserve">Estafilococos, infecciones </w:t>
      </w:r>
      <w:r>
        <w:tab/>
        <w:t xml:space="preserve"> 309</w:t>
      </w:r>
    </w:p>
    <w:p w14:paraId="3060B9BA" w14:textId="77777777" w:rsidR="0072615D" w:rsidRDefault="0072615D">
      <w:pPr>
        <w:pStyle w:val="Tableofcontents0"/>
        <w:tabs>
          <w:tab w:val="right" w:leader="dot" w:pos="6784"/>
        </w:tabs>
        <w:jc w:val="both"/>
      </w:pPr>
      <w:r>
        <w:t>Estafilococos, intoxicación alimentaria</w:t>
      </w:r>
      <w:r>
        <w:tab/>
        <w:t xml:space="preserve"> 323</w:t>
      </w:r>
    </w:p>
    <w:p w14:paraId="09C1E5A5" w14:textId="77777777" w:rsidR="0072615D" w:rsidRDefault="0072615D">
      <w:pPr>
        <w:pStyle w:val="Tableofcontents0"/>
        <w:jc w:val="both"/>
      </w:pPr>
      <w:r>
        <w:t>Estreptocócica (por especies no pertenecientes a grupos A o B)</w:t>
      </w:r>
    </w:p>
    <w:p w14:paraId="6E93B2F2" w14:textId="77777777" w:rsidR="0072615D" w:rsidRDefault="0072615D">
      <w:pPr>
        <w:pStyle w:val="Tableofcontents0"/>
        <w:tabs>
          <w:tab w:val="right" w:leader="dot" w:pos="6784"/>
        </w:tabs>
        <w:jc w:val="both"/>
      </w:pPr>
      <w:r>
        <w:t>y enterocócicas, infecciones</w:t>
      </w:r>
      <w:r>
        <w:tab/>
        <w:t xml:space="preserve"> 324</w:t>
      </w:r>
    </w:p>
    <w:p w14:paraId="3344DD1C" w14:textId="77777777" w:rsidR="0072615D" w:rsidRDefault="0072615D">
      <w:pPr>
        <w:pStyle w:val="Tableofcontents0"/>
        <w:tabs>
          <w:tab w:val="right" w:leader="dot" w:pos="6784"/>
        </w:tabs>
        <w:jc w:val="both"/>
      </w:pPr>
      <w:r>
        <w:t xml:space="preserve">Estreptococos del grupo A, infecciones </w:t>
      </w:r>
      <w:r>
        <w:tab/>
        <w:t xml:space="preserve"> 326</w:t>
      </w:r>
    </w:p>
    <w:p w14:paraId="73E343ED" w14:textId="77777777" w:rsidR="0072615D" w:rsidRDefault="0072615D">
      <w:pPr>
        <w:pStyle w:val="Tableofcontents0"/>
        <w:tabs>
          <w:tab w:val="right" w:leader="dot" w:pos="6787"/>
        </w:tabs>
      </w:pPr>
      <w:r>
        <w:t xml:space="preserve">Estreptococos del grupo B, infecciones </w:t>
      </w:r>
      <w:r>
        <w:tab/>
        <w:t xml:space="preserve"> 338</w:t>
      </w:r>
    </w:p>
    <w:p w14:paraId="70B1C33F" w14:textId="77777777" w:rsidR="0072615D" w:rsidRDefault="0072615D">
      <w:pPr>
        <w:pStyle w:val="Tableofcontents0"/>
        <w:tabs>
          <w:tab w:val="right" w:leader="dot" w:pos="6787"/>
        </w:tabs>
      </w:pPr>
      <w:r>
        <w:t>Estrongiloidiasis</w:t>
      </w:r>
      <w:r>
        <w:tab/>
        <w:t xml:space="preserve"> 345</w:t>
      </w:r>
    </w:p>
    <w:p w14:paraId="6E9C344E" w14:textId="77777777" w:rsidR="0072615D" w:rsidRDefault="0072615D">
      <w:pPr>
        <w:pStyle w:val="Tableofcontents0"/>
        <w:tabs>
          <w:tab w:val="right" w:leader="dot" w:pos="6787"/>
        </w:tabs>
      </w:pPr>
      <w:r>
        <w:rPr>
          <w:rFonts w:ascii="Times New Roman" w:eastAsia="Times New Roman" w:hAnsi="Times New Roman" w:cs="Times New Roman"/>
          <w:i/>
          <w:iCs/>
          <w:sz w:val="16"/>
          <w:szCs w:val="16"/>
        </w:rPr>
        <w:t>Giardia lamblia,</w:t>
      </w:r>
      <w:r>
        <w:t xml:space="preserve"> infecciones </w:t>
      </w:r>
      <w:r>
        <w:tab/>
        <w:t xml:space="preserve"> 346</w:t>
      </w:r>
    </w:p>
    <w:p w14:paraId="798F8E3E" w14:textId="77777777" w:rsidR="0072615D" w:rsidRDefault="0072615D">
      <w:pPr>
        <w:pStyle w:val="Tableofcontents0"/>
        <w:tabs>
          <w:tab w:val="right" w:leader="dot" w:pos="6787"/>
        </w:tabs>
      </w:pPr>
      <w:r>
        <w:t xml:space="preserve">Gonococos, infecciones </w:t>
      </w:r>
      <w:r>
        <w:tab/>
        <w:t xml:space="preserve"> 348</w:t>
      </w:r>
    </w:p>
    <w:p w14:paraId="1350CEBF" w14:textId="77777777" w:rsidR="0072615D" w:rsidRDefault="0072615D">
      <w:pPr>
        <w:pStyle w:val="Tableofcontents0"/>
        <w:tabs>
          <w:tab w:val="right" w:leader="dot" w:pos="6787"/>
        </w:tabs>
      </w:pPr>
      <w:r>
        <w:t>Granuloma inguinal</w:t>
      </w:r>
      <w:r>
        <w:tab/>
        <w:t xml:space="preserve"> 355</w:t>
      </w:r>
    </w:p>
    <w:p w14:paraId="1E18305C" w14:textId="77777777" w:rsidR="0072615D" w:rsidRDefault="0072615D">
      <w:pPr>
        <w:pStyle w:val="Tableofcontents0"/>
        <w:tabs>
          <w:tab w:val="right" w:leader="dot" w:pos="6787"/>
        </w:tabs>
      </w:pPr>
      <w:r>
        <w:rPr>
          <w:rFonts w:ascii="Times New Roman" w:eastAsia="Times New Roman" w:hAnsi="Times New Roman" w:cs="Times New Roman"/>
          <w:i/>
          <w:iCs/>
          <w:sz w:val="16"/>
          <w:szCs w:val="16"/>
        </w:rPr>
        <w:t>Haemophilus influenzae,</w:t>
      </w:r>
      <w:r>
        <w:t xml:space="preserve"> infecciones</w:t>
      </w:r>
      <w:r>
        <w:tab/>
        <w:t xml:space="preserve"> 357</w:t>
      </w:r>
    </w:p>
    <w:p w14:paraId="2103EB07" w14:textId="77777777" w:rsidR="0072615D" w:rsidRDefault="0072615D">
      <w:pPr>
        <w:pStyle w:val="Tableofcontents0"/>
        <w:tabs>
          <w:tab w:val="right" w:leader="dot" w:pos="6787"/>
        </w:tabs>
      </w:pPr>
      <w:r>
        <w:t>Hanta, virus, síndrome pulmonar</w:t>
      </w:r>
      <w:r>
        <w:tab/>
        <w:t xml:space="preserve"> 365</w:t>
      </w:r>
    </w:p>
    <w:p w14:paraId="2E5C2876" w14:textId="77777777" w:rsidR="0072615D" w:rsidRDefault="0072615D">
      <w:pPr>
        <w:pStyle w:val="Tableofcontents0"/>
        <w:tabs>
          <w:tab w:val="right" w:leader="dot" w:pos="6787"/>
        </w:tabs>
      </w:pPr>
      <w:r>
        <w:rPr>
          <w:rFonts w:ascii="Times New Roman" w:eastAsia="Times New Roman" w:hAnsi="Times New Roman" w:cs="Times New Roman"/>
          <w:i/>
          <w:iCs/>
          <w:sz w:val="16"/>
          <w:szCs w:val="16"/>
        </w:rPr>
        <w:t>Helicobacter pylori,</w:t>
      </w:r>
      <w:r>
        <w:t xml:space="preserve"> infecciones</w:t>
      </w:r>
      <w:r>
        <w:tab/>
        <w:t xml:space="preserve"> 368</w:t>
      </w:r>
    </w:p>
    <w:p w14:paraId="20890432" w14:textId="77777777" w:rsidR="0072615D" w:rsidRDefault="0072615D">
      <w:pPr>
        <w:pStyle w:val="Tableofcontents0"/>
        <w:tabs>
          <w:tab w:val="right" w:leader="dot" w:pos="6787"/>
        </w:tabs>
      </w:pPr>
      <w:r>
        <w:t xml:space="preserve">Hemorrágicas, fiebres, por arenavirus </w:t>
      </w:r>
      <w:r>
        <w:tab/>
        <w:t xml:space="preserve"> 369</w:t>
      </w:r>
    </w:p>
    <w:p w14:paraId="4372B706" w14:textId="77777777" w:rsidR="0072615D" w:rsidRDefault="0072615D">
      <w:pPr>
        <w:pStyle w:val="Tableofcontents0"/>
      </w:pPr>
      <w:r>
        <w:t>Hemorrágicas, fiebres, y síndromes similares</w:t>
      </w:r>
    </w:p>
    <w:p w14:paraId="22E43840" w14:textId="77777777" w:rsidR="0072615D" w:rsidRDefault="0072615D">
      <w:pPr>
        <w:pStyle w:val="Tableofcontents0"/>
        <w:ind w:firstLine="140"/>
        <w:jc w:val="both"/>
      </w:pPr>
      <w:r>
        <w:t>(excluido el síndrome pulmonar por virus Hanta) causados</w:t>
      </w:r>
    </w:p>
    <w:p w14:paraId="284EA546" w14:textId="77777777" w:rsidR="0072615D" w:rsidRDefault="0072615D">
      <w:pPr>
        <w:pStyle w:val="Tableofcontents0"/>
        <w:tabs>
          <w:tab w:val="right" w:leader="dot" w:pos="6787"/>
        </w:tabs>
        <w:ind w:firstLine="140"/>
        <w:jc w:val="both"/>
      </w:pPr>
      <w:r>
        <w:t xml:space="preserve">por virus de la familia Bunyaviridae </w:t>
      </w:r>
      <w:r>
        <w:tab/>
        <w:t xml:space="preserve"> 371</w:t>
      </w:r>
    </w:p>
    <w:p w14:paraId="6C2746D8" w14:textId="77777777" w:rsidR="0072615D" w:rsidRDefault="0072615D">
      <w:pPr>
        <w:pStyle w:val="Tableofcontents0"/>
        <w:tabs>
          <w:tab w:val="right" w:leader="dot" w:pos="6787"/>
        </w:tabs>
        <w:jc w:val="both"/>
      </w:pPr>
      <w:r>
        <w:t xml:space="preserve">Hepatitis A </w:t>
      </w:r>
      <w:r>
        <w:tab/>
        <w:t xml:space="preserve"> 374</w:t>
      </w:r>
    </w:p>
    <w:p w14:paraId="39D5B332" w14:textId="77777777" w:rsidR="0072615D" w:rsidRDefault="0072615D">
      <w:pPr>
        <w:pStyle w:val="Tableofcontents0"/>
        <w:tabs>
          <w:tab w:val="right" w:leader="dot" w:pos="6787"/>
        </w:tabs>
        <w:jc w:val="both"/>
      </w:pPr>
      <w:r>
        <w:t xml:space="preserve">Hepatitis B </w:t>
      </w:r>
      <w:r>
        <w:tab/>
        <w:t xml:space="preserve"> 383</w:t>
      </w:r>
    </w:p>
    <w:p w14:paraId="56486033" w14:textId="77777777" w:rsidR="0072615D" w:rsidRDefault="0072615D">
      <w:pPr>
        <w:pStyle w:val="Tableofcontents0"/>
        <w:tabs>
          <w:tab w:val="right" w:leader="dot" w:pos="6787"/>
        </w:tabs>
        <w:jc w:val="both"/>
      </w:pPr>
      <w:r>
        <w:t xml:space="preserve">Hepatitis C </w:t>
      </w:r>
      <w:r>
        <w:tab/>
        <w:t xml:space="preserve"> 403</w:t>
      </w:r>
    </w:p>
    <w:p w14:paraId="319F78F8" w14:textId="77777777" w:rsidR="0072615D" w:rsidRDefault="0072615D">
      <w:pPr>
        <w:pStyle w:val="Tableofcontents0"/>
        <w:tabs>
          <w:tab w:val="right" w:leader="dot" w:pos="6787"/>
        </w:tabs>
        <w:jc w:val="both"/>
      </w:pPr>
      <w:r>
        <w:t xml:space="preserve">Hepatitis D </w:t>
      </w:r>
      <w:r>
        <w:tab/>
        <w:t xml:space="preserve"> 407</w:t>
      </w:r>
    </w:p>
    <w:p w14:paraId="4DF07FE9" w14:textId="77777777" w:rsidR="0072615D" w:rsidRDefault="0072615D">
      <w:pPr>
        <w:pStyle w:val="Tableofcontents0"/>
        <w:tabs>
          <w:tab w:val="right" w:leader="dot" w:pos="6787"/>
        </w:tabs>
        <w:jc w:val="both"/>
      </w:pPr>
      <w:r>
        <w:t xml:space="preserve">Hepatitis E </w:t>
      </w:r>
      <w:r>
        <w:tab/>
        <w:t xml:space="preserve"> 409</w:t>
      </w:r>
    </w:p>
    <w:p w14:paraId="1E67E1DE" w14:textId="77777777" w:rsidR="0072615D" w:rsidRDefault="0072615D">
      <w:pPr>
        <w:pStyle w:val="Tableofcontents0"/>
        <w:tabs>
          <w:tab w:val="right" w:leader="dot" w:pos="6787"/>
        </w:tabs>
        <w:jc w:val="both"/>
      </w:pPr>
      <w:r>
        <w:t xml:space="preserve">Hepatitis G </w:t>
      </w:r>
      <w:r>
        <w:tab/>
        <w:t xml:space="preserve"> 410</w:t>
      </w:r>
    </w:p>
    <w:p w14:paraId="1250BB6C" w14:textId="77777777" w:rsidR="0072615D" w:rsidRDefault="0072615D">
      <w:pPr>
        <w:pStyle w:val="Tableofcontents0"/>
        <w:tabs>
          <w:tab w:val="right" w:leader="dot" w:pos="6787"/>
        </w:tabs>
        <w:jc w:val="both"/>
      </w:pPr>
      <w:r>
        <w:t xml:space="preserve">Herpes simple </w:t>
      </w:r>
      <w:r>
        <w:tab/>
        <w:t xml:space="preserve"> 410</w:t>
      </w:r>
    </w:p>
    <w:p w14:paraId="3E32D36F" w14:textId="77777777" w:rsidR="0072615D" w:rsidRDefault="0072615D">
      <w:pPr>
        <w:pStyle w:val="Tableofcontents0"/>
        <w:tabs>
          <w:tab w:val="right" w:leader="dot" w:pos="6787"/>
        </w:tabs>
        <w:jc w:val="both"/>
      </w:pPr>
      <w:r>
        <w:t>Histoplasmosis</w:t>
      </w:r>
      <w:r>
        <w:tab/>
        <w:t xml:space="preserve"> 420</w:t>
      </w:r>
    </w:p>
    <w:p w14:paraId="3EE621D1" w14:textId="77777777" w:rsidR="0072615D" w:rsidRDefault="0072615D">
      <w:pPr>
        <w:pStyle w:val="Tableofcontents0"/>
        <w:tabs>
          <w:tab w:val="right" w:leader="dot" w:pos="6787"/>
        </w:tabs>
        <w:jc w:val="both"/>
      </w:pPr>
      <w:r>
        <w:t>Humana, infección por virus de inmunodeficiencia (VIH)</w:t>
      </w:r>
      <w:r>
        <w:tab/>
        <w:t xml:space="preserve"> 423</w:t>
      </w:r>
    </w:p>
    <w:p w14:paraId="1DAC1643" w14:textId="77777777" w:rsidR="0072615D" w:rsidRDefault="0072615D">
      <w:pPr>
        <w:pStyle w:val="Tableofcontents0"/>
        <w:tabs>
          <w:tab w:val="right" w:leader="dot" w:pos="6787"/>
        </w:tabs>
        <w:jc w:val="both"/>
      </w:pPr>
      <w:r>
        <w:t>Humano, virus herpético 6 (incluido el de roséola) y 7</w:t>
      </w:r>
      <w:r>
        <w:tab/>
        <w:t xml:space="preserve"> 447</w:t>
      </w:r>
    </w:p>
    <w:p w14:paraId="6DDEB8D1" w14:textId="77777777" w:rsidR="0072615D" w:rsidRDefault="0072615D">
      <w:pPr>
        <w:pStyle w:val="Tableofcontents0"/>
        <w:tabs>
          <w:tab w:val="right" w:leader="dot" w:pos="6787"/>
        </w:tabs>
        <w:jc w:val="both"/>
      </w:pPr>
      <w:r>
        <w:t>Humano, virus herpético 8</w:t>
      </w:r>
      <w:r>
        <w:tab/>
        <w:t xml:space="preserve"> 448</w:t>
      </w:r>
    </w:p>
    <w:p w14:paraId="146517C6" w14:textId="77777777" w:rsidR="0072615D" w:rsidRDefault="0072615D">
      <w:pPr>
        <w:pStyle w:val="Tableofcontents0"/>
        <w:tabs>
          <w:tab w:val="right" w:leader="dot" w:pos="6787"/>
        </w:tabs>
        <w:jc w:val="both"/>
      </w:pPr>
      <w:r>
        <w:t xml:space="preserve">Influenza </w:t>
      </w:r>
      <w:r>
        <w:tab/>
        <w:t xml:space="preserve"> 449</w:t>
      </w:r>
    </w:p>
    <w:p w14:paraId="054DC580" w14:textId="77777777" w:rsidR="0072615D" w:rsidRDefault="0072615D">
      <w:pPr>
        <w:pStyle w:val="Tableofcontents0"/>
        <w:tabs>
          <w:tab w:val="right" w:leader="dot" w:pos="6787"/>
        </w:tabs>
        <w:jc w:val="both"/>
      </w:pPr>
      <w:r>
        <w:t xml:space="preserve">Isosporiasis </w:t>
      </w:r>
      <w:r>
        <w:tab/>
        <w:t xml:space="preserve"> 458</w:t>
      </w:r>
    </w:p>
    <w:p w14:paraId="139E6651" w14:textId="77777777" w:rsidR="0072615D" w:rsidRDefault="0072615D">
      <w:pPr>
        <w:pStyle w:val="Tableofcontents0"/>
        <w:tabs>
          <w:tab w:val="right" w:leader="dot" w:pos="6787"/>
        </w:tabs>
        <w:jc w:val="both"/>
      </w:pPr>
      <w:r>
        <w:t>Kawasaki, síndrome</w:t>
      </w:r>
      <w:r>
        <w:tab/>
        <w:t xml:space="preserve"> 459</w:t>
      </w:r>
    </w:p>
    <w:p w14:paraId="3EC7E859"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Kingella kingae,</w:t>
      </w:r>
      <w:r>
        <w:t xml:space="preserve"> infecciones </w:t>
      </w:r>
      <w:r>
        <w:tab/>
        <w:t xml:space="preserve"> 463</w:t>
      </w:r>
    </w:p>
    <w:p w14:paraId="16297DA5"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Legionella pneumophila,</w:t>
      </w:r>
      <w:r>
        <w:t xml:space="preserve"> infecciones </w:t>
      </w:r>
      <w:r>
        <w:tab/>
        <w:t xml:space="preserve"> 464</w:t>
      </w:r>
    </w:p>
    <w:p w14:paraId="50C5D837" w14:textId="77777777" w:rsidR="0072615D" w:rsidRDefault="0072615D">
      <w:pPr>
        <w:pStyle w:val="Tableofcontents0"/>
        <w:tabs>
          <w:tab w:val="right" w:leader="dot" w:pos="6787"/>
        </w:tabs>
        <w:jc w:val="both"/>
      </w:pPr>
      <w:r>
        <w:t>Leishmaniasis</w:t>
      </w:r>
      <w:r>
        <w:tab/>
        <w:t xml:space="preserve"> 465</w:t>
      </w:r>
    </w:p>
    <w:p w14:paraId="51049570" w14:textId="77777777" w:rsidR="0072615D" w:rsidRDefault="0072615D">
      <w:pPr>
        <w:pStyle w:val="Tableofcontents0"/>
        <w:tabs>
          <w:tab w:val="right" w:pos="6787"/>
        </w:tabs>
        <w:jc w:val="both"/>
      </w:pPr>
      <w:r>
        <w:t>Lepra</w:t>
      </w:r>
      <w:r>
        <w:tab/>
        <w:t xml:space="preserve">  468</w:t>
      </w:r>
    </w:p>
    <w:p w14:paraId="37E5D343" w14:textId="77777777" w:rsidR="0072615D" w:rsidRDefault="0072615D">
      <w:pPr>
        <w:pStyle w:val="Tableofcontents0"/>
        <w:tabs>
          <w:tab w:val="right" w:leader="dot" w:pos="6787"/>
        </w:tabs>
        <w:jc w:val="both"/>
      </w:pPr>
      <w:r>
        <w:t xml:space="preserve">Leptospirosis </w:t>
      </w:r>
      <w:r>
        <w:tab/>
        <w:t xml:space="preserve"> 470</w:t>
      </w:r>
    </w:p>
    <w:p w14:paraId="06E6888F" w14:textId="77777777" w:rsidR="0072615D" w:rsidRDefault="0072615D">
      <w:pPr>
        <w:pStyle w:val="Tableofcontents0"/>
        <w:tabs>
          <w:tab w:val="right" w:leader="dot" w:pos="6787"/>
        </w:tabs>
        <w:jc w:val="both"/>
      </w:pPr>
      <w:r>
        <w:t xml:space="preserve">Linfática, filariasis </w:t>
      </w:r>
      <w:r>
        <w:tab/>
        <w:t xml:space="preserve"> 472</w:t>
      </w:r>
    </w:p>
    <w:p w14:paraId="551199E9" w14:textId="77777777" w:rsidR="0072615D" w:rsidRDefault="0072615D">
      <w:pPr>
        <w:pStyle w:val="Tableofcontents0"/>
        <w:tabs>
          <w:tab w:val="right" w:leader="dot" w:pos="6787"/>
        </w:tabs>
        <w:jc w:val="both"/>
      </w:pPr>
      <w:r>
        <w:t xml:space="preserve">Linfocítica, coriomeningitis </w:t>
      </w:r>
      <w:r>
        <w:tab/>
        <w:t xml:space="preserve"> 473</w:t>
      </w:r>
    </w:p>
    <w:p w14:paraId="1F4A4FD2" w14:textId="77777777" w:rsidR="0072615D" w:rsidRDefault="0072615D">
      <w:pPr>
        <w:pStyle w:val="Tableofcontents0"/>
        <w:tabs>
          <w:tab w:val="right" w:leader="dot" w:pos="6787"/>
        </w:tabs>
        <w:jc w:val="both"/>
      </w:pPr>
      <w:r>
        <w:t xml:space="preserve">Linforreticulosis (enfermedad por arañazo de gato) </w:t>
      </w:r>
      <w:r>
        <w:tab/>
        <w:t xml:space="preserve"> 474</w:t>
      </w:r>
    </w:p>
    <w:p w14:paraId="00E4EC68"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Listeria monocytogenes,</w:t>
      </w:r>
      <w:r>
        <w:t xml:space="preserve"> infecciones </w:t>
      </w:r>
      <w:r>
        <w:tab/>
        <w:t xml:space="preserve"> 476</w:t>
      </w:r>
    </w:p>
    <w:p w14:paraId="694DFF56" w14:textId="77777777" w:rsidR="0072615D" w:rsidRDefault="0072615D">
      <w:pPr>
        <w:pStyle w:val="Tableofcontents0"/>
        <w:tabs>
          <w:tab w:val="right" w:leader="dot" w:pos="6787"/>
        </w:tabs>
        <w:jc w:val="both"/>
      </w:pPr>
      <w:r>
        <w:t>Lyme, enfermedad</w:t>
      </w:r>
      <w:r>
        <w:tab/>
        <w:t xml:space="preserve"> 478</w:t>
      </w:r>
    </w:p>
    <w:p w14:paraId="704970DD" w14:textId="77777777" w:rsidR="0072615D" w:rsidRDefault="0072615D">
      <w:pPr>
        <w:pStyle w:val="Tableofcontents0"/>
        <w:tabs>
          <w:tab w:val="right" w:leader="dot" w:pos="6787"/>
        </w:tabs>
        <w:jc w:val="both"/>
      </w:pPr>
      <w:r>
        <w:t>Meningocócicas, infecciones</w:t>
      </w:r>
      <w:r>
        <w:tab/>
        <w:t xml:space="preserve"> 483</w:t>
      </w:r>
    </w:p>
    <w:p w14:paraId="4C7BC5CC" w14:textId="77777777" w:rsidR="0072615D" w:rsidRDefault="0072615D">
      <w:pPr>
        <w:pStyle w:val="Tableofcontents0"/>
        <w:tabs>
          <w:tab w:val="right" w:leader="dot" w:pos="6787"/>
        </w:tabs>
        <w:jc w:val="both"/>
      </w:pPr>
      <w:r>
        <w:t>Micobacterias no tuberculosas, enfermedades</w:t>
      </w:r>
      <w:r>
        <w:tab/>
        <w:t xml:space="preserve"> 489</w:t>
      </w:r>
    </w:p>
    <w:p w14:paraId="435FF229" w14:textId="77777777" w:rsidR="0072615D" w:rsidRDefault="0072615D">
      <w:pPr>
        <w:pStyle w:val="Tableofcontents0"/>
        <w:tabs>
          <w:tab w:val="right" w:leader="dot" w:pos="6787"/>
        </w:tabs>
        <w:jc w:val="both"/>
      </w:pPr>
      <w:r>
        <w:t xml:space="preserve">Micosis </w:t>
      </w:r>
      <w:r>
        <w:tab/>
        <w:t xml:space="preserve"> 494</w:t>
      </w:r>
    </w:p>
    <w:p w14:paraId="52D9DA92" w14:textId="77777777" w:rsidR="0072615D" w:rsidRDefault="0072615D">
      <w:pPr>
        <w:pStyle w:val="Tableofcontents0"/>
        <w:tabs>
          <w:tab w:val="right" w:leader="dot" w:pos="6787"/>
        </w:tabs>
        <w:jc w:val="both"/>
      </w:pPr>
      <w:r>
        <w:t xml:space="preserve">Microsporidios, infecciones </w:t>
      </w:r>
      <w:r>
        <w:tab/>
        <w:t xml:space="preserve"> 497</w:t>
      </w:r>
    </w:p>
    <w:p w14:paraId="0AA2FE6A" w14:textId="77777777" w:rsidR="0072615D" w:rsidRDefault="0072615D">
      <w:pPr>
        <w:pStyle w:val="Tableofcontents0"/>
        <w:tabs>
          <w:tab w:val="right" w:leader="dot" w:pos="6787"/>
        </w:tabs>
        <w:jc w:val="both"/>
      </w:pPr>
      <w:r>
        <w:t>Molusco contagioso</w:t>
      </w:r>
      <w:r>
        <w:tab/>
        <w:t xml:space="preserve"> 498</w:t>
      </w:r>
    </w:p>
    <w:p w14:paraId="2A06E726"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Moraxella catarrhalis,</w:t>
      </w:r>
      <w:r>
        <w:t xml:space="preserve"> infecciones </w:t>
      </w:r>
      <w:r>
        <w:tab/>
        <w:t xml:space="preserve"> 499</w:t>
      </w:r>
    </w:p>
    <w:p w14:paraId="65DE70F2"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Mycoplasma pneumoniae,</w:t>
      </w:r>
      <w:r>
        <w:t xml:space="preserve"> infecciones </w:t>
      </w:r>
      <w:r>
        <w:tab/>
        <w:t xml:space="preserve"> 499</w:t>
      </w:r>
    </w:p>
    <w:p w14:paraId="219FF372" w14:textId="77777777" w:rsidR="0072615D" w:rsidRDefault="0072615D">
      <w:pPr>
        <w:pStyle w:val="Tableofcontents0"/>
        <w:tabs>
          <w:tab w:val="right" w:leader="dot" w:pos="6787"/>
        </w:tabs>
        <w:jc w:val="both"/>
      </w:pPr>
      <w:r>
        <w:t xml:space="preserve">Neumococos, infecciones </w:t>
      </w:r>
      <w:r>
        <w:tab/>
        <w:t xml:space="preserve"> 502</w:t>
      </w:r>
    </w:p>
    <w:p w14:paraId="104B15BD" w14:textId="77777777" w:rsidR="0072615D" w:rsidRDefault="0072615D">
      <w:pPr>
        <w:pStyle w:val="Tableofcontents0"/>
        <w:tabs>
          <w:tab w:val="right" w:leader="dot" w:pos="6787"/>
        </w:tabs>
        <w:jc w:val="both"/>
      </w:pPr>
      <w:r>
        <w:t xml:space="preserve">Nocardiosis </w:t>
      </w:r>
      <w:r>
        <w:tab/>
        <w:t xml:space="preserve"> 511</w:t>
      </w:r>
    </w:p>
    <w:p w14:paraId="2B8DA56A" w14:textId="77777777" w:rsidR="0072615D" w:rsidRDefault="0072615D">
      <w:pPr>
        <w:pStyle w:val="Tableofcontents0"/>
        <w:tabs>
          <w:tab w:val="right" w:leader="dot" w:pos="6787"/>
        </w:tabs>
        <w:jc w:val="both"/>
      </w:pPr>
      <w:r>
        <w:t xml:space="preserve">Oncocercosis </w:t>
      </w:r>
      <w:r>
        <w:tab/>
        <w:t xml:space="preserve"> 513</w:t>
      </w:r>
    </w:p>
    <w:p w14:paraId="740F9E5C" w14:textId="77777777" w:rsidR="0072615D" w:rsidRDefault="0072615D">
      <w:pPr>
        <w:pStyle w:val="Tableofcontents0"/>
        <w:tabs>
          <w:tab w:val="right" w:leader="dot" w:pos="6787"/>
        </w:tabs>
        <w:jc w:val="both"/>
      </w:pPr>
      <w:r>
        <w:t xml:space="preserve">Paludismo </w:t>
      </w:r>
      <w:r>
        <w:tab/>
        <w:t xml:space="preserve"> 514</w:t>
      </w:r>
    </w:p>
    <w:p w14:paraId="163B1ADF" w14:textId="77777777" w:rsidR="0072615D" w:rsidRDefault="0072615D">
      <w:pPr>
        <w:pStyle w:val="Tableofcontents0"/>
        <w:tabs>
          <w:tab w:val="right" w:leader="dot" w:pos="6787"/>
        </w:tabs>
        <w:jc w:val="both"/>
      </w:pPr>
      <w:r>
        <w:t xml:space="preserve">Papiloma humano, virus </w:t>
      </w:r>
      <w:r>
        <w:tab/>
        <w:t xml:space="preserve"> 519</w:t>
      </w:r>
    </w:p>
    <w:p w14:paraId="7482A2C4" w14:textId="77777777" w:rsidR="0072615D" w:rsidRDefault="0072615D">
      <w:pPr>
        <w:pStyle w:val="Tableofcontents0"/>
        <w:tabs>
          <w:tab w:val="right" w:leader="dot" w:pos="6787"/>
        </w:tabs>
        <w:jc w:val="both"/>
      </w:pPr>
      <w:r>
        <w:t>Paracoccidioidomicosis</w:t>
      </w:r>
      <w:r>
        <w:tab/>
        <w:t xml:space="preserve"> 523</w:t>
      </w:r>
    </w:p>
    <w:p w14:paraId="52AB3D87" w14:textId="77777777" w:rsidR="0072615D" w:rsidRDefault="0072615D">
      <w:pPr>
        <w:pStyle w:val="Tableofcontents0"/>
        <w:tabs>
          <w:tab w:val="right" w:leader="dot" w:pos="6787"/>
        </w:tabs>
        <w:jc w:val="both"/>
      </w:pPr>
      <w:r>
        <w:t>Paragonimiasis</w:t>
      </w:r>
      <w:r>
        <w:tab/>
        <w:t xml:space="preserve"> 523</w:t>
      </w:r>
    </w:p>
    <w:p w14:paraId="0E64357E" w14:textId="77777777" w:rsidR="0072615D" w:rsidRDefault="0072615D">
      <w:pPr>
        <w:pStyle w:val="Tableofcontents0"/>
        <w:tabs>
          <w:tab w:val="right" w:leader="dot" w:pos="6787"/>
        </w:tabs>
        <w:jc w:val="both"/>
      </w:pPr>
      <w:r>
        <w:t xml:space="preserve">Parainfluenza, virus, infecciones </w:t>
      </w:r>
      <w:r>
        <w:tab/>
        <w:t xml:space="preserve"> 525</w:t>
      </w:r>
    </w:p>
    <w:p w14:paraId="3564E742" w14:textId="77777777" w:rsidR="0072615D" w:rsidRDefault="0072615D">
      <w:pPr>
        <w:pStyle w:val="Tableofcontents0"/>
        <w:tabs>
          <w:tab w:val="right" w:leader="dot" w:pos="6787"/>
        </w:tabs>
        <w:jc w:val="both"/>
      </w:pPr>
      <w:r>
        <w:t xml:space="preserve">Parasitosis </w:t>
      </w:r>
      <w:r>
        <w:tab/>
        <w:t xml:space="preserve"> 527</w:t>
      </w:r>
    </w:p>
    <w:p w14:paraId="7B08A990" w14:textId="77777777" w:rsidR="0072615D" w:rsidRDefault="0072615D">
      <w:pPr>
        <w:pStyle w:val="Tableofcontents0"/>
        <w:tabs>
          <w:tab w:val="right" w:leader="dot" w:pos="6787"/>
        </w:tabs>
        <w:jc w:val="both"/>
      </w:pPr>
      <w:r>
        <w:t xml:space="preserve">Parotiditis </w:t>
      </w:r>
      <w:r>
        <w:tab/>
        <w:t xml:space="preserve"> 531</w:t>
      </w:r>
    </w:p>
    <w:p w14:paraId="165DEA4F" w14:textId="77777777" w:rsidR="0072615D" w:rsidRDefault="0072615D">
      <w:pPr>
        <w:pStyle w:val="Tableofcontents0"/>
        <w:tabs>
          <w:tab w:val="right" w:leader="dot" w:pos="6787"/>
        </w:tabs>
        <w:jc w:val="both"/>
      </w:pPr>
      <w:r>
        <w:t>Parvovirus B19</w:t>
      </w:r>
      <w:r>
        <w:tab/>
        <w:t xml:space="preserve"> 535</w:t>
      </w:r>
    </w:p>
    <w:p w14:paraId="2BF288E1"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Pasteurella,</w:t>
      </w:r>
      <w:r>
        <w:t xml:space="preserve"> infecciones </w:t>
      </w:r>
      <w:r>
        <w:tab/>
        <w:t xml:space="preserve"> 538</w:t>
      </w:r>
    </w:p>
    <w:p w14:paraId="1279F1B7" w14:textId="77777777" w:rsidR="0072615D" w:rsidRDefault="0072615D">
      <w:pPr>
        <w:pStyle w:val="Tableofcontents0"/>
        <w:tabs>
          <w:tab w:val="right" w:leader="dot" w:pos="6787"/>
        </w:tabs>
        <w:jc w:val="both"/>
      </w:pPr>
      <w:r>
        <w:t>Pediculosis de la cabeza</w:t>
      </w:r>
      <w:r>
        <w:tab/>
        <w:t xml:space="preserve"> 539</w:t>
      </w:r>
    </w:p>
    <w:p w14:paraId="6B3AA204" w14:textId="77777777" w:rsidR="0072615D" w:rsidRDefault="0072615D">
      <w:pPr>
        <w:pStyle w:val="Tableofcontents0"/>
        <w:tabs>
          <w:tab w:val="right" w:leader="dot" w:pos="6787"/>
        </w:tabs>
        <w:jc w:val="both"/>
      </w:pPr>
      <w:r>
        <w:t>Pediculosis del cuerpo</w:t>
      </w:r>
      <w:r>
        <w:tab/>
        <w:t xml:space="preserve"> 542</w:t>
      </w:r>
    </w:p>
    <w:p w14:paraId="4366578F" w14:textId="77777777" w:rsidR="0072615D" w:rsidRDefault="0072615D">
      <w:pPr>
        <w:pStyle w:val="Tableofcontents0"/>
        <w:tabs>
          <w:tab w:val="right" w:leader="dot" w:pos="6787"/>
        </w:tabs>
        <w:jc w:val="both"/>
      </w:pPr>
      <w:r>
        <w:t>Pediculosis del pubis</w:t>
      </w:r>
      <w:r>
        <w:tab/>
        <w:t xml:space="preserve"> 542</w:t>
      </w:r>
    </w:p>
    <w:p w14:paraId="4839D633" w14:textId="77777777" w:rsidR="0072615D" w:rsidRDefault="0072615D">
      <w:pPr>
        <w:pStyle w:val="Tableofcontents0"/>
        <w:tabs>
          <w:tab w:val="right" w:leader="dot" w:pos="6787"/>
        </w:tabs>
        <w:jc w:val="both"/>
      </w:pPr>
      <w:r>
        <w:t>Pélvica, enfermedad inflamatoria</w:t>
      </w:r>
      <w:r>
        <w:tab/>
        <w:t xml:space="preserve"> 543</w:t>
      </w:r>
    </w:p>
    <w:p w14:paraId="6DDB46C7" w14:textId="77777777" w:rsidR="0072615D" w:rsidRDefault="0072615D">
      <w:pPr>
        <w:pStyle w:val="Tableofcontents0"/>
        <w:tabs>
          <w:tab w:val="right" w:pos="6787"/>
        </w:tabs>
        <w:jc w:val="both"/>
      </w:pPr>
      <w:r>
        <w:t>Peste</w:t>
      </w:r>
      <w:r>
        <w:tab/>
        <w:t xml:space="preserve">  548</w:t>
      </w:r>
    </w:p>
    <w:p w14:paraId="103741D9"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Pneumocystis jiroveci,</w:t>
      </w:r>
      <w:r>
        <w:t xml:space="preserve"> infecciones </w:t>
      </w:r>
      <w:r>
        <w:tab/>
        <w:t xml:space="preserve"> 550</w:t>
      </w:r>
    </w:p>
    <w:p w14:paraId="32E5D78F" w14:textId="77777777" w:rsidR="0072615D" w:rsidRDefault="0072615D">
      <w:pPr>
        <w:pStyle w:val="Tableofcontents0"/>
        <w:tabs>
          <w:tab w:val="right" w:leader="dot" w:pos="6787"/>
        </w:tabs>
        <w:jc w:val="both"/>
      </w:pPr>
      <w:r>
        <w:t xml:space="preserve">Poliomielitico, virus, infecciones </w:t>
      </w:r>
      <w:r>
        <w:tab/>
        <w:t xml:space="preserve"> 555</w:t>
      </w:r>
    </w:p>
    <w:p w14:paraId="368B457E" w14:textId="77777777" w:rsidR="0072615D" w:rsidRDefault="0072615D">
      <w:pPr>
        <w:pStyle w:val="Tableofcontents0"/>
        <w:tabs>
          <w:tab w:val="right" w:leader="dot" w:pos="6787"/>
        </w:tabs>
        <w:jc w:val="both"/>
      </w:pPr>
      <w:r>
        <w:t xml:space="preserve">Priones, enfermedades </w:t>
      </w:r>
      <w:r>
        <w:tab/>
        <w:t xml:space="preserve"> 560</w:t>
      </w:r>
    </w:p>
    <w:p w14:paraId="17F5C3A0" w14:textId="77777777" w:rsidR="0072615D" w:rsidRDefault="0072615D">
      <w:pPr>
        <w:pStyle w:val="Tableofcontents0"/>
        <w:tabs>
          <w:tab w:val="right" w:leader="dot" w:pos="6787"/>
        </w:tabs>
        <w:jc w:val="both"/>
      </w:pPr>
      <w:r>
        <w:t>Transmisibles, encefalopatías espongiformes</w:t>
      </w:r>
      <w:r>
        <w:tab/>
        <w:t xml:space="preserve"> 560</w:t>
      </w:r>
    </w:p>
    <w:p w14:paraId="4A5E843A" w14:textId="77777777" w:rsidR="0072615D" w:rsidRDefault="0072615D">
      <w:pPr>
        <w:pStyle w:val="Tableofcontents0"/>
        <w:tabs>
          <w:tab w:val="right" w:leader="dot" w:pos="6787"/>
        </w:tabs>
        <w:jc w:val="both"/>
      </w:pPr>
      <w:r>
        <w:t xml:space="preserve">Q, fiebre </w:t>
      </w:r>
      <w:r>
        <w:tab/>
        <w:t xml:space="preserve"> 563</w:t>
      </w:r>
    </w:p>
    <w:p w14:paraId="27037A44" w14:textId="77777777" w:rsidR="0072615D" w:rsidRDefault="0072615D">
      <w:pPr>
        <w:pStyle w:val="Tableofcontents0"/>
        <w:tabs>
          <w:tab w:val="right" w:pos="6787"/>
        </w:tabs>
        <w:jc w:val="both"/>
      </w:pPr>
      <w:r>
        <w:t>Rabia</w:t>
      </w:r>
      <w:r>
        <w:tab/>
        <w:t xml:space="preserve">  565</w:t>
      </w:r>
    </w:p>
    <w:p w14:paraId="4B764A56" w14:textId="77777777" w:rsidR="0072615D" w:rsidRDefault="0072615D">
      <w:pPr>
        <w:pStyle w:val="Tableofcontents0"/>
        <w:tabs>
          <w:tab w:val="right" w:leader="dot" w:pos="6787"/>
        </w:tabs>
        <w:jc w:val="both"/>
      </w:pPr>
      <w:r>
        <w:t xml:space="preserve">Rata, fiebre por mordedura </w:t>
      </w:r>
      <w:r>
        <w:tab/>
        <w:t xml:space="preserve"> 573</w:t>
      </w:r>
    </w:p>
    <w:p w14:paraId="140E9199" w14:textId="77777777" w:rsidR="0072615D" w:rsidRDefault="0072615D">
      <w:pPr>
        <w:pStyle w:val="Tableofcontents0"/>
        <w:tabs>
          <w:tab w:val="right" w:leader="dot" w:pos="6787"/>
        </w:tabs>
        <w:jc w:val="both"/>
      </w:pPr>
      <w:r>
        <w:t>Respiratorio, virus sincitial</w:t>
      </w:r>
      <w:r>
        <w:tab/>
        <w:t xml:space="preserve"> 574</w:t>
      </w:r>
    </w:p>
    <w:p w14:paraId="0DF45195" w14:textId="77777777" w:rsidR="0072615D" w:rsidRDefault="0072615D">
      <w:pPr>
        <w:pStyle w:val="Tableofcontents0"/>
        <w:tabs>
          <w:tab w:val="right" w:leader="dot" w:pos="6787"/>
        </w:tabs>
        <w:jc w:val="both"/>
      </w:pPr>
      <w:r>
        <w:t xml:space="preserve">Rhinovirus, infecciones </w:t>
      </w:r>
      <w:r>
        <w:tab/>
        <w:t xml:space="preserve"> 580</w:t>
      </w:r>
    </w:p>
    <w:p w14:paraId="70EA810A" w14:textId="77777777" w:rsidR="0072615D" w:rsidRDefault="0072615D">
      <w:pPr>
        <w:pStyle w:val="Tableofcontents0"/>
        <w:tabs>
          <w:tab w:val="right" w:leader="dot" w:pos="6787"/>
        </w:tabs>
        <w:jc w:val="both"/>
      </w:pPr>
      <w:r>
        <w:t xml:space="preserve">Rickettsiosis pustulosa </w:t>
      </w:r>
      <w:r>
        <w:tab/>
        <w:t xml:space="preserve"> 581</w:t>
      </w:r>
    </w:p>
    <w:p w14:paraId="6F655A83" w14:textId="77777777" w:rsidR="0072615D" w:rsidRDefault="0072615D">
      <w:pPr>
        <w:pStyle w:val="Tableofcontents0"/>
        <w:tabs>
          <w:tab w:val="right" w:leader="dot" w:pos="6787"/>
        </w:tabs>
        <w:jc w:val="both"/>
      </w:pPr>
      <w:r>
        <w:t xml:space="preserve">Rickettsiosis </w:t>
      </w:r>
      <w:r>
        <w:tab/>
        <w:t xml:space="preserve"> 581</w:t>
      </w:r>
    </w:p>
    <w:p w14:paraId="1E4E336D" w14:textId="77777777" w:rsidR="0072615D" w:rsidRDefault="0072615D">
      <w:pPr>
        <w:pStyle w:val="Tableofcontents0"/>
        <w:tabs>
          <w:tab w:val="right" w:leader="dot" w:pos="6787"/>
        </w:tabs>
        <w:jc w:val="both"/>
      </w:pPr>
      <w:r>
        <w:t>Rocosas, fiebre maculada de las Montañas</w:t>
      </w:r>
      <w:r>
        <w:tab/>
        <w:t xml:space="preserve"> 583</w:t>
      </w:r>
    </w:p>
    <w:p w14:paraId="39179C5D" w14:textId="77777777" w:rsidR="0072615D" w:rsidRDefault="0072615D">
      <w:pPr>
        <w:pStyle w:val="Tableofcontents0"/>
        <w:tabs>
          <w:tab w:val="right" w:leader="dot" w:pos="6787"/>
        </w:tabs>
        <w:jc w:val="both"/>
      </w:pPr>
      <w:r>
        <w:t xml:space="preserve">Rotavirus, infecciones </w:t>
      </w:r>
      <w:r>
        <w:tab/>
        <w:t xml:space="preserve"> 586</w:t>
      </w:r>
    </w:p>
    <w:p w14:paraId="59D6655D" w14:textId="77777777" w:rsidR="0072615D" w:rsidRDefault="0072615D">
      <w:pPr>
        <w:pStyle w:val="Tableofcontents0"/>
        <w:tabs>
          <w:tab w:val="right" w:leader="dot" w:pos="6787"/>
        </w:tabs>
        <w:jc w:val="both"/>
      </w:pPr>
      <w:r>
        <w:t xml:space="preserve">Rubéola </w:t>
      </w:r>
      <w:r>
        <w:tab/>
        <w:t xml:space="preserve"> 588</w:t>
      </w:r>
    </w:p>
    <w:p w14:paraId="10FB88DD"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Salmonella,</w:t>
      </w:r>
      <w:r>
        <w:t xml:space="preserve"> infecciones </w:t>
      </w:r>
      <w:r>
        <w:tab/>
        <w:t xml:space="preserve"> 593</w:t>
      </w:r>
    </w:p>
    <w:p w14:paraId="1CBE453A" w14:textId="77777777" w:rsidR="0072615D" w:rsidRDefault="0072615D">
      <w:pPr>
        <w:pStyle w:val="Tableofcontents0"/>
        <w:tabs>
          <w:tab w:val="right" w:leader="dot" w:pos="6787"/>
        </w:tabs>
        <w:jc w:val="both"/>
      </w:pPr>
      <w:r>
        <w:t xml:space="preserve">Sarampión </w:t>
      </w:r>
      <w:r>
        <w:tab/>
        <w:t xml:space="preserve"> 599</w:t>
      </w:r>
    </w:p>
    <w:p w14:paraId="4A728BB9"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Shigella,</w:t>
      </w:r>
      <w:r>
        <w:t xml:space="preserve"> infecciones </w:t>
      </w:r>
      <w:r>
        <w:tab/>
        <w:t xml:space="preserve"> 610</w:t>
      </w:r>
    </w:p>
    <w:p w14:paraId="27672741" w14:textId="77777777" w:rsidR="0072615D" w:rsidRDefault="0072615D">
      <w:pPr>
        <w:pStyle w:val="Tableofcontents0"/>
        <w:tabs>
          <w:tab w:val="right" w:pos="6787"/>
        </w:tabs>
        <w:jc w:val="both"/>
      </w:pPr>
      <w:r>
        <w:t>Sífilis</w:t>
      </w:r>
      <w:r>
        <w:tab/>
        <w:t xml:space="preserve">  613</w:t>
      </w:r>
    </w:p>
    <w:p w14:paraId="3B59A36F" w14:textId="77777777" w:rsidR="0072615D" w:rsidRDefault="0072615D">
      <w:pPr>
        <w:pStyle w:val="Tableofcontents0"/>
        <w:tabs>
          <w:tab w:val="right" w:leader="dot" w:pos="6787"/>
        </w:tabs>
        <w:jc w:val="both"/>
      </w:pPr>
      <w:r>
        <w:t xml:space="preserve">Tétanos </w:t>
      </w:r>
      <w:r>
        <w:tab/>
        <w:t xml:space="preserve"> 625</w:t>
      </w:r>
    </w:p>
    <w:p w14:paraId="78DFA35A" w14:textId="77777777" w:rsidR="0072615D" w:rsidRDefault="0072615D">
      <w:pPr>
        <w:pStyle w:val="Tableofcontents0"/>
        <w:tabs>
          <w:tab w:val="right" w:leader="dot" w:pos="6787"/>
        </w:tabs>
        <w:jc w:val="both"/>
      </w:pPr>
      <w:r>
        <w:t xml:space="preserve">Tifus endémico </w:t>
      </w:r>
      <w:r>
        <w:tab/>
        <w:t xml:space="preserve"> 632</w:t>
      </w:r>
    </w:p>
    <w:p w14:paraId="368A9F38" w14:textId="77777777" w:rsidR="0072615D" w:rsidRDefault="0072615D">
      <w:pPr>
        <w:pStyle w:val="Tableofcontents0"/>
        <w:tabs>
          <w:tab w:val="right" w:leader="dot" w:pos="6787"/>
        </w:tabs>
        <w:jc w:val="both"/>
      </w:pPr>
      <w:r>
        <w:t>Tifus epidémico</w:t>
      </w:r>
      <w:r>
        <w:tab/>
        <w:t xml:space="preserve"> 633</w:t>
      </w:r>
    </w:p>
    <w:p w14:paraId="7F0AF3FE" w14:textId="77777777" w:rsidR="0072615D" w:rsidRDefault="0072615D">
      <w:pPr>
        <w:pStyle w:val="Tableofcontents0"/>
        <w:tabs>
          <w:tab w:val="right" w:leader="dot" w:pos="6787"/>
        </w:tabs>
        <w:jc w:val="both"/>
      </w:pPr>
      <w:r>
        <w:t>Tiña de la cabeza</w:t>
      </w:r>
      <w:r>
        <w:tab/>
        <w:t xml:space="preserve"> 635</w:t>
      </w:r>
    </w:p>
    <w:p w14:paraId="623F5081" w14:textId="77777777" w:rsidR="0072615D" w:rsidRDefault="0072615D">
      <w:pPr>
        <w:pStyle w:val="Tableofcontents0"/>
        <w:tabs>
          <w:tab w:val="right" w:leader="dot" w:pos="6787"/>
        </w:tabs>
        <w:jc w:val="both"/>
      </w:pPr>
      <w:r>
        <w:t>Tiña corporal</w:t>
      </w:r>
      <w:r>
        <w:tab/>
        <w:t xml:space="preserve"> 636</w:t>
      </w:r>
    </w:p>
    <w:p w14:paraId="3200612C" w14:textId="77777777" w:rsidR="0072615D" w:rsidRDefault="0072615D">
      <w:pPr>
        <w:pStyle w:val="Tableofcontents0"/>
        <w:tabs>
          <w:tab w:val="right" w:leader="dot" w:pos="6787"/>
        </w:tabs>
        <w:jc w:val="both"/>
      </w:pPr>
      <w:r>
        <w:t>Tiña inguinal</w:t>
      </w:r>
      <w:r>
        <w:tab/>
        <w:t xml:space="preserve"> 637</w:t>
      </w:r>
    </w:p>
    <w:p w14:paraId="539C9592" w14:textId="77777777" w:rsidR="0072615D" w:rsidRDefault="0072615D">
      <w:pPr>
        <w:pStyle w:val="Tableofcontents0"/>
        <w:tabs>
          <w:tab w:val="right" w:leader="dot" w:pos="6787"/>
        </w:tabs>
        <w:jc w:val="both"/>
      </w:pPr>
      <w:r>
        <w:t xml:space="preserve">Tiña del pie </w:t>
      </w:r>
      <w:r>
        <w:tab/>
        <w:t xml:space="preserve"> 639</w:t>
      </w:r>
    </w:p>
    <w:p w14:paraId="3922F1E8" w14:textId="77777777" w:rsidR="0072615D" w:rsidRDefault="0072615D">
      <w:pPr>
        <w:pStyle w:val="Tableofcontents0"/>
        <w:tabs>
          <w:tab w:val="right" w:leader="dot" w:pos="6787"/>
        </w:tabs>
        <w:jc w:val="both"/>
      </w:pPr>
      <w:r>
        <w:t xml:space="preserve">Tiña versicolor (pitiriasis versicolor) </w:t>
      </w:r>
      <w:r>
        <w:tab/>
        <w:t xml:space="preserve"> 640</w:t>
      </w:r>
    </w:p>
    <w:p w14:paraId="0CA73264" w14:textId="77777777" w:rsidR="0072615D" w:rsidRDefault="0072615D">
      <w:pPr>
        <w:pStyle w:val="Tableofcontents0"/>
        <w:tabs>
          <w:tab w:val="right" w:leader="dot" w:pos="6787"/>
        </w:tabs>
        <w:jc w:val="both"/>
      </w:pPr>
      <w:r>
        <w:t xml:space="preserve">Tos ferina </w:t>
      </w:r>
      <w:r>
        <w:tab/>
        <w:t xml:space="preserve"> 641</w:t>
      </w:r>
    </w:p>
    <w:p w14:paraId="0544E965" w14:textId="77777777" w:rsidR="0072615D" w:rsidRDefault="0072615D">
      <w:pPr>
        <w:pStyle w:val="Tableofcontents0"/>
        <w:tabs>
          <w:tab w:val="right" w:leader="dot" w:pos="6787"/>
        </w:tabs>
        <w:jc w:val="both"/>
      </w:pPr>
      <w:r>
        <w:t xml:space="preserve">Toxocariasis </w:t>
      </w:r>
      <w:r>
        <w:tab/>
        <w:t xml:space="preserve"> 656</w:t>
      </w:r>
    </w:p>
    <w:p w14:paraId="3FBA6A9C"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Toxoplasma gondii,</w:t>
      </w:r>
      <w:r>
        <w:t xml:space="preserve"> infecciones </w:t>
      </w:r>
      <w:r>
        <w:tab/>
        <w:t xml:space="preserve"> 657</w:t>
      </w:r>
    </w:p>
    <w:p w14:paraId="6D98AEDF" w14:textId="77777777" w:rsidR="0072615D" w:rsidRDefault="0072615D">
      <w:pPr>
        <w:pStyle w:val="Tableofcontents0"/>
        <w:tabs>
          <w:tab w:val="right" w:leader="dot" w:pos="6787"/>
        </w:tabs>
        <w:jc w:val="both"/>
      </w:pPr>
      <w:r>
        <w:rPr>
          <w:rFonts w:ascii="Times New Roman" w:eastAsia="Times New Roman" w:hAnsi="Times New Roman" w:cs="Times New Roman"/>
          <w:i/>
          <w:iCs/>
          <w:sz w:val="16"/>
          <w:szCs w:val="16"/>
        </w:rPr>
        <w:t>Trichomonas vaginalis,</w:t>
      </w:r>
      <w:r>
        <w:t xml:space="preserve"> infecciones</w:t>
      </w:r>
      <w:r>
        <w:tab/>
        <w:t xml:space="preserve"> 661</w:t>
      </w:r>
    </w:p>
    <w:p w14:paraId="157996CD" w14:textId="77777777" w:rsidR="0072615D" w:rsidRDefault="0072615D">
      <w:pPr>
        <w:pStyle w:val="Tableofcontents0"/>
        <w:tabs>
          <w:tab w:val="right" w:leader="dot" w:pos="6787"/>
        </w:tabs>
        <w:jc w:val="both"/>
      </w:pPr>
      <w:r>
        <w:t xml:space="preserve">Tricuriasis </w:t>
      </w:r>
      <w:r>
        <w:tab/>
        <w:t xml:space="preserve"> 663</w:t>
      </w:r>
    </w:p>
    <w:p w14:paraId="749AFEA0" w14:textId="77777777" w:rsidR="0072615D" w:rsidRDefault="0072615D">
      <w:pPr>
        <w:pStyle w:val="Tableofcontents0"/>
        <w:tabs>
          <w:tab w:val="right" w:leader="dot" w:pos="6787"/>
        </w:tabs>
        <w:jc w:val="both"/>
      </w:pPr>
      <w:r>
        <w:t>Tripanosomiasis africana</w:t>
      </w:r>
      <w:r>
        <w:tab/>
        <w:t xml:space="preserve"> 663</w:t>
      </w:r>
    </w:p>
    <w:p w14:paraId="79273D41" w14:textId="77777777" w:rsidR="0072615D" w:rsidRDefault="0072615D">
      <w:pPr>
        <w:pStyle w:val="Tableofcontents0"/>
        <w:tabs>
          <w:tab w:val="right" w:leader="dot" w:pos="6787"/>
        </w:tabs>
        <w:jc w:val="both"/>
      </w:pPr>
      <w:r>
        <w:t>Tripanosomiasis americana</w:t>
      </w:r>
      <w:r>
        <w:tab/>
        <w:t xml:space="preserve"> 665</w:t>
      </w:r>
    </w:p>
    <w:p w14:paraId="7165CDA3" w14:textId="77777777" w:rsidR="0072615D" w:rsidRDefault="0072615D">
      <w:pPr>
        <w:pStyle w:val="Tableofcontents0"/>
        <w:tabs>
          <w:tab w:val="right" w:leader="dot" w:pos="6787"/>
        </w:tabs>
        <w:jc w:val="both"/>
      </w:pPr>
      <w:r>
        <w:t xml:space="preserve">Triquinosis </w:t>
      </w:r>
      <w:r>
        <w:tab/>
        <w:t xml:space="preserve"> 666</w:t>
      </w:r>
    </w:p>
    <w:p w14:paraId="698EDD20" w14:textId="77777777" w:rsidR="0072615D" w:rsidRDefault="0072615D">
      <w:pPr>
        <w:pStyle w:val="Tableofcontents0"/>
        <w:tabs>
          <w:tab w:val="right" w:leader="dot" w:pos="6787"/>
        </w:tabs>
        <w:jc w:val="both"/>
      </w:pPr>
      <w:r>
        <w:t xml:space="preserve">Tuberculosis </w:t>
      </w:r>
      <w:r>
        <w:tab/>
        <w:t xml:space="preserve"> 667</w:t>
      </w:r>
    </w:p>
    <w:p w14:paraId="28C5F8A8" w14:textId="77777777" w:rsidR="0072615D" w:rsidRDefault="0072615D">
      <w:pPr>
        <w:pStyle w:val="Tableofcontents0"/>
        <w:tabs>
          <w:tab w:val="right" w:leader="dot" w:pos="6787"/>
        </w:tabs>
        <w:jc w:val="both"/>
      </w:pPr>
      <w:r>
        <w:t xml:space="preserve">Tularemia </w:t>
      </w:r>
      <w:r>
        <w:tab/>
        <w:t xml:space="preserve"> 688</w:t>
      </w:r>
    </w:p>
    <w:p w14:paraId="4DE10B50" w14:textId="77777777" w:rsidR="0072615D" w:rsidRDefault="0072615D">
      <w:pPr>
        <w:pStyle w:val="Tableofcontents0"/>
        <w:tabs>
          <w:tab w:val="right" w:leader="dot" w:pos="6795"/>
        </w:tabs>
        <w:jc w:val="both"/>
      </w:pPr>
      <w:r>
        <w:t>Uncinariasis (anquilostomiasis)</w:t>
      </w:r>
      <w:r>
        <w:tab/>
        <w:t xml:space="preserve"> 690</w:t>
      </w:r>
    </w:p>
    <w:p w14:paraId="4D7BE470" w14:textId="77777777" w:rsidR="0072615D" w:rsidRDefault="0072615D">
      <w:pPr>
        <w:pStyle w:val="Tableofcontents0"/>
        <w:tabs>
          <w:tab w:val="right" w:leader="dot" w:pos="6795"/>
        </w:tabs>
        <w:jc w:val="both"/>
      </w:pPr>
      <w:r>
        <w:rPr>
          <w:rFonts w:ascii="Times New Roman" w:eastAsia="Times New Roman" w:hAnsi="Times New Roman" w:cs="Times New Roman"/>
          <w:i/>
          <w:iCs/>
          <w:sz w:val="16"/>
          <w:szCs w:val="16"/>
        </w:rPr>
        <w:t>Ureaplasma urealyticum,</w:t>
      </w:r>
      <w:r>
        <w:t xml:space="preserve"> infecciones </w:t>
      </w:r>
      <w:r>
        <w:tab/>
        <w:t xml:space="preserve"> 691</w:t>
      </w:r>
    </w:p>
    <w:p w14:paraId="24F77781" w14:textId="77777777" w:rsidR="0072615D" w:rsidRDefault="0072615D">
      <w:pPr>
        <w:pStyle w:val="Tableofcontents0"/>
        <w:tabs>
          <w:tab w:val="right" w:leader="dot" w:pos="6795"/>
        </w:tabs>
        <w:jc w:val="both"/>
      </w:pPr>
      <w:r>
        <w:t xml:space="preserve">Varicela-zoster, virus, infecciones </w:t>
      </w:r>
      <w:r>
        <w:tab/>
        <w:t xml:space="preserve"> 693</w:t>
      </w:r>
    </w:p>
    <w:p w14:paraId="44B04909" w14:textId="77777777" w:rsidR="0072615D" w:rsidRDefault="0072615D">
      <w:pPr>
        <w:pStyle w:val="Tableofcontents0"/>
        <w:tabs>
          <w:tab w:val="right" w:leader="dot" w:pos="6795"/>
        </w:tabs>
        <w:jc w:val="both"/>
      </w:pPr>
      <w:r>
        <w:t>Vermes planos, enfermedades (teniasis y cisticercosis)</w:t>
      </w:r>
      <w:r>
        <w:tab/>
        <w:t xml:space="preserve"> 707</w:t>
      </w:r>
    </w:p>
    <w:p w14:paraId="39EEA873" w14:textId="77777777" w:rsidR="0072615D" w:rsidRDefault="0072615D">
      <w:pPr>
        <w:pStyle w:val="Tableofcontents0"/>
        <w:tabs>
          <w:tab w:val="right" w:leader="dot" w:pos="6795"/>
        </w:tabs>
        <w:jc w:val="both"/>
      </w:pPr>
      <w:r>
        <w:t>Vermes planos, enfermedades por otros</w:t>
      </w:r>
      <w:r>
        <w:tab/>
        <w:t xml:space="preserve"> 709</w:t>
      </w:r>
    </w:p>
    <w:p w14:paraId="13C116E0" w14:textId="77777777" w:rsidR="0072615D" w:rsidRDefault="0072615D">
      <w:pPr>
        <w:pStyle w:val="Tableofcontents0"/>
        <w:tabs>
          <w:tab w:val="right" w:leader="dot" w:pos="6795"/>
        </w:tabs>
        <w:jc w:val="both"/>
      </w:pPr>
      <w:r>
        <w:t>Vibriones, infecciones</w:t>
      </w:r>
      <w:r>
        <w:tab/>
        <w:t xml:space="preserve"> 711</w:t>
      </w:r>
    </w:p>
    <w:p w14:paraId="719753B5" w14:textId="77777777" w:rsidR="0072615D" w:rsidRDefault="0072615D">
      <w:pPr>
        <w:pStyle w:val="Tableofcontents0"/>
        <w:tabs>
          <w:tab w:val="right" w:leader="dot" w:pos="6795"/>
        </w:tabs>
        <w:ind w:firstLine="360"/>
        <w:jc w:val="both"/>
      </w:pPr>
      <w:r>
        <w:t xml:space="preserve">Cólera </w:t>
      </w:r>
      <w:r>
        <w:tab/>
        <w:t xml:space="preserve"> 711</w:t>
      </w:r>
    </w:p>
    <w:p w14:paraId="557339C5" w14:textId="77777777" w:rsidR="0072615D" w:rsidRDefault="0072615D">
      <w:pPr>
        <w:pStyle w:val="Tableofcontents0"/>
        <w:tabs>
          <w:tab w:val="right" w:leader="dot" w:pos="6795"/>
        </w:tabs>
        <w:ind w:firstLine="360"/>
        <w:jc w:val="both"/>
      </w:pPr>
      <w:r>
        <w:t>Otras infecciones por vibriones</w:t>
      </w:r>
      <w:r>
        <w:tab/>
        <w:t xml:space="preserve"> 715</w:t>
      </w:r>
    </w:p>
    <w:p w14:paraId="407C0D83" w14:textId="77777777" w:rsidR="0072615D" w:rsidRDefault="0072615D">
      <w:pPr>
        <w:pStyle w:val="Tableofcontents0"/>
        <w:tabs>
          <w:tab w:val="right" w:leader="dot" w:pos="6795"/>
        </w:tabs>
      </w:pPr>
      <w:r>
        <w:t xml:space="preserve">Viruela </w:t>
      </w:r>
      <w:r>
        <w:tab/>
        <w:t xml:space="preserve"> 715</w:t>
      </w:r>
    </w:p>
    <w:p w14:paraId="721F3759" w14:textId="77777777" w:rsidR="0072615D" w:rsidRDefault="0072615D">
      <w:pPr>
        <w:pStyle w:val="Tableofcontents0"/>
        <w:tabs>
          <w:tab w:val="right" w:leader="dot" w:pos="6795"/>
        </w:tabs>
        <w:spacing w:after="260"/>
      </w:pPr>
      <w:r>
        <w:rPr>
          <w:rFonts w:ascii="Times New Roman" w:eastAsia="Times New Roman" w:hAnsi="Times New Roman" w:cs="Times New Roman"/>
          <w:i/>
          <w:iCs/>
          <w:sz w:val="16"/>
          <w:szCs w:val="16"/>
        </w:rPr>
        <w:t>Yersinia enterocolitica</w:t>
      </w:r>
      <w:r>
        <w:t xml:space="preserve"> y </w:t>
      </w:r>
      <w:r>
        <w:rPr>
          <w:rFonts w:ascii="Times New Roman" w:eastAsia="Times New Roman" w:hAnsi="Times New Roman" w:cs="Times New Roman"/>
          <w:i/>
          <w:iCs/>
          <w:sz w:val="16"/>
          <w:szCs w:val="16"/>
        </w:rPr>
        <w:t>Yersinia pseudotuberculosis,</w:t>
      </w:r>
      <w:r>
        <w:t xml:space="preserve"> infecciones </w:t>
      </w:r>
      <w:r>
        <w:tab/>
        <w:t xml:space="preserve"> 719</w:t>
      </w:r>
    </w:p>
    <w:p w14:paraId="329B4C97" w14:textId="77777777" w:rsidR="0072615D" w:rsidRDefault="0072615D">
      <w:pPr>
        <w:pStyle w:val="Tableofcontents0"/>
      </w:pPr>
      <w:r>
        <w:t>SECCIÓN 4</w:t>
      </w:r>
    </w:p>
    <w:p w14:paraId="0AD60F0E" w14:textId="77777777" w:rsidR="0072615D" w:rsidRDefault="0072615D">
      <w:pPr>
        <w:pStyle w:val="Tableofcontents0"/>
        <w:spacing w:after="260"/>
      </w:pPr>
      <w:r>
        <w:t>ANTIMICROBIANOS Y FÁRMACOS SIMILARES</w:t>
      </w:r>
    </w:p>
    <w:p w14:paraId="510C4987" w14:textId="77777777" w:rsidR="0072615D" w:rsidRDefault="0072615D">
      <w:pPr>
        <w:pStyle w:val="Tableofcontents0"/>
        <w:tabs>
          <w:tab w:val="right" w:leader="dot" w:pos="6795"/>
        </w:tabs>
        <w:jc w:val="both"/>
      </w:pPr>
      <w:hyperlink w:anchor="bookmark7" w:tooltip="Current Document">
        <w:r>
          <w:t xml:space="preserve">Introducción </w:t>
        </w:r>
        <w:r>
          <w:tab/>
          <w:t xml:space="preserve"> 723</w:t>
        </w:r>
      </w:hyperlink>
    </w:p>
    <w:p w14:paraId="5F6D97C8" w14:textId="77777777" w:rsidR="0072615D" w:rsidRDefault="0072615D">
      <w:pPr>
        <w:pStyle w:val="Tableofcontents0"/>
        <w:tabs>
          <w:tab w:val="right" w:leader="dot" w:pos="6795"/>
        </w:tabs>
        <w:ind w:firstLine="360"/>
        <w:jc w:val="both"/>
      </w:pPr>
      <w:r>
        <w:t>Fluoroquinolonas</w:t>
      </w:r>
      <w:r>
        <w:tab/>
        <w:t xml:space="preserve"> 723</w:t>
      </w:r>
    </w:p>
    <w:p w14:paraId="0A64C866" w14:textId="77777777" w:rsidR="0072615D" w:rsidRDefault="0072615D">
      <w:pPr>
        <w:pStyle w:val="Tableofcontents0"/>
        <w:tabs>
          <w:tab w:val="right" w:leader="dot" w:pos="6795"/>
        </w:tabs>
        <w:ind w:firstLine="360"/>
        <w:jc w:val="both"/>
      </w:pPr>
      <w:r>
        <w:t xml:space="preserve">Tetraciclinas </w:t>
      </w:r>
      <w:r>
        <w:tab/>
        <w:t xml:space="preserve"> 724</w:t>
      </w:r>
    </w:p>
    <w:p w14:paraId="5768A461" w14:textId="77777777" w:rsidR="0072615D" w:rsidRDefault="0072615D">
      <w:pPr>
        <w:pStyle w:val="Tableofcontents0"/>
        <w:tabs>
          <w:tab w:val="right" w:leader="dot" w:pos="6795"/>
        </w:tabs>
        <w:jc w:val="both"/>
      </w:pPr>
      <w:r>
        <w:t xml:space="preserve">Uso apropiado de antimicrobianos </w:t>
      </w:r>
      <w:r>
        <w:tab/>
        <w:t xml:space="preserve"> 725</w:t>
      </w:r>
    </w:p>
    <w:p w14:paraId="64770756" w14:textId="77777777" w:rsidR="0072615D" w:rsidRDefault="0072615D">
      <w:pPr>
        <w:pStyle w:val="Tableofcontents0"/>
        <w:tabs>
          <w:tab w:val="left" w:leader="dot" w:pos="6116"/>
          <w:tab w:val="left" w:pos="6514"/>
        </w:tabs>
        <w:ind w:firstLine="360"/>
        <w:jc w:val="both"/>
      </w:pPr>
      <w:r>
        <w:t>Principios de uso apropiado en infecciones de vías respiratorias altas</w:t>
      </w:r>
      <w:r>
        <w:tab/>
      </w:r>
      <w:r>
        <w:tab/>
        <w:t>725</w:t>
      </w:r>
    </w:p>
    <w:p w14:paraId="45614FE0" w14:textId="77777777" w:rsidR="0072615D" w:rsidRDefault="0072615D">
      <w:pPr>
        <w:pStyle w:val="Tableofcontents0"/>
        <w:tabs>
          <w:tab w:val="right" w:leader="dot" w:pos="6795"/>
        </w:tabs>
        <w:ind w:firstLine="360"/>
        <w:jc w:val="both"/>
      </w:pPr>
      <w:r>
        <w:t>Principios del uso apropiado de la vancomicina</w:t>
      </w:r>
      <w:r>
        <w:tab/>
        <w:t xml:space="preserve"> 727</w:t>
      </w:r>
    </w:p>
    <w:p w14:paraId="414211DA" w14:textId="77777777" w:rsidR="0072615D" w:rsidRDefault="0072615D">
      <w:pPr>
        <w:pStyle w:val="Tableofcontents0"/>
        <w:tabs>
          <w:tab w:val="left" w:leader="dot" w:pos="6116"/>
          <w:tab w:val="left" w:pos="6514"/>
        </w:tabs>
        <w:ind w:firstLine="360"/>
        <w:jc w:val="both"/>
      </w:pPr>
      <w:r>
        <w:t xml:space="preserve">Prevención de la resistencia a antimicrobianos en el medio asistencial </w:t>
      </w:r>
      <w:r>
        <w:tab/>
      </w:r>
      <w:r>
        <w:tab/>
        <w:t>729</w:t>
      </w:r>
    </w:p>
    <w:p w14:paraId="1EB3AAFE" w14:textId="77777777" w:rsidR="0072615D" w:rsidRDefault="0072615D">
      <w:pPr>
        <w:pStyle w:val="Tableofcontents0"/>
        <w:tabs>
          <w:tab w:val="right" w:leader="dot" w:pos="6795"/>
        </w:tabs>
        <w:jc w:val="both"/>
      </w:pPr>
      <w:r>
        <w:t>Cuadros de dosis de antimicrobianos</w:t>
      </w:r>
      <w:r>
        <w:tab/>
        <w:t xml:space="preserve"> 730</w:t>
      </w:r>
    </w:p>
    <w:p w14:paraId="6DB3A118" w14:textId="77777777" w:rsidR="0072615D" w:rsidRDefault="0072615D">
      <w:pPr>
        <w:pStyle w:val="Tableofcontents0"/>
        <w:tabs>
          <w:tab w:val="right" w:leader="dot" w:pos="6795"/>
        </w:tabs>
        <w:jc w:val="both"/>
      </w:pPr>
      <w:r>
        <w:t xml:space="preserve">Enfermedades de transmisión sexual </w:t>
      </w:r>
      <w:r>
        <w:tab/>
        <w:t xml:space="preserve"> 750</w:t>
      </w:r>
    </w:p>
    <w:p w14:paraId="1F381938" w14:textId="77777777" w:rsidR="0072615D" w:rsidRDefault="0072615D">
      <w:pPr>
        <w:pStyle w:val="Tableofcontents0"/>
        <w:tabs>
          <w:tab w:val="right" w:leader="dot" w:pos="6795"/>
        </w:tabs>
        <w:jc w:val="both"/>
      </w:pPr>
      <w:r>
        <w:t xml:space="preserve">Antimicóticos contra infecciones sistémicas por hongos </w:t>
      </w:r>
      <w:r>
        <w:tab/>
        <w:t xml:space="preserve"> 758</w:t>
      </w:r>
    </w:p>
    <w:p w14:paraId="462C4ACA" w14:textId="77777777" w:rsidR="0072615D" w:rsidRDefault="0072615D">
      <w:pPr>
        <w:pStyle w:val="Tableofcontents0"/>
        <w:tabs>
          <w:tab w:val="right" w:leader="dot" w:pos="6795"/>
        </w:tabs>
        <w:ind w:firstLine="360"/>
        <w:jc w:val="both"/>
      </w:pPr>
      <w:r>
        <w:t xml:space="preserve">Polienos </w:t>
      </w:r>
      <w:r>
        <w:tab/>
        <w:t xml:space="preserve"> 758</w:t>
      </w:r>
    </w:p>
    <w:p w14:paraId="2C3E123B" w14:textId="77777777" w:rsidR="0072615D" w:rsidRDefault="0072615D">
      <w:pPr>
        <w:pStyle w:val="Tableofcontents0"/>
        <w:tabs>
          <w:tab w:val="right" w:leader="dot" w:pos="6795"/>
        </w:tabs>
        <w:ind w:firstLine="360"/>
        <w:jc w:val="both"/>
      </w:pPr>
      <w:r>
        <w:t xml:space="preserve">Pirimidinas </w:t>
      </w:r>
      <w:r>
        <w:tab/>
        <w:t xml:space="preserve"> 759</w:t>
      </w:r>
    </w:p>
    <w:p w14:paraId="644E3C05" w14:textId="77777777" w:rsidR="0072615D" w:rsidRDefault="0072615D">
      <w:pPr>
        <w:pStyle w:val="Tableofcontents0"/>
        <w:tabs>
          <w:tab w:val="right" w:leader="dot" w:pos="6795"/>
        </w:tabs>
        <w:ind w:firstLine="360"/>
        <w:jc w:val="both"/>
      </w:pPr>
      <w:r>
        <w:t xml:space="preserve">Azoles </w:t>
      </w:r>
      <w:r>
        <w:tab/>
        <w:t xml:space="preserve"> 759</w:t>
      </w:r>
    </w:p>
    <w:p w14:paraId="28617CCF" w14:textId="77777777" w:rsidR="0072615D" w:rsidRDefault="0072615D">
      <w:pPr>
        <w:pStyle w:val="Tableofcontents0"/>
        <w:tabs>
          <w:tab w:val="right" w:leader="dot" w:pos="6795"/>
        </w:tabs>
        <w:ind w:firstLine="360"/>
        <w:jc w:val="both"/>
      </w:pPr>
      <w:r>
        <w:t>Equinocandinas</w:t>
      </w:r>
      <w:r>
        <w:tab/>
        <w:t xml:space="preserve"> 760</w:t>
      </w:r>
    </w:p>
    <w:p w14:paraId="3EFDE7BE" w14:textId="77777777" w:rsidR="0072615D" w:rsidRDefault="0072615D">
      <w:pPr>
        <w:pStyle w:val="Tableofcontents0"/>
        <w:tabs>
          <w:tab w:val="left" w:leader="dot" w:pos="6116"/>
          <w:tab w:val="right" w:pos="6795"/>
        </w:tabs>
      </w:pPr>
      <w:hyperlink w:anchor="bookmark1823" w:tooltip="Current Document">
        <w:r>
          <w:t xml:space="preserve">Dosis recomendadas de antimicóticos parenterales e ingeribles </w:t>
        </w:r>
        <w:r>
          <w:tab/>
        </w:r>
        <w:r>
          <w:tab/>
          <w:t>761</w:t>
        </w:r>
      </w:hyperlink>
    </w:p>
    <w:p w14:paraId="2DB035FF" w14:textId="77777777" w:rsidR="0072615D" w:rsidRDefault="0072615D">
      <w:pPr>
        <w:pStyle w:val="Tableofcontents0"/>
        <w:tabs>
          <w:tab w:val="right" w:leader="dot" w:pos="6795"/>
        </w:tabs>
      </w:pPr>
      <w:hyperlink w:anchor="bookmark1829" w:tooltip="Current Document">
        <w:r>
          <w:t>Fármacos contra micosis invasoras y otras de gravedad en niños</w:t>
        </w:r>
        <w:r>
          <w:tab/>
          <w:t xml:space="preserve"> 764</w:t>
        </w:r>
      </w:hyperlink>
    </w:p>
    <w:p w14:paraId="5C144689" w14:textId="77777777" w:rsidR="0072615D" w:rsidRDefault="0072615D">
      <w:pPr>
        <w:pStyle w:val="Tableofcontents0"/>
        <w:tabs>
          <w:tab w:val="right" w:leader="dot" w:pos="6795"/>
        </w:tabs>
      </w:pPr>
      <w:hyperlink w:anchor="bookmark1832" w:tooltip="Current Document">
        <w:r>
          <w:t xml:space="preserve">Productos tópicos contra micosis superficiales </w:t>
        </w:r>
        <w:r>
          <w:tab/>
          <w:t xml:space="preserve"> 765</w:t>
        </w:r>
      </w:hyperlink>
    </w:p>
    <w:p w14:paraId="10E2D9E0" w14:textId="77777777" w:rsidR="0072615D" w:rsidRDefault="0072615D">
      <w:pPr>
        <w:pStyle w:val="Tableofcontents0"/>
        <w:tabs>
          <w:tab w:val="right" w:leader="dot" w:pos="6795"/>
        </w:tabs>
      </w:pPr>
      <w:hyperlink w:anchor="bookmark1848" w:tooltip="Current Document">
        <w:r>
          <w:t>Antivíricos contra infecciones no producidas por VIH</w:t>
        </w:r>
        <w:r>
          <w:tab/>
          <w:t xml:space="preserve"> 768</w:t>
        </w:r>
      </w:hyperlink>
    </w:p>
    <w:p w14:paraId="69CD33A0" w14:textId="77777777" w:rsidR="0072615D" w:rsidRDefault="0072615D">
      <w:pPr>
        <w:pStyle w:val="Tableofcontents0"/>
        <w:tabs>
          <w:tab w:val="right" w:leader="dot" w:pos="6795"/>
        </w:tabs>
      </w:pPr>
      <w:r>
        <w:t>Terapia con antirretrovíricos</w:t>
      </w:r>
      <w:r>
        <w:tab/>
        <w:t xml:space="preserve"> 772</w:t>
      </w:r>
    </w:p>
    <w:p w14:paraId="00426562" w14:textId="77777777" w:rsidR="0072615D" w:rsidRDefault="0072615D">
      <w:pPr>
        <w:pStyle w:val="Tableofcontents0"/>
        <w:tabs>
          <w:tab w:val="right" w:leader="dot" w:pos="6795"/>
        </w:tabs>
      </w:pPr>
      <w:r>
        <w:t xml:space="preserve">Fármacos antiparasitarios </w:t>
      </w:r>
      <w:r>
        <w:tab/>
        <w:t xml:space="preserve"> 784</w:t>
      </w:r>
    </w:p>
    <w:p w14:paraId="0E38156E" w14:textId="77777777" w:rsidR="0072615D" w:rsidRDefault="0072615D">
      <w:pPr>
        <w:pStyle w:val="Tableofcontents0"/>
      </w:pPr>
      <w:r>
        <w:t>MEDWatch-Programa de Información sobre Seguridad</w:t>
      </w:r>
    </w:p>
    <w:p w14:paraId="189AD29D" w14:textId="77777777" w:rsidR="0072615D" w:rsidRDefault="0072615D">
      <w:pPr>
        <w:pStyle w:val="Tableofcontents0"/>
        <w:tabs>
          <w:tab w:val="right" w:leader="dot" w:pos="6795"/>
        </w:tabs>
        <w:spacing w:after="260"/>
        <w:ind w:firstLine="140"/>
        <w:jc w:val="both"/>
      </w:pPr>
      <w:r>
        <w:t xml:space="preserve">y Notificación de Reacciones Adversas (FDA) </w:t>
      </w:r>
      <w:r>
        <w:tab/>
        <w:t xml:space="preserve"> 809</w:t>
      </w:r>
    </w:p>
    <w:p w14:paraId="068E94FB" w14:textId="77777777" w:rsidR="0072615D" w:rsidRDefault="0072615D">
      <w:pPr>
        <w:pStyle w:val="Tableofcontents0"/>
      </w:pPr>
      <w:r>
        <w:t>SECCIÓN 5</w:t>
      </w:r>
    </w:p>
    <w:p w14:paraId="26F612D8" w14:textId="77777777" w:rsidR="0072615D" w:rsidRDefault="0072615D">
      <w:pPr>
        <w:pStyle w:val="Tableofcontents0"/>
        <w:spacing w:after="260"/>
      </w:pPr>
      <w:r>
        <w:t>PROFILAXIA ANTIMICROBIANA</w:t>
      </w:r>
    </w:p>
    <w:p w14:paraId="493DB434" w14:textId="77777777" w:rsidR="0072615D" w:rsidRDefault="0072615D">
      <w:pPr>
        <w:pStyle w:val="Tableofcontents0"/>
        <w:tabs>
          <w:tab w:val="right" w:leader="dot" w:pos="6795"/>
        </w:tabs>
        <w:jc w:val="both"/>
      </w:pPr>
      <w:hyperlink w:anchor="bookmark2143" w:tooltip="Current Document">
        <w:r>
          <w:t xml:space="preserve">Profilaxia antimicrobiana </w:t>
        </w:r>
        <w:r>
          <w:tab/>
          <w:t xml:space="preserve"> 811</w:t>
        </w:r>
      </w:hyperlink>
    </w:p>
    <w:p w14:paraId="5F3702BC" w14:textId="77777777" w:rsidR="0072615D" w:rsidRDefault="0072615D">
      <w:pPr>
        <w:pStyle w:val="Tableofcontents0"/>
        <w:tabs>
          <w:tab w:val="right" w:leader="dot" w:pos="6795"/>
        </w:tabs>
        <w:ind w:firstLine="360"/>
        <w:jc w:val="both"/>
      </w:pPr>
      <w:r>
        <w:t>Patógenos específicos</w:t>
      </w:r>
      <w:r>
        <w:tab/>
        <w:t xml:space="preserve"> 811</w:t>
      </w:r>
    </w:p>
    <w:p w14:paraId="5C70C9F3" w14:textId="77777777" w:rsidR="0072615D" w:rsidRDefault="0072615D">
      <w:pPr>
        <w:pStyle w:val="Tableofcontents0"/>
        <w:tabs>
          <w:tab w:val="center" w:pos="3322"/>
          <w:tab w:val="right" w:leader="dot" w:pos="6795"/>
        </w:tabs>
        <w:ind w:firstLine="360"/>
        <w:jc w:val="both"/>
      </w:pPr>
      <w:r>
        <w:t>Sitios corporales predispuestos a</w:t>
      </w:r>
      <w:r>
        <w:tab/>
        <w:t xml:space="preserve">infecciones </w:t>
      </w:r>
      <w:r>
        <w:tab/>
        <w:t xml:space="preserve"> 811</w:t>
      </w:r>
    </w:p>
    <w:p w14:paraId="6E005F71" w14:textId="77777777" w:rsidR="0072615D" w:rsidRDefault="0072615D">
      <w:pPr>
        <w:pStyle w:val="Tableofcontents0"/>
        <w:tabs>
          <w:tab w:val="right" w:leader="dot" w:pos="6795"/>
        </w:tabs>
        <w:ind w:firstLine="360"/>
        <w:jc w:val="both"/>
      </w:pPr>
      <w:r>
        <w:t xml:space="preserve">Hospedadores vulnerables </w:t>
      </w:r>
      <w:r>
        <w:tab/>
        <w:t xml:space="preserve"> 812</w:t>
      </w:r>
    </w:p>
    <w:p w14:paraId="1F5A6F09" w14:textId="77777777" w:rsidR="0072615D" w:rsidRDefault="0072615D">
      <w:pPr>
        <w:pStyle w:val="Tableofcontents0"/>
        <w:tabs>
          <w:tab w:val="right" w:leader="dot" w:pos="6795"/>
        </w:tabs>
        <w:jc w:val="both"/>
      </w:pPr>
      <w:r>
        <w:t xml:space="preserve">Profilaxia antimicrobiana en pacientes pediátricos quirúrgicos </w:t>
      </w:r>
      <w:r>
        <w:tab/>
        <w:t xml:space="preserve"> 812</w:t>
      </w:r>
    </w:p>
    <w:p w14:paraId="6B625ED8" w14:textId="77777777" w:rsidR="0072615D" w:rsidRDefault="0072615D">
      <w:pPr>
        <w:pStyle w:val="Tableofcontents0"/>
        <w:tabs>
          <w:tab w:val="center" w:pos="3322"/>
          <w:tab w:val="left" w:leader="dot" w:pos="6116"/>
          <w:tab w:val="right" w:pos="6795"/>
        </w:tabs>
        <w:ind w:firstLine="360"/>
        <w:jc w:val="both"/>
      </w:pPr>
      <w:r>
        <w:t>Frecuencia de administración de</w:t>
      </w:r>
      <w:r>
        <w:tab/>
        <w:t xml:space="preserve">antimicrobianos profilácticos </w:t>
      </w:r>
      <w:r>
        <w:tab/>
      </w:r>
      <w:r>
        <w:tab/>
        <w:t>812</w:t>
      </w:r>
    </w:p>
    <w:p w14:paraId="37DD759C" w14:textId="77777777" w:rsidR="0072615D" w:rsidRDefault="0072615D">
      <w:pPr>
        <w:pStyle w:val="Tableofcontents0"/>
        <w:tabs>
          <w:tab w:val="right" w:leader="dot" w:pos="6795"/>
        </w:tabs>
        <w:ind w:firstLine="360"/>
        <w:jc w:val="both"/>
      </w:pPr>
      <w:r>
        <w:t>Profilaxia inapropiada con antimicrobianos</w:t>
      </w:r>
      <w:r>
        <w:tab/>
        <w:t xml:space="preserve"> 813</w:t>
      </w:r>
    </w:p>
    <w:p w14:paraId="45F5C64D" w14:textId="77777777" w:rsidR="0072615D" w:rsidRDefault="0072615D">
      <w:pPr>
        <w:pStyle w:val="Tableofcontents0"/>
        <w:tabs>
          <w:tab w:val="right" w:leader="dot" w:pos="6795"/>
        </w:tabs>
        <w:ind w:firstLine="360"/>
        <w:jc w:val="both"/>
      </w:pPr>
      <w:r>
        <w:t>Directrices para empleo adecuado</w:t>
      </w:r>
      <w:r>
        <w:tab/>
        <w:t xml:space="preserve"> 813</w:t>
      </w:r>
    </w:p>
    <w:p w14:paraId="00C54FA5" w14:textId="77777777" w:rsidR="0072615D" w:rsidRDefault="0072615D">
      <w:pPr>
        <w:pStyle w:val="Tableofcontents0"/>
        <w:tabs>
          <w:tab w:val="right" w:leader="dot" w:pos="6804"/>
        </w:tabs>
        <w:ind w:firstLine="360"/>
        <w:jc w:val="both"/>
      </w:pPr>
      <w:r>
        <w:t xml:space="preserve">Indicaciones para profilaxia </w:t>
      </w:r>
      <w:r>
        <w:tab/>
        <w:t xml:space="preserve"> 813</w:t>
      </w:r>
    </w:p>
    <w:p w14:paraId="2C8D0DFC" w14:textId="77777777" w:rsidR="0072615D" w:rsidRDefault="0072615D">
      <w:pPr>
        <w:pStyle w:val="Tableofcontents0"/>
        <w:tabs>
          <w:tab w:val="left" w:pos="6527"/>
        </w:tabs>
        <w:ind w:firstLine="360"/>
        <w:jc w:val="both"/>
      </w:pPr>
      <w:r>
        <w:t>Momento oportuno para la administración de antimicrobianos profilácticos . . .</w:t>
      </w:r>
      <w:r>
        <w:tab/>
        <w:t>815</w:t>
      </w:r>
    </w:p>
    <w:p w14:paraId="3A5E5A5C" w14:textId="77777777" w:rsidR="0072615D" w:rsidRDefault="0072615D">
      <w:pPr>
        <w:pStyle w:val="Tableofcontents0"/>
        <w:tabs>
          <w:tab w:val="right" w:leader="dot" w:pos="6804"/>
        </w:tabs>
        <w:ind w:firstLine="360"/>
        <w:jc w:val="both"/>
      </w:pPr>
      <w:r>
        <w:t xml:space="preserve">Duración de la administración de antimicrobianos </w:t>
      </w:r>
      <w:r>
        <w:tab/>
        <w:t xml:space="preserve"> 816</w:t>
      </w:r>
    </w:p>
    <w:p w14:paraId="50BD4A49" w14:textId="77777777" w:rsidR="0072615D" w:rsidRDefault="0072615D">
      <w:pPr>
        <w:pStyle w:val="Tableofcontents0"/>
        <w:tabs>
          <w:tab w:val="right" w:leader="dot" w:pos="6804"/>
        </w:tabs>
        <w:ind w:firstLine="360"/>
        <w:jc w:val="both"/>
      </w:pPr>
      <w:r>
        <w:t xml:space="preserve">Antimicrobianos recomendados </w:t>
      </w:r>
      <w:r>
        <w:tab/>
        <w:t xml:space="preserve"> 816</w:t>
      </w:r>
    </w:p>
    <w:p w14:paraId="08D7A000" w14:textId="77777777" w:rsidR="0072615D" w:rsidRDefault="0072615D">
      <w:pPr>
        <w:pStyle w:val="Tableofcontents0"/>
        <w:tabs>
          <w:tab w:val="right" w:leader="dot" w:pos="6804"/>
        </w:tabs>
        <w:jc w:val="both"/>
      </w:pPr>
      <w:r>
        <w:t xml:space="preserve">Prevención de endocarditis bacteriana </w:t>
      </w:r>
      <w:r>
        <w:tab/>
        <w:t xml:space="preserve"> 816</w:t>
      </w:r>
    </w:p>
    <w:p w14:paraId="5321CC6E" w14:textId="77777777" w:rsidR="0072615D" w:rsidRDefault="0072615D">
      <w:pPr>
        <w:pStyle w:val="Tableofcontents0"/>
        <w:tabs>
          <w:tab w:val="right" w:leader="dot" w:pos="6804"/>
        </w:tabs>
        <w:jc w:val="both"/>
      </w:pPr>
      <w:r>
        <w:t>Prevención de oftalmía neonatal</w:t>
      </w:r>
      <w:r>
        <w:tab/>
        <w:t xml:space="preserve"> 817</w:t>
      </w:r>
    </w:p>
    <w:p w14:paraId="52AC8D26" w14:textId="77777777" w:rsidR="0072615D" w:rsidRDefault="0072615D">
      <w:pPr>
        <w:pStyle w:val="Tableofcontents0"/>
        <w:tabs>
          <w:tab w:val="right" w:leader="dot" w:pos="6804"/>
        </w:tabs>
        <w:ind w:firstLine="360"/>
        <w:jc w:val="both"/>
      </w:pPr>
      <w:r>
        <w:t xml:space="preserve">Oftalmía gonocócica </w:t>
      </w:r>
      <w:r>
        <w:tab/>
        <w:t xml:space="preserve"> 817</w:t>
      </w:r>
    </w:p>
    <w:p w14:paraId="40AFC7F1" w14:textId="77777777" w:rsidR="0072615D" w:rsidRDefault="0072615D">
      <w:pPr>
        <w:pStyle w:val="Tableofcontents0"/>
        <w:tabs>
          <w:tab w:val="right" w:leader="dot" w:pos="6804"/>
        </w:tabs>
        <w:ind w:firstLine="360"/>
        <w:jc w:val="both"/>
      </w:pPr>
      <w:r>
        <w:t xml:space="preserve">Oftalmía clamidiásica </w:t>
      </w:r>
      <w:r>
        <w:tab/>
        <w:t xml:space="preserve"> 817</w:t>
      </w:r>
    </w:p>
    <w:p w14:paraId="329639ED" w14:textId="77777777" w:rsidR="0072615D" w:rsidRDefault="0072615D">
      <w:pPr>
        <w:pStyle w:val="Tableofcontents0"/>
        <w:tabs>
          <w:tab w:val="right" w:leader="dot" w:pos="6804"/>
        </w:tabs>
        <w:spacing w:after="260"/>
        <w:ind w:firstLine="360"/>
        <w:jc w:val="both"/>
      </w:pPr>
      <w:r>
        <w:t xml:space="preserve">Oftalmía no gonocócica ni clamidiásica </w:t>
      </w:r>
      <w:r>
        <w:tab/>
        <w:t xml:space="preserve"> 826</w:t>
      </w:r>
    </w:p>
    <w:p w14:paraId="4838F69D" w14:textId="77777777" w:rsidR="0072615D" w:rsidRDefault="0072615D">
      <w:pPr>
        <w:pStyle w:val="Tableofcontents0"/>
        <w:spacing w:after="260"/>
      </w:pPr>
      <w:r>
        <w:t>APÉNDICES</w:t>
      </w:r>
    </w:p>
    <w:p w14:paraId="4C59C3BE" w14:textId="77777777" w:rsidR="0072615D" w:rsidRDefault="0072615D">
      <w:pPr>
        <w:pStyle w:val="Tableofcontents0"/>
        <w:numPr>
          <w:ilvl w:val="0"/>
          <w:numId w:val="14"/>
        </w:numPr>
        <w:tabs>
          <w:tab w:val="left" w:pos="536"/>
          <w:tab w:val="right" w:leader="dot" w:pos="6804"/>
        </w:tabs>
        <w:ind w:firstLine="240"/>
        <w:jc w:val="both"/>
      </w:pPr>
      <w:hyperlink w:anchor="bookmark2184" w:tooltip="Current Document">
        <w:bookmarkStart w:id="12" w:name="bookmark12"/>
        <w:bookmarkEnd w:id="12"/>
        <w:r>
          <w:t>Directorio de recursos</w:t>
        </w:r>
        <w:r>
          <w:tab/>
          <w:t xml:space="preserve"> 827</w:t>
        </w:r>
      </w:hyperlink>
    </w:p>
    <w:p w14:paraId="2AB740A4" w14:textId="77777777" w:rsidR="0072615D" w:rsidRDefault="0072615D">
      <w:pPr>
        <w:pStyle w:val="Tableofcontents0"/>
        <w:numPr>
          <w:ilvl w:val="0"/>
          <w:numId w:val="14"/>
        </w:numPr>
        <w:tabs>
          <w:tab w:val="left" w:pos="543"/>
          <w:tab w:val="right" w:leader="dot" w:pos="6804"/>
        </w:tabs>
        <w:ind w:firstLine="180"/>
        <w:jc w:val="both"/>
      </w:pPr>
      <w:bookmarkStart w:id="13" w:name="bookmark13"/>
      <w:bookmarkEnd w:id="13"/>
      <w:r>
        <w:t xml:space="preserve">Estándares para la vacunación de niños y adolescentes </w:t>
      </w:r>
      <w:r>
        <w:tab/>
        <w:t xml:space="preserve"> 832</w:t>
      </w:r>
    </w:p>
    <w:p w14:paraId="5337ADA4" w14:textId="77777777" w:rsidR="0072615D" w:rsidRDefault="0072615D">
      <w:pPr>
        <w:pStyle w:val="Tableofcontents0"/>
        <w:numPr>
          <w:ilvl w:val="0"/>
          <w:numId w:val="14"/>
        </w:numPr>
        <w:tabs>
          <w:tab w:val="left" w:pos="486"/>
        </w:tabs>
      </w:pPr>
      <w:bookmarkStart w:id="14" w:name="bookmark14"/>
      <w:bookmarkEnd w:id="14"/>
      <w:r>
        <w:t>Guía de contraindicaciones y precauciones</w:t>
      </w:r>
    </w:p>
    <w:p w14:paraId="1A0D5328" w14:textId="77777777" w:rsidR="0072615D" w:rsidRDefault="0072615D">
      <w:pPr>
        <w:pStyle w:val="Tableofcontents0"/>
        <w:tabs>
          <w:tab w:val="right" w:leader="dot" w:pos="6804"/>
        </w:tabs>
        <w:ind w:firstLine="640"/>
        <w:jc w:val="both"/>
      </w:pPr>
      <w:hyperlink w:anchor="bookmark2252" w:tooltip="Current Document">
        <w:r>
          <w:t xml:space="preserve">en las vacunaciones, 2003 </w:t>
        </w:r>
        <w:r>
          <w:tab/>
          <w:t xml:space="preserve"> 835</w:t>
        </w:r>
      </w:hyperlink>
    </w:p>
    <w:p w14:paraId="0C3BF290" w14:textId="77777777" w:rsidR="0072615D" w:rsidRDefault="0072615D">
      <w:pPr>
        <w:pStyle w:val="Tableofcontents0"/>
        <w:numPr>
          <w:ilvl w:val="0"/>
          <w:numId w:val="14"/>
        </w:numPr>
        <w:tabs>
          <w:tab w:val="left" w:pos="486"/>
        </w:tabs>
      </w:pPr>
      <w:bookmarkStart w:id="15" w:name="bookmark15"/>
      <w:bookmarkEnd w:id="15"/>
      <w:r>
        <w:t>Ley nacional de daños por vacunas en niños. Cuadro de notificaciones</w:t>
      </w:r>
    </w:p>
    <w:p w14:paraId="72D5274C" w14:textId="77777777" w:rsidR="0072615D" w:rsidRDefault="0072615D">
      <w:pPr>
        <w:pStyle w:val="Tableofcontents0"/>
        <w:tabs>
          <w:tab w:val="right" w:leader="dot" w:pos="6804"/>
        </w:tabs>
        <w:ind w:firstLine="640"/>
        <w:jc w:val="both"/>
      </w:pPr>
      <w:r>
        <w:t>y compensaciones</w:t>
      </w:r>
      <w:r>
        <w:tab/>
        <w:t xml:space="preserve"> 840</w:t>
      </w:r>
    </w:p>
    <w:p w14:paraId="76517628" w14:textId="77777777" w:rsidR="0072615D" w:rsidRDefault="0072615D">
      <w:pPr>
        <w:pStyle w:val="Tableofcontents0"/>
        <w:numPr>
          <w:ilvl w:val="0"/>
          <w:numId w:val="14"/>
        </w:numPr>
        <w:tabs>
          <w:tab w:val="left" w:pos="615"/>
          <w:tab w:val="left" w:pos="6527"/>
        </w:tabs>
        <w:ind w:firstLine="180"/>
        <w:jc w:val="both"/>
      </w:pPr>
      <w:bookmarkStart w:id="16" w:name="bookmark16"/>
      <w:bookmarkEnd w:id="16"/>
      <w:r>
        <w:t>Requisitos estatales de inmunización para la incorporación escolar . . . .</w:t>
      </w:r>
      <w:r>
        <w:tab/>
        <w:t>847</w:t>
      </w:r>
    </w:p>
    <w:p w14:paraId="2E2EDDEF" w14:textId="77777777" w:rsidR="0072615D" w:rsidRDefault="0072615D">
      <w:pPr>
        <w:pStyle w:val="Tableofcontents0"/>
        <w:numPr>
          <w:ilvl w:val="0"/>
          <w:numId w:val="14"/>
        </w:numPr>
        <w:tabs>
          <w:tab w:val="left" w:pos="486"/>
        </w:tabs>
      </w:pPr>
      <w:bookmarkStart w:id="17" w:name="bookmark17"/>
      <w:bookmarkEnd w:id="17"/>
      <w:r>
        <w:t>Síndromes clínicos que surgen en enfermedades</w:t>
      </w:r>
    </w:p>
    <w:p w14:paraId="5704E7F9" w14:textId="77777777" w:rsidR="0072615D" w:rsidRDefault="0072615D">
      <w:pPr>
        <w:pStyle w:val="Tableofcontents0"/>
        <w:tabs>
          <w:tab w:val="right" w:leader="dot" w:pos="6804"/>
        </w:tabs>
        <w:ind w:firstLine="640"/>
        <w:jc w:val="both"/>
      </w:pPr>
      <w:r>
        <w:t xml:space="preserve">de origen alimentario </w:t>
      </w:r>
      <w:r>
        <w:tab/>
        <w:t xml:space="preserve"> 848</w:t>
      </w:r>
    </w:p>
    <w:p w14:paraId="7244269A" w14:textId="77777777" w:rsidR="0072615D" w:rsidRDefault="0072615D">
      <w:pPr>
        <w:pStyle w:val="Tableofcontents0"/>
        <w:numPr>
          <w:ilvl w:val="0"/>
          <w:numId w:val="14"/>
        </w:numPr>
        <w:tabs>
          <w:tab w:val="left" w:pos="517"/>
        </w:tabs>
      </w:pPr>
      <w:bookmarkStart w:id="18" w:name="bookmark18"/>
      <w:bookmarkEnd w:id="18"/>
      <w:r>
        <w:t>Prevención de enfermedades por productos alimenticios</w:t>
      </w:r>
    </w:p>
    <w:p w14:paraId="3B89D868" w14:textId="77777777" w:rsidR="0072615D" w:rsidRDefault="0072615D">
      <w:pPr>
        <w:pStyle w:val="Tableofcontents0"/>
        <w:tabs>
          <w:tab w:val="right" w:leader="dot" w:pos="6804"/>
        </w:tabs>
        <w:ind w:firstLine="640"/>
        <w:jc w:val="both"/>
      </w:pPr>
      <w:r>
        <w:t xml:space="preserve">potencialmente contaminados </w:t>
      </w:r>
      <w:r>
        <w:tab/>
        <w:t xml:space="preserve"> 852</w:t>
      </w:r>
    </w:p>
    <w:p w14:paraId="323FEE5D" w14:textId="77777777" w:rsidR="0072615D" w:rsidRDefault="0072615D">
      <w:pPr>
        <w:pStyle w:val="Tableofcontents0"/>
        <w:numPr>
          <w:ilvl w:val="0"/>
          <w:numId w:val="14"/>
        </w:numPr>
        <w:tabs>
          <w:tab w:val="left" w:pos="584"/>
          <w:tab w:val="right" w:leader="dot" w:pos="6804"/>
        </w:tabs>
        <w:jc w:val="both"/>
      </w:pPr>
      <w:hyperlink w:anchor="bookmark2348" w:tooltip="Current Document">
        <w:bookmarkStart w:id="19" w:name="bookmark19"/>
        <w:bookmarkEnd w:id="19"/>
        <w:r>
          <w:t xml:space="preserve">Enfermedades transmitidas por animales </w:t>
        </w:r>
        <w:r>
          <w:tab/>
          <w:t xml:space="preserve"> 855</w:t>
        </w:r>
      </w:hyperlink>
    </w:p>
    <w:p w14:paraId="59A844CB" w14:textId="77777777" w:rsidR="0072615D" w:rsidRDefault="0072615D">
      <w:pPr>
        <w:pStyle w:val="Tableofcontents0"/>
        <w:numPr>
          <w:ilvl w:val="0"/>
          <w:numId w:val="14"/>
        </w:numPr>
        <w:tabs>
          <w:tab w:val="left" w:pos="486"/>
        </w:tabs>
      </w:pPr>
      <w:bookmarkStart w:id="20" w:name="bookmark20"/>
      <w:bookmarkEnd w:id="20"/>
      <w:r>
        <w:t>Enfermedades infecciones de notificación nacional</w:t>
      </w:r>
    </w:p>
    <w:p w14:paraId="276405E0" w14:textId="77777777" w:rsidR="0072615D" w:rsidRDefault="0072615D">
      <w:pPr>
        <w:pStyle w:val="Tableofcontents0"/>
        <w:tabs>
          <w:tab w:val="right" w:leader="dot" w:pos="6804"/>
        </w:tabs>
        <w:ind w:firstLine="640"/>
        <w:jc w:val="both"/>
      </w:pPr>
      <w:r>
        <w:t xml:space="preserve">en Estados Unidos </w:t>
      </w:r>
      <w:r>
        <w:tab/>
        <w:t xml:space="preserve"> 861</w:t>
      </w:r>
    </w:p>
    <w:p w14:paraId="43422BF4" w14:textId="77777777" w:rsidR="0072615D" w:rsidRDefault="0072615D">
      <w:pPr>
        <w:pStyle w:val="Tableofcontents0"/>
        <w:numPr>
          <w:ilvl w:val="0"/>
          <w:numId w:val="14"/>
        </w:numPr>
        <w:tabs>
          <w:tab w:val="left" w:pos="606"/>
        </w:tabs>
        <w:ind w:firstLine="180"/>
      </w:pPr>
      <w:bookmarkStart w:id="21" w:name="bookmark21"/>
      <w:bookmarkEnd w:id="21"/>
      <w:r>
        <w:t>Servicios de los Centers for Disease Control</w:t>
      </w:r>
    </w:p>
    <w:p w14:paraId="5C9D17B7" w14:textId="77777777" w:rsidR="0072615D" w:rsidRDefault="0072615D">
      <w:pPr>
        <w:pStyle w:val="Tableofcontents0"/>
        <w:tabs>
          <w:tab w:val="right" w:leader="dot" w:pos="6804"/>
        </w:tabs>
        <w:spacing w:after="260"/>
        <w:ind w:firstLine="640"/>
        <w:jc w:val="both"/>
      </w:pPr>
      <w:r>
        <w:t xml:space="preserve">and Prevention (CDC) </w:t>
      </w:r>
      <w:r>
        <w:tab/>
        <w:t xml:space="preserve"> 862</w:t>
      </w:r>
    </w:p>
    <w:p w14:paraId="11A3ACC9" w14:textId="77777777" w:rsidR="0072615D" w:rsidRDefault="0072615D">
      <w:pPr>
        <w:pStyle w:val="Tableofcontents0"/>
        <w:tabs>
          <w:tab w:val="right" w:leader="dot" w:pos="6804"/>
        </w:tabs>
        <w:jc w:val="both"/>
        <w:sectPr w:rsidR="0072615D" w:rsidSect="0072615D">
          <w:headerReference w:type="even" r:id="rId16"/>
          <w:headerReference w:type="default" r:id="rId17"/>
          <w:pgSz w:w="8501" w:h="13022"/>
          <w:pgMar w:top="943" w:right="821" w:bottom="545" w:left="807" w:header="0" w:footer="3" w:gutter="0"/>
          <w:pgNumType w:fmt="upperRoman" w:start="17"/>
          <w:cols w:space="720"/>
          <w:noEndnote/>
          <w:docGrid w:linePitch="360"/>
        </w:sectPr>
      </w:pPr>
      <w:r>
        <w:t>Índice alfabético</w:t>
      </w:r>
      <w:r>
        <w:tab/>
        <w:t xml:space="preserve"> 865</w:t>
      </w:r>
      <w:r>
        <w:fldChar w:fldCharType="end"/>
      </w:r>
    </w:p>
    <w:p w14:paraId="4F2864AC" w14:textId="77777777" w:rsidR="0072615D" w:rsidRDefault="0072615D">
      <w:pPr>
        <w:pStyle w:val="Heading21"/>
        <w:keepNext/>
        <w:keepLines/>
      </w:pPr>
      <w:bookmarkStart w:id="22" w:name="bookmark22"/>
      <w:bookmarkStart w:id="23" w:name="bookmark23"/>
      <w:bookmarkStart w:id="24" w:name="bookmark24"/>
      <w:r>
        <w:t xml:space="preserve">Aviso de cambios en </w:t>
      </w:r>
      <w:r>
        <w:rPr>
          <w:i/>
          <w:iCs/>
        </w:rPr>
        <w:t>Red Book,</w:t>
      </w:r>
      <w:r>
        <w:rPr>
          <w:i/>
          <w:iCs/>
        </w:rPr>
        <w:br/>
      </w:r>
      <w:r>
        <w:t>edición de 2003</w:t>
      </w:r>
      <w:bookmarkEnd w:id="22"/>
      <w:bookmarkEnd w:id="23"/>
      <w:bookmarkEnd w:id="24"/>
    </w:p>
    <w:p w14:paraId="5BAB0987" w14:textId="77777777" w:rsidR="0072615D" w:rsidRDefault="0072615D">
      <w:pPr>
        <w:pStyle w:val="BodyText"/>
        <w:spacing w:line="276" w:lineRule="auto"/>
        <w:ind w:firstLine="0"/>
      </w:pPr>
      <w:r>
        <w:t xml:space="preserve">Se han incluido algunas modificaciones en la presente edición. Las franjas negras en el margen de las páginas de cada sección facilitan el acceso a ella. Se han incluido más direcciones de páginas </w:t>
      </w:r>
      <w:r>
        <w:rPr>
          <w:rFonts w:ascii="Times New Roman" w:eastAsia="Times New Roman" w:hAnsi="Times New Roman" w:cs="Times New Roman"/>
          <w:i/>
          <w:iCs/>
          <w:sz w:val="16"/>
          <w:szCs w:val="16"/>
        </w:rPr>
        <w:t>Web</w:t>
      </w:r>
      <w:r>
        <w:t xml:space="preserve"> y referencias de las recomendaciones de </w:t>
      </w:r>
      <w:r>
        <w:rPr>
          <w:rFonts w:ascii="Times New Roman" w:eastAsia="Times New Roman" w:hAnsi="Times New Roman" w:cs="Times New Roman"/>
          <w:i/>
          <w:iCs/>
          <w:sz w:val="16"/>
          <w:szCs w:val="16"/>
        </w:rPr>
        <w:t>the Committee of Infectious Diseases (COID), Committee on Pediatric AIDS</w:t>
      </w:r>
      <w:r>
        <w:t xml:space="preserve"> y otros comités de the </w:t>
      </w:r>
      <w:r>
        <w:rPr>
          <w:rFonts w:ascii="Times New Roman" w:eastAsia="Times New Roman" w:hAnsi="Times New Roman" w:cs="Times New Roman"/>
          <w:i/>
          <w:iCs/>
          <w:sz w:val="16"/>
          <w:szCs w:val="16"/>
        </w:rPr>
        <w:t>American Academy of Pediatrics (AAP)</w:t>
      </w:r>
      <w:r>
        <w:t xml:space="preserve"> y del Comité Consultor de Prácticas de Inmunización </w:t>
      </w:r>
      <w:r>
        <w:rPr>
          <w:rFonts w:ascii="Times New Roman" w:eastAsia="Times New Roman" w:hAnsi="Times New Roman" w:cs="Times New Roman"/>
          <w:i/>
          <w:iCs/>
          <w:sz w:val="16"/>
          <w:szCs w:val="16"/>
        </w:rPr>
        <w:t>(Advisory Committee on Immunization Practices, ACIP)</w:t>
      </w:r>
      <w:r>
        <w:t xml:space="preserve"> de los </w:t>
      </w:r>
      <w:r>
        <w:rPr>
          <w:rFonts w:ascii="Times New Roman" w:eastAsia="Times New Roman" w:hAnsi="Times New Roman" w:cs="Times New Roman"/>
          <w:i/>
          <w:iCs/>
          <w:sz w:val="16"/>
          <w:szCs w:val="16"/>
        </w:rPr>
        <w:t>Centers for Disease Control and Prevention (CDC);</w:t>
      </w:r>
      <w:r>
        <w:t xml:space="preserve"> en los cuadros se han modificado los signos de señalamiento en los pies, y en vez de éstos se han usado números para facilidad de consulta. Se han incorporado cambios de algunos nombres de microorganismos y enfermedades como:</w:t>
      </w:r>
    </w:p>
    <w:p w14:paraId="4B996139" w14:textId="77777777" w:rsidR="0072615D" w:rsidRDefault="0072615D">
      <w:pPr>
        <w:pStyle w:val="Bodytext20"/>
        <w:numPr>
          <w:ilvl w:val="0"/>
          <w:numId w:val="15"/>
        </w:numPr>
        <w:tabs>
          <w:tab w:val="left" w:pos="340"/>
        </w:tabs>
        <w:spacing w:line="269" w:lineRule="auto"/>
      </w:pPr>
      <w:bookmarkStart w:id="25" w:name="bookmark25"/>
      <w:bookmarkEnd w:id="25"/>
      <w:r>
        <w:rPr>
          <w:i/>
          <w:iCs/>
        </w:rPr>
        <w:t>Pneumocystis jiroveci</w:t>
      </w:r>
      <w:r>
        <w:rPr>
          <w:rFonts w:ascii="Garamond" w:eastAsia="Garamond" w:hAnsi="Garamond" w:cs="Garamond"/>
          <w:sz w:val="19"/>
          <w:szCs w:val="19"/>
        </w:rPr>
        <w:t xml:space="preserve"> en vez de </w:t>
      </w:r>
      <w:r>
        <w:rPr>
          <w:i/>
          <w:iCs/>
        </w:rPr>
        <w:t>Pneumocystis carinii</w:t>
      </w:r>
    </w:p>
    <w:p w14:paraId="5633B819" w14:textId="77777777" w:rsidR="0072615D" w:rsidRDefault="0072615D">
      <w:pPr>
        <w:pStyle w:val="BodyText"/>
        <w:numPr>
          <w:ilvl w:val="0"/>
          <w:numId w:val="15"/>
        </w:numPr>
        <w:tabs>
          <w:tab w:val="left" w:pos="340"/>
        </w:tabs>
        <w:ind w:firstLine="0"/>
      </w:pPr>
      <w:bookmarkStart w:id="26" w:name="bookmark26"/>
      <w:bookmarkEnd w:id="26"/>
      <w:r>
        <w:t>Pitiriasis versicolor en vez de tiña versicolor</w:t>
      </w:r>
    </w:p>
    <w:p w14:paraId="192A829B" w14:textId="77777777" w:rsidR="0072615D" w:rsidRDefault="0072615D">
      <w:pPr>
        <w:pStyle w:val="BodyText"/>
        <w:numPr>
          <w:ilvl w:val="0"/>
          <w:numId w:val="15"/>
        </w:numPr>
        <w:tabs>
          <w:tab w:val="left" w:pos="340"/>
        </w:tabs>
        <w:ind w:firstLine="0"/>
      </w:pPr>
      <w:bookmarkStart w:id="27" w:name="bookmark27"/>
      <w:bookmarkEnd w:id="27"/>
      <w:r>
        <w:t>Norovirus en vez de virus Norwalk</w:t>
      </w:r>
    </w:p>
    <w:p w14:paraId="0EE140E3" w14:textId="77777777" w:rsidR="0072615D" w:rsidRDefault="0072615D">
      <w:pPr>
        <w:pStyle w:val="Bodytext20"/>
        <w:numPr>
          <w:ilvl w:val="0"/>
          <w:numId w:val="15"/>
        </w:numPr>
        <w:tabs>
          <w:tab w:val="left" w:pos="340"/>
        </w:tabs>
        <w:spacing w:line="269" w:lineRule="auto"/>
      </w:pPr>
      <w:bookmarkStart w:id="28" w:name="bookmark28"/>
      <w:bookmarkEnd w:id="28"/>
      <w:r>
        <w:rPr>
          <w:i/>
          <w:iCs/>
        </w:rPr>
        <w:t>Anaplasma phagocytophila</w:t>
      </w:r>
      <w:r>
        <w:rPr>
          <w:rFonts w:ascii="Garamond" w:eastAsia="Garamond" w:hAnsi="Garamond" w:cs="Garamond"/>
          <w:sz w:val="19"/>
          <w:szCs w:val="19"/>
        </w:rPr>
        <w:t xml:space="preserve"> en vez de </w:t>
      </w:r>
      <w:r>
        <w:rPr>
          <w:i/>
          <w:iCs/>
        </w:rPr>
        <w:t>Ehrlichia phagocytophila</w:t>
      </w:r>
    </w:p>
    <w:p w14:paraId="7283105D" w14:textId="77777777" w:rsidR="0072615D" w:rsidRDefault="0072615D">
      <w:pPr>
        <w:pStyle w:val="Bodytext20"/>
        <w:numPr>
          <w:ilvl w:val="0"/>
          <w:numId w:val="15"/>
        </w:numPr>
        <w:tabs>
          <w:tab w:val="left" w:pos="340"/>
        </w:tabs>
        <w:spacing w:line="269" w:lineRule="auto"/>
      </w:pPr>
      <w:bookmarkStart w:id="29" w:name="bookmark29"/>
      <w:bookmarkEnd w:id="29"/>
      <w:r>
        <w:rPr>
          <w:i/>
          <w:iCs/>
        </w:rPr>
        <w:t>Chlamydia (Chlamydophila) pneumoniae</w:t>
      </w:r>
    </w:p>
    <w:p w14:paraId="2917C010" w14:textId="77777777" w:rsidR="0072615D" w:rsidRDefault="0072615D">
      <w:pPr>
        <w:pStyle w:val="Bodytext20"/>
        <w:numPr>
          <w:ilvl w:val="0"/>
          <w:numId w:val="15"/>
        </w:numPr>
        <w:tabs>
          <w:tab w:val="left" w:pos="340"/>
        </w:tabs>
        <w:spacing w:line="269" w:lineRule="auto"/>
        <w:sectPr w:rsidR="0072615D" w:rsidSect="0072615D">
          <w:headerReference w:type="even" r:id="rId18"/>
          <w:headerReference w:type="default" r:id="rId19"/>
          <w:pgSz w:w="8501" w:h="13022"/>
          <w:pgMar w:top="1690" w:right="1238" w:bottom="1690" w:left="494" w:header="1262" w:footer="1262" w:gutter="0"/>
          <w:pgNumType w:start="13"/>
          <w:cols w:space="720"/>
          <w:noEndnote/>
          <w:docGrid w:linePitch="360"/>
        </w:sectPr>
      </w:pPr>
      <w:bookmarkStart w:id="30" w:name="bookmark30"/>
      <w:bookmarkEnd w:id="30"/>
      <w:r>
        <w:rPr>
          <w:i/>
          <w:iCs/>
        </w:rPr>
        <w:t>Chlamydia (Chlamydophila) psittaci</w:t>
      </w:r>
    </w:p>
    <w:p w14:paraId="0F2FFE75" w14:textId="77777777" w:rsidR="0072615D" w:rsidRDefault="0072615D">
      <w:pPr>
        <w:pStyle w:val="Other0"/>
        <w:pBdr>
          <w:bottom w:val="single" w:sz="4" w:space="0" w:color="auto"/>
        </w:pBdr>
        <w:spacing w:after="720" w:line="240" w:lineRule="auto"/>
        <w:ind w:firstLine="0"/>
        <w:rPr>
          <w:sz w:val="20"/>
          <w:szCs w:val="20"/>
        </w:rPr>
      </w:pPr>
      <w:r>
        <w:rPr>
          <w:rFonts w:ascii="Book Antiqua" w:eastAsia="Book Antiqua" w:hAnsi="Book Antiqua" w:cs="Book Antiqua"/>
          <w:smallCaps/>
          <w:sz w:val="22"/>
          <w:szCs w:val="22"/>
        </w:rPr>
        <w:t>Sección</w:t>
      </w:r>
      <w:r>
        <w:rPr>
          <w:rFonts w:ascii="Times New Roman" w:eastAsia="Times New Roman" w:hAnsi="Times New Roman" w:cs="Times New Roman"/>
          <w:sz w:val="20"/>
          <w:szCs w:val="20"/>
        </w:rPr>
        <w:t xml:space="preserve"> 1</w:t>
      </w:r>
    </w:p>
    <w:p w14:paraId="3F417D69" w14:textId="77777777" w:rsidR="0072615D" w:rsidRDefault="0072615D">
      <w:pPr>
        <w:pStyle w:val="Heading11"/>
        <w:keepNext/>
        <w:keepLines/>
      </w:pPr>
      <w:bookmarkStart w:id="31" w:name="bookmark31"/>
      <w:bookmarkStart w:id="32" w:name="bookmark32"/>
      <w:bookmarkStart w:id="33" w:name="bookmark33"/>
      <w:r>
        <w:t>Inmunizaciones activa y pasiva</w:t>
      </w:r>
      <w:bookmarkEnd w:id="31"/>
      <w:bookmarkEnd w:id="32"/>
      <w:bookmarkEnd w:id="33"/>
    </w:p>
    <w:p w14:paraId="4E74F3BE" w14:textId="77777777" w:rsidR="0072615D" w:rsidRDefault="0072615D">
      <w:pPr>
        <w:pStyle w:val="Other0"/>
        <w:spacing w:after="220" w:line="240" w:lineRule="auto"/>
        <w:ind w:firstLine="0"/>
        <w:jc w:val="center"/>
        <w:rPr>
          <w:sz w:val="32"/>
          <w:szCs w:val="32"/>
        </w:rPr>
      </w:pPr>
      <w:r>
        <w:rPr>
          <w:rFonts w:ascii="Times New Roman" w:eastAsia="Times New Roman" w:hAnsi="Times New Roman" w:cs="Times New Roman"/>
          <w:smallCaps/>
          <w:sz w:val="34"/>
          <w:szCs w:val="34"/>
        </w:rPr>
        <w:t>P</w:t>
      </w:r>
      <w:r>
        <w:rPr>
          <w:rFonts w:ascii="Times New Roman" w:eastAsia="Times New Roman" w:hAnsi="Times New Roman" w:cs="Times New Roman"/>
          <w:smallCaps/>
          <w:sz w:val="32"/>
          <w:szCs w:val="32"/>
        </w:rPr>
        <w:t>rólogo</w:t>
      </w:r>
    </w:p>
    <w:p w14:paraId="77B7AE9D" w14:textId="77777777" w:rsidR="0072615D" w:rsidRDefault="0072615D">
      <w:pPr>
        <w:pStyle w:val="BodyText"/>
        <w:ind w:firstLine="0"/>
      </w:pPr>
      <w:r>
        <w:t>La meta final de las inmunizaciones es erradicar enfermedades; el objetivo inmediato es evitarlas en las personas o en los grupos de pacientes. Los médicos, para alcanzar tales objetivos deben realizar oportunamente las inmunizaciones (vacunaciones), incluidas las inmunoprofilaxias activa y pasiva, que son una prioridad absoluta en la atención de lactantes, niños, adolescentes y adultos. La erradicación global de la viruela en 1977 y la eliminación de la poliomielitis en el continente americano en 1991 han servido como modelos para alcanzar la posibilidad de controlar enfermedades por medio de las inmunizaciones. Los dos logros mencionados se alcanzaron al combinar un programa integral de inmunización que incluía protección constante y congruente a base de vacunas, con supervisión intensiva y medidas eficaces de salud pública para control de enfermedades. Es posible que en lo futuro se logre eliminar a nivel mundial flagelos como el sarampión, la rubéola y la hepatitis B, si se llevan a la práctica estrategias profilácticas similares.</w:t>
      </w:r>
    </w:p>
    <w:p w14:paraId="5CB2C122" w14:textId="77777777" w:rsidR="0072615D" w:rsidRDefault="0072615D">
      <w:pPr>
        <w:pStyle w:val="BodyText"/>
        <w:ind w:firstLine="360"/>
      </w:pPr>
      <w:r>
        <w:t xml:space="preserve">Los índices altos de inmunización han hecho que disminuyan en forma impresionante o incluso se erradiquen algunas enfermedades como difteria, sarampión, parotiditis, poliomielitis, rubéola (congénita y adquirida), tétanos y la enfermedad por </w:t>
      </w:r>
      <w:r>
        <w:rPr>
          <w:rFonts w:ascii="Times New Roman" w:eastAsia="Times New Roman" w:hAnsi="Times New Roman" w:cs="Times New Roman"/>
          <w:i/>
          <w:iCs/>
          <w:sz w:val="16"/>
          <w:szCs w:val="16"/>
        </w:rPr>
        <w:t>Haemophilus influenzae</w:t>
      </w:r>
      <w:r>
        <w:t xml:space="preserve"> de tipo b (cuadro 1-1) en Estados Unidos.</w:t>
      </w:r>
    </w:p>
    <w:p w14:paraId="50A8182E" w14:textId="77777777" w:rsidR="0072615D" w:rsidRDefault="0072615D">
      <w:pPr>
        <w:pStyle w:val="BodyText"/>
        <w:ind w:firstLine="360"/>
      </w:pPr>
      <w:r>
        <w:t>Sin embargo, dada la persistencia en ese país y en otros más, de microorganismos que causan las enfermedades mencionadas, habrá que perseverar y reforzar todas las actividades ininterrumpidas de inmunización. Los descubrimientos en inmunología, biología molecular y genética médica han activado en forma extraordinaria el campo de la investigación de vacunas. Es posible entrever una nueva época de la medicina preventiva ante la aprobación de vacunas nuevas, mejores y más innocuas, la combinación de vacunas complementarias, así como la aplicación de nuevos sistemas de administración de estos productos. El advenimiento de estudios de nuevas vacunas, después de su aprobación, con bases epidemiológicas poblacionales, ha permitido detectar raras reacciones adversas que a veces surgen con la inmunización, que no se identificaron durante las investigaciones clínicas antes de su autorización y patentado. Los estudios de la aparición ocasional de invaginación después de administrar por vía bucal la vacuna a base de rotavirus rhesus ha confirmado la utilidad de los sistemas de vigilancia comentados. Los médicos deben actualizar en forma regular y periódica sus conocimientos respecto de vacunas específicas, que incluyan información de su uso óptimo, inocuidad y eficacia.</w:t>
      </w:r>
    </w:p>
    <w:p w14:paraId="5BB48CF4" w14:textId="77777777" w:rsidR="0072615D" w:rsidRDefault="0072615D">
      <w:pPr>
        <w:pStyle w:val="BodyText"/>
        <w:spacing w:after="300" w:line="276" w:lineRule="auto"/>
        <w:ind w:firstLine="360"/>
        <w:sectPr w:rsidR="0072615D" w:rsidSect="0072615D">
          <w:footnotePr>
            <w:numFmt w:val="chicago"/>
          </w:footnotePr>
          <w:pgSz w:w="8501" w:h="13022"/>
          <w:pgMar w:top="687" w:right="827" w:bottom="464" w:left="805" w:header="259" w:footer="36" w:gutter="0"/>
          <w:cols w:space="720"/>
          <w:noEndnote/>
          <w:docGrid w:linePitch="360"/>
          <w15:footnoteColumns w:val="1"/>
        </w:sectPr>
      </w:pPr>
      <w:r>
        <w:t xml:space="preserve">cada edición de la obra presente incluye recomendaciones para la inmunización de lactantes, niños y adolescentes, que se basan en los conocimientos, la experiencia y los postulados para la fecha de edición. Las recomendaciones hechas constituyen un consenso, aunque en determinado momento pueden disentir algunos médicos. No intentamos ser infalibles, y el </w:t>
      </w:r>
      <w:r>
        <w:rPr>
          <w:rFonts w:ascii="Times New Roman" w:eastAsia="Times New Roman" w:hAnsi="Times New Roman" w:cs="Times New Roman"/>
          <w:i/>
          <w:iCs/>
          <w:sz w:val="16"/>
          <w:szCs w:val="16"/>
        </w:rPr>
        <w:t>Committee on Infectious Diseases</w:t>
      </w:r>
      <w:r>
        <w:t xml:space="preserve"> de la </w:t>
      </w:r>
      <w:r>
        <w:rPr>
          <w:rFonts w:ascii="Times New Roman" w:eastAsia="Times New Roman" w:hAnsi="Times New Roman" w:cs="Times New Roman"/>
          <w:i/>
          <w:iCs/>
          <w:sz w:val="16"/>
          <w:szCs w:val="16"/>
        </w:rPr>
        <w:t>American Academy of Pediatrics</w:t>
      </w:r>
      <w:r>
        <w:t xml:space="preserve"> reconoce que en algunas circunstancias individuales están justificadas decisiones que no coinciden con las recomendaciones incluidas en este texto.</w:t>
      </w:r>
    </w:p>
    <w:p w14:paraId="38904A3A" w14:textId="77777777" w:rsidR="0072615D" w:rsidRDefault="0072615D">
      <w:pPr>
        <w:pStyle w:val="Other0"/>
        <w:spacing w:after="100" w:line="214" w:lineRule="auto"/>
        <w:ind w:firstLine="0"/>
        <w:jc w:val="center"/>
        <w:rPr>
          <w:sz w:val="26"/>
          <w:szCs w:val="26"/>
        </w:rPr>
      </w:pPr>
      <w:r>
        <w:rPr>
          <w:rFonts w:ascii="Arial" w:eastAsia="Arial" w:hAnsi="Arial" w:cs="Arial"/>
          <w:w w:val="70"/>
          <w:sz w:val="26"/>
          <w:szCs w:val="26"/>
        </w:rPr>
        <w:t xml:space="preserve">Cuadro 1-1. </w:t>
      </w:r>
      <w:r>
        <w:rPr>
          <w:rFonts w:ascii="Arial" w:eastAsia="Arial" w:hAnsi="Arial" w:cs="Arial"/>
          <w:b/>
          <w:bCs/>
          <w:w w:val="70"/>
          <w:sz w:val="26"/>
          <w:szCs w:val="26"/>
        </w:rPr>
        <w:t>Cifras de referencia de morbilidad anual en el siglo XX</w:t>
      </w:r>
      <w:r>
        <w:rPr>
          <w:rFonts w:ascii="Arial" w:eastAsia="Arial" w:hAnsi="Arial" w:cs="Arial"/>
          <w:b/>
          <w:bCs/>
          <w:w w:val="70"/>
          <w:sz w:val="26"/>
          <w:szCs w:val="26"/>
        </w:rPr>
        <w:br/>
        <w:t>y morbilidad del año 2001, respecto de 10 enfermedades, con vacunas</w:t>
      </w:r>
      <w:r>
        <w:rPr>
          <w:rFonts w:ascii="Arial" w:eastAsia="Arial" w:hAnsi="Arial" w:cs="Arial"/>
          <w:b/>
          <w:bCs/>
          <w:w w:val="70"/>
          <w:sz w:val="26"/>
          <w:szCs w:val="26"/>
        </w:rPr>
        <w:br/>
        <w:t>recomendadas antes de 1990 para empleo universal en niños:</w:t>
      </w:r>
      <w:r>
        <w:rPr>
          <w:rFonts w:ascii="Arial" w:eastAsia="Arial" w:hAnsi="Arial" w:cs="Arial"/>
          <w:b/>
          <w:bCs/>
          <w:w w:val="70"/>
          <w:sz w:val="26"/>
          <w:szCs w:val="26"/>
        </w:rPr>
        <w:br/>
        <w:t>Estados Unidos</w:t>
      </w:r>
      <w:r>
        <w:rPr>
          <w:rFonts w:ascii="Arial" w:eastAsia="Arial" w:hAnsi="Arial" w:cs="Arial"/>
          <w:b/>
          <w:bCs/>
          <w:w w:val="70"/>
          <w:sz w:val="26"/>
          <w:szCs w:val="26"/>
          <w:vertAlign w:val="superscript"/>
        </w:rPr>
        <w:t>1</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67"/>
        <w:gridCol w:w="2069"/>
        <w:gridCol w:w="1440"/>
        <w:gridCol w:w="1301"/>
      </w:tblGrid>
      <w:tr w:rsidR="0072615D" w14:paraId="75429A32" w14:textId="77777777">
        <w:tblPrEx>
          <w:tblCellMar>
            <w:top w:w="0" w:type="dxa"/>
            <w:bottom w:w="0" w:type="dxa"/>
          </w:tblCellMar>
        </w:tblPrEx>
        <w:trPr>
          <w:trHeight w:hRule="exact" w:val="768"/>
          <w:jc w:val="center"/>
        </w:trPr>
        <w:tc>
          <w:tcPr>
            <w:tcW w:w="1867" w:type="dxa"/>
            <w:shd w:val="clear" w:color="auto" w:fill="231F20"/>
          </w:tcPr>
          <w:p w14:paraId="127C67E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Enfermedad</w:t>
            </w:r>
          </w:p>
        </w:tc>
        <w:tc>
          <w:tcPr>
            <w:tcW w:w="2069" w:type="dxa"/>
            <w:shd w:val="clear" w:color="auto" w:fill="231F20"/>
          </w:tcPr>
          <w:p w14:paraId="49AA60FB"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6" w:lineRule="auto"/>
              <w:ind w:firstLine="160"/>
              <w:rPr>
                <w:sz w:val="24"/>
                <w:szCs w:val="24"/>
              </w:rPr>
            </w:pPr>
            <w:r>
              <w:rPr>
                <w:rFonts w:ascii="Arial" w:eastAsia="Arial" w:hAnsi="Arial" w:cs="Arial"/>
                <w:b/>
                <w:bCs/>
                <w:color w:val="FFFFFF"/>
                <w:w w:val="70"/>
                <w:sz w:val="24"/>
                <w:szCs w:val="24"/>
              </w:rPr>
              <w:t>Cifras de referencia de morbilidad anual en el siglo XX</w:t>
            </w:r>
          </w:p>
        </w:tc>
        <w:tc>
          <w:tcPr>
            <w:tcW w:w="1440" w:type="dxa"/>
            <w:shd w:val="clear" w:color="auto" w:fill="231F20"/>
          </w:tcPr>
          <w:p w14:paraId="28575E2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left="280" w:firstLine="40"/>
              <w:rPr>
                <w:sz w:val="24"/>
                <w:szCs w:val="24"/>
              </w:rPr>
            </w:pPr>
            <w:r>
              <w:rPr>
                <w:rFonts w:ascii="Arial" w:eastAsia="Arial" w:hAnsi="Arial" w:cs="Arial"/>
                <w:b/>
                <w:bCs/>
                <w:color w:val="FFFFFF"/>
                <w:w w:val="70"/>
                <w:sz w:val="24"/>
                <w:szCs w:val="24"/>
              </w:rPr>
              <w:t>Morbilidad de 2001</w:t>
            </w:r>
          </w:p>
        </w:tc>
        <w:tc>
          <w:tcPr>
            <w:tcW w:w="1301" w:type="dxa"/>
            <w:shd w:val="clear" w:color="auto" w:fill="231F20"/>
          </w:tcPr>
          <w:p w14:paraId="3AC36691"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20"/>
              <w:rPr>
                <w:sz w:val="24"/>
                <w:szCs w:val="24"/>
              </w:rPr>
            </w:pPr>
            <w:r>
              <w:rPr>
                <w:rFonts w:ascii="Arial" w:eastAsia="Arial" w:hAnsi="Arial" w:cs="Arial"/>
                <w:b/>
                <w:bCs/>
                <w:color w:val="FFFFFF"/>
                <w:w w:val="70"/>
                <w:sz w:val="24"/>
                <w:szCs w:val="24"/>
              </w:rPr>
              <w:t>Disminución porcentual</w:t>
            </w:r>
          </w:p>
        </w:tc>
      </w:tr>
      <w:tr w:rsidR="0072615D" w14:paraId="7412A6CB" w14:textId="77777777">
        <w:tblPrEx>
          <w:tblCellMar>
            <w:top w:w="0" w:type="dxa"/>
            <w:bottom w:w="0" w:type="dxa"/>
          </w:tblCellMar>
        </w:tblPrEx>
        <w:trPr>
          <w:trHeight w:hRule="exact" w:val="283"/>
          <w:jc w:val="center"/>
        </w:trPr>
        <w:tc>
          <w:tcPr>
            <w:tcW w:w="1867" w:type="dxa"/>
            <w:shd w:val="clear" w:color="auto" w:fill="FFFFFF"/>
            <w:vAlign w:val="bottom"/>
          </w:tcPr>
          <w:p w14:paraId="172261F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Viruela</w:t>
            </w:r>
          </w:p>
        </w:tc>
        <w:tc>
          <w:tcPr>
            <w:tcW w:w="2069" w:type="dxa"/>
            <w:shd w:val="clear" w:color="auto" w:fill="FFFFFF"/>
            <w:vAlign w:val="bottom"/>
          </w:tcPr>
          <w:p w14:paraId="1D15B0BA" w14:textId="77777777" w:rsidR="0072615D" w:rsidRDefault="0072615D">
            <w:pPr>
              <w:pStyle w:val="Other0"/>
              <w:spacing w:line="240" w:lineRule="auto"/>
              <w:ind w:firstLine="220"/>
              <w:rPr>
                <w:sz w:val="10"/>
                <w:szCs w:val="10"/>
              </w:rPr>
            </w:pPr>
            <w:r>
              <w:rPr>
                <w:rFonts w:ascii="Times New Roman" w:eastAsia="Times New Roman" w:hAnsi="Times New Roman" w:cs="Times New Roman"/>
                <w:sz w:val="16"/>
                <w:szCs w:val="16"/>
              </w:rPr>
              <w:t>48 164</w:t>
            </w:r>
            <w:r>
              <w:rPr>
                <w:rFonts w:ascii="Times New Roman" w:eastAsia="Times New Roman" w:hAnsi="Times New Roman" w:cs="Times New Roman"/>
                <w:sz w:val="10"/>
                <w:szCs w:val="10"/>
              </w:rPr>
              <w:t>2</w:t>
            </w:r>
          </w:p>
        </w:tc>
        <w:tc>
          <w:tcPr>
            <w:tcW w:w="1440" w:type="dxa"/>
            <w:shd w:val="clear" w:color="auto" w:fill="FFFFFF"/>
            <w:vAlign w:val="bottom"/>
          </w:tcPr>
          <w:p w14:paraId="6429A18A" w14:textId="77777777" w:rsidR="0072615D" w:rsidRDefault="0072615D">
            <w:pPr>
              <w:pStyle w:val="Other0"/>
              <w:spacing w:line="240" w:lineRule="auto"/>
              <w:ind w:firstLine="600"/>
              <w:rPr>
                <w:sz w:val="16"/>
                <w:szCs w:val="16"/>
              </w:rPr>
            </w:pPr>
            <w:r>
              <w:rPr>
                <w:rFonts w:ascii="Times New Roman" w:eastAsia="Times New Roman" w:hAnsi="Times New Roman" w:cs="Times New Roman"/>
                <w:sz w:val="16"/>
                <w:szCs w:val="16"/>
              </w:rPr>
              <w:t>0</w:t>
            </w:r>
          </w:p>
        </w:tc>
        <w:tc>
          <w:tcPr>
            <w:tcW w:w="1301" w:type="dxa"/>
            <w:shd w:val="clear" w:color="auto" w:fill="FFFFFF"/>
            <w:vAlign w:val="bottom"/>
          </w:tcPr>
          <w:p w14:paraId="2C272066"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100</w:t>
            </w:r>
          </w:p>
        </w:tc>
      </w:tr>
      <w:tr w:rsidR="0072615D" w14:paraId="2C00DD4C" w14:textId="77777777">
        <w:tblPrEx>
          <w:tblCellMar>
            <w:top w:w="0" w:type="dxa"/>
            <w:bottom w:w="0" w:type="dxa"/>
          </w:tblCellMar>
        </w:tblPrEx>
        <w:trPr>
          <w:trHeight w:hRule="exact" w:val="226"/>
          <w:jc w:val="center"/>
        </w:trPr>
        <w:tc>
          <w:tcPr>
            <w:tcW w:w="1867" w:type="dxa"/>
            <w:shd w:val="clear" w:color="auto" w:fill="FFFFFF"/>
            <w:vAlign w:val="bottom"/>
          </w:tcPr>
          <w:p w14:paraId="0A95AD5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Difteria</w:t>
            </w:r>
          </w:p>
        </w:tc>
        <w:tc>
          <w:tcPr>
            <w:tcW w:w="2069" w:type="dxa"/>
            <w:shd w:val="clear" w:color="auto" w:fill="FFFFFF"/>
            <w:vAlign w:val="bottom"/>
          </w:tcPr>
          <w:p w14:paraId="2B2886C1" w14:textId="77777777" w:rsidR="0072615D" w:rsidRDefault="0072615D">
            <w:pPr>
              <w:pStyle w:val="Other0"/>
              <w:spacing w:line="240" w:lineRule="auto"/>
              <w:ind w:firstLine="0"/>
              <w:rPr>
                <w:sz w:val="10"/>
                <w:szCs w:val="10"/>
              </w:rPr>
            </w:pPr>
            <w:r>
              <w:rPr>
                <w:rFonts w:ascii="Times New Roman" w:eastAsia="Times New Roman" w:hAnsi="Times New Roman" w:cs="Times New Roman"/>
                <w:sz w:val="16"/>
                <w:szCs w:val="16"/>
              </w:rPr>
              <w:t>175 885</w:t>
            </w:r>
            <w:r>
              <w:rPr>
                <w:rFonts w:ascii="Times New Roman" w:eastAsia="Times New Roman" w:hAnsi="Times New Roman" w:cs="Times New Roman"/>
                <w:sz w:val="10"/>
                <w:szCs w:val="10"/>
              </w:rPr>
              <w:t>3</w:t>
            </w:r>
          </w:p>
        </w:tc>
        <w:tc>
          <w:tcPr>
            <w:tcW w:w="1440" w:type="dxa"/>
            <w:shd w:val="clear" w:color="auto" w:fill="FFFFFF"/>
            <w:vAlign w:val="bottom"/>
          </w:tcPr>
          <w:p w14:paraId="4CC655E8" w14:textId="77777777" w:rsidR="0072615D" w:rsidRDefault="0072615D">
            <w:pPr>
              <w:pStyle w:val="Other0"/>
              <w:spacing w:line="240" w:lineRule="auto"/>
              <w:ind w:firstLine="600"/>
              <w:rPr>
                <w:sz w:val="16"/>
                <w:szCs w:val="16"/>
              </w:rPr>
            </w:pPr>
            <w:r>
              <w:rPr>
                <w:rFonts w:ascii="Times New Roman" w:eastAsia="Times New Roman" w:hAnsi="Times New Roman" w:cs="Times New Roman"/>
                <w:sz w:val="16"/>
                <w:szCs w:val="16"/>
              </w:rPr>
              <w:t>2</w:t>
            </w:r>
          </w:p>
        </w:tc>
        <w:tc>
          <w:tcPr>
            <w:tcW w:w="1301" w:type="dxa"/>
            <w:shd w:val="clear" w:color="auto" w:fill="FFFFFF"/>
            <w:vAlign w:val="bottom"/>
          </w:tcPr>
          <w:p w14:paraId="6FDA7D2B"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5E721E41" w14:textId="77777777">
        <w:tblPrEx>
          <w:tblCellMar>
            <w:top w:w="0" w:type="dxa"/>
            <w:bottom w:w="0" w:type="dxa"/>
          </w:tblCellMar>
        </w:tblPrEx>
        <w:trPr>
          <w:trHeight w:hRule="exact" w:val="226"/>
          <w:jc w:val="center"/>
        </w:trPr>
        <w:tc>
          <w:tcPr>
            <w:tcW w:w="1867" w:type="dxa"/>
            <w:shd w:val="clear" w:color="auto" w:fill="FFFFFF"/>
            <w:vAlign w:val="bottom"/>
          </w:tcPr>
          <w:p w14:paraId="38367E0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Tos ferina</w:t>
            </w:r>
          </w:p>
        </w:tc>
        <w:tc>
          <w:tcPr>
            <w:tcW w:w="2069" w:type="dxa"/>
            <w:shd w:val="clear" w:color="auto" w:fill="FFFFFF"/>
            <w:vAlign w:val="bottom"/>
          </w:tcPr>
          <w:p w14:paraId="1D8EC9F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147 271</w:t>
            </w:r>
            <w:r>
              <w:rPr>
                <w:rFonts w:ascii="Times New Roman" w:eastAsia="Times New Roman" w:hAnsi="Times New Roman" w:cs="Times New Roman"/>
                <w:sz w:val="16"/>
                <w:szCs w:val="16"/>
                <w:vertAlign w:val="superscript"/>
              </w:rPr>
              <w:t>4</w:t>
            </w:r>
          </w:p>
        </w:tc>
        <w:tc>
          <w:tcPr>
            <w:tcW w:w="1440" w:type="dxa"/>
            <w:shd w:val="clear" w:color="auto" w:fill="FFFFFF"/>
            <w:vAlign w:val="bottom"/>
          </w:tcPr>
          <w:p w14:paraId="09E5B06B"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7 580</w:t>
            </w:r>
          </w:p>
        </w:tc>
        <w:tc>
          <w:tcPr>
            <w:tcW w:w="1301" w:type="dxa"/>
            <w:shd w:val="clear" w:color="auto" w:fill="FFFFFF"/>
            <w:vAlign w:val="bottom"/>
          </w:tcPr>
          <w:p w14:paraId="4BAD9D23" w14:textId="77777777" w:rsidR="0072615D" w:rsidRDefault="0072615D">
            <w:pPr>
              <w:pStyle w:val="Other0"/>
              <w:spacing w:line="240" w:lineRule="auto"/>
              <w:ind w:firstLine="320"/>
              <w:rPr>
                <w:sz w:val="16"/>
                <w:szCs w:val="16"/>
              </w:rPr>
            </w:pPr>
            <w:r>
              <w:rPr>
                <w:rFonts w:ascii="Times New Roman" w:eastAsia="Times New Roman" w:hAnsi="Times New Roman" w:cs="Times New Roman"/>
                <w:sz w:val="16"/>
                <w:szCs w:val="16"/>
              </w:rPr>
              <w:t>95</w:t>
            </w:r>
          </w:p>
        </w:tc>
      </w:tr>
      <w:tr w:rsidR="0072615D" w14:paraId="0899CD96" w14:textId="77777777">
        <w:tblPrEx>
          <w:tblCellMar>
            <w:top w:w="0" w:type="dxa"/>
            <w:bottom w:w="0" w:type="dxa"/>
          </w:tblCellMar>
        </w:tblPrEx>
        <w:trPr>
          <w:trHeight w:hRule="exact" w:val="221"/>
          <w:jc w:val="center"/>
        </w:trPr>
        <w:tc>
          <w:tcPr>
            <w:tcW w:w="1867" w:type="dxa"/>
            <w:shd w:val="clear" w:color="auto" w:fill="FFFFFF"/>
            <w:vAlign w:val="bottom"/>
          </w:tcPr>
          <w:p w14:paraId="5AFF9BF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Tétanos</w:t>
            </w:r>
          </w:p>
        </w:tc>
        <w:tc>
          <w:tcPr>
            <w:tcW w:w="2069" w:type="dxa"/>
            <w:shd w:val="clear" w:color="auto" w:fill="FFFFFF"/>
            <w:vAlign w:val="bottom"/>
          </w:tcPr>
          <w:p w14:paraId="1B0E882E" w14:textId="77777777" w:rsidR="0072615D" w:rsidRDefault="0072615D">
            <w:pPr>
              <w:pStyle w:val="Other0"/>
              <w:spacing w:line="240" w:lineRule="auto"/>
              <w:ind w:firstLine="360"/>
              <w:rPr>
                <w:sz w:val="10"/>
                <w:szCs w:val="10"/>
              </w:rPr>
            </w:pPr>
            <w:r>
              <w:rPr>
                <w:rFonts w:ascii="Times New Roman" w:eastAsia="Times New Roman" w:hAnsi="Times New Roman" w:cs="Times New Roman"/>
                <w:sz w:val="16"/>
                <w:szCs w:val="16"/>
              </w:rPr>
              <w:t>1 314</w:t>
            </w:r>
            <w:r>
              <w:rPr>
                <w:rFonts w:ascii="Times New Roman" w:eastAsia="Times New Roman" w:hAnsi="Times New Roman" w:cs="Times New Roman"/>
                <w:sz w:val="10"/>
                <w:szCs w:val="10"/>
              </w:rPr>
              <w:t>5</w:t>
            </w:r>
          </w:p>
        </w:tc>
        <w:tc>
          <w:tcPr>
            <w:tcW w:w="1440" w:type="dxa"/>
            <w:shd w:val="clear" w:color="auto" w:fill="FFFFFF"/>
            <w:vAlign w:val="bottom"/>
          </w:tcPr>
          <w:p w14:paraId="178B0A74"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37</w:t>
            </w:r>
          </w:p>
        </w:tc>
        <w:tc>
          <w:tcPr>
            <w:tcW w:w="1301" w:type="dxa"/>
            <w:shd w:val="clear" w:color="auto" w:fill="FFFFFF"/>
            <w:vAlign w:val="bottom"/>
          </w:tcPr>
          <w:p w14:paraId="4C1CD164" w14:textId="77777777" w:rsidR="0072615D" w:rsidRDefault="0072615D">
            <w:pPr>
              <w:pStyle w:val="Other0"/>
              <w:spacing w:line="240" w:lineRule="auto"/>
              <w:ind w:firstLine="320"/>
              <w:rPr>
                <w:sz w:val="16"/>
                <w:szCs w:val="16"/>
              </w:rPr>
            </w:pPr>
            <w:r>
              <w:rPr>
                <w:rFonts w:ascii="Times New Roman" w:eastAsia="Times New Roman" w:hAnsi="Times New Roman" w:cs="Times New Roman"/>
                <w:sz w:val="16"/>
                <w:szCs w:val="16"/>
              </w:rPr>
              <w:t>97</w:t>
            </w:r>
          </w:p>
        </w:tc>
      </w:tr>
      <w:tr w:rsidR="0072615D" w14:paraId="20CC6BAE" w14:textId="77777777">
        <w:tblPrEx>
          <w:tblCellMar>
            <w:top w:w="0" w:type="dxa"/>
            <w:bottom w:w="0" w:type="dxa"/>
          </w:tblCellMar>
        </w:tblPrEx>
        <w:trPr>
          <w:trHeight w:hRule="exact" w:val="240"/>
          <w:jc w:val="center"/>
        </w:trPr>
        <w:tc>
          <w:tcPr>
            <w:tcW w:w="1867" w:type="dxa"/>
            <w:shd w:val="clear" w:color="auto" w:fill="FFFFFF"/>
            <w:vAlign w:val="bottom"/>
          </w:tcPr>
          <w:p w14:paraId="0F70A85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Poliomielitis paralítica</w:t>
            </w:r>
          </w:p>
        </w:tc>
        <w:tc>
          <w:tcPr>
            <w:tcW w:w="2069" w:type="dxa"/>
            <w:shd w:val="clear" w:color="auto" w:fill="FFFFFF"/>
            <w:vAlign w:val="bottom"/>
          </w:tcPr>
          <w:p w14:paraId="6FF6076F" w14:textId="77777777" w:rsidR="0072615D" w:rsidRDefault="0072615D">
            <w:pPr>
              <w:pStyle w:val="Other0"/>
              <w:spacing w:line="240" w:lineRule="auto"/>
              <w:ind w:firstLine="220"/>
              <w:rPr>
                <w:sz w:val="10"/>
                <w:szCs w:val="10"/>
              </w:rPr>
            </w:pPr>
            <w:r>
              <w:rPr>
                <w:rFonts w:ascii="Times New Roman" w:eastAsia="Times New Roman" w:hAnsi="Times New Roman" w:cs="Times New Roman"/>
                <w:sz w:val="16"/>
                <w:szCs w:val="16"/>
              </w:rPr>
              <w:t>16 316</w:t>
            </w:r>
            <w:r>
              <w:rPr>
                <w:rFonts w:ascii="Times New Roman" w:eastAsia="Times New Roman" w:hAnsi="Times New Roman" w:cs="Times New Roman"/>
                <w:sz w:val="10"/>
                <w:szCs w:val="10"/>
              </w:rPr>
              <w:t>6</w:t>
            </w:r>
          </w:p>
        </w:tc>
        <w:tc>
          <w:tcPr>
            <w:tcW w:w="1440" w:type="dxa"/>
            <w:shd w:val="clear" w:color="auto" w:fill="FFFFFF"/>
            <w:vAlign w:val="bottom"/>
          </w:tcPr>
          <w:p w14:paraId="4C882FA0" w14:textId="77777777" w:rsidR="0072615D" w:rsidRDefault="0072615D">
            <w:pPr>
              <w:pStyle w:val="Other0"/>
              <w:spacing w:line="240" w:lineRule="auto"/>
              <w:ind w:firstLine="600"/>
              <w:rPr>
                <w:sz w:val="16"/>
                <w:szCs w:val="16"/>
              </w:rPr>
            </w:pPr>
            <w:r>
              <w:rPr>
                <w:rFonts w:ascii="Times New Roman" w:eastAsia="Times New Roman" w:hAnsi="Times New Roman" w:cs="Times New Roman"/>
                <w:sz w:val="16"/>
                <w:szCs w:val="16"/>
              </w:rPr>
              <w:t>0</w:t>
            </w:r>
          </w:p>
        </w:tc>
        <w:tc>
          <w:tcPr>
            <w:tcW w:w="1301" w:type="dxa"/>
            <w:shd w:val="clear" w:color="auto" w:fill="FFFFFF"/>
            <w:vAlign w:val="bottom"/>
          </w:tcPr>
          <w:p w14:paraId="1F97E22C"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100</w:t>
            </w:r>
          </w:p>
        </w:tc>
      </w:tr>
      <w:tr w:rsidR="0072615D" w14:paraId="3A743C7B" w14:textId="77777777">
        <w:tblPrEx>
          <w:tblCellMar>
            <w:top w:w="0" w:type="dxa"/>
            <w:bottom w:w="0" w:type="dxa"/>
          </w:tblCellMar>
        </w:tblPrEx>
        <w:trPr>
          <w:trHeight w:hRule="exact" w:val="226"/>
          <w:jc w:val="center"/>
        </w:trPr>
        <w:tc>
          <w:tcPr>
            <w:tcW w:w="1867" w:type="dxa"/>
            <w:shd w:val="clear" w:color="auto" w:fill="FFFFFF"/>
          </w:tcPr>
          <w:p w14:paraId="5D4BC6C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Sarampión</w:t>
            </w:r>
          </w:p>
        </w:tc>
        <w:tc>
          <w:tcPr>
            <w:tcW w:w="2069" w:type="dxa"/>
            <w:shd w:val="clear" w:color="auto" w:fill="FFFFFF"/>
          </w:tcPr>
          <w:p w14:paraId="3F16A97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503 282</w:t>
            </w:r>
            <w:r>
              <w:rPr>
                <w:rFonts w:ascii="Times New Roman" w:eastAsia="Times New Roman" w:hAnsi="Times New Roman" w:cs="Times New Roman"/>
                <w:sz w:val="16"/>
                <w:szCs w:val="16"/>
                <w:vertAlign w:val="superscript"/>
              </w:rPr>
              <w:t>7</w:t>
            </w:r>
          </w:p>
        </w:tc>
        <w:tc>
          <w:tcPr>
            <w:tcW w:w="1440" w:type="dxa"/>
            <w:shd w:val="clear" w:color="auto" w:fill="FFFFFF"/>
          </w:tcPr>
          <w:p w14:paraId="636F67BC" w14:textId="77777777" w:rsidR="0072615D" w:rsidRDefault="0072615D">
            <w:pPr>
              <w:pStyle w:val="Other0"/>
              <w:spacing w:line="240" w:lineRule="auto"/>
              <w:ind w:firstLine="420"/>
              <w:rPr>
                <w:sz w:val="16"/>
                <w:szCs w:val="16"/>
              </w:rPr>
            </w:pPr>
            <w:r>
              <w:rPr>
                <w:rFonts w:ascii="Times New Roman" w:eastAsia="Times New Roman" w:hAnsi="Times New Roman" w:cs="Times New Roman"/>
                <w:sz w:val="16"/>
                <w:szCs w:val="16"/>
              </w:rPr>
              <w:t>116</w:t>
            </w:r>
          </w:p>
        </w:tc>
        <w:tc>
          <w:tcPr>
            <w:tcW w:w="1301" w:type="dxa"/>
            <w:shd w:val="clear" w:color="auto" w:fill="FFFFFF"/>
          </w:tcPr>
          <w:p w14:paraId="43EB71A9"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227DC5D2" w14:textId="77777777">
        <w:tblPrEx>
          <w:tblCellMar>
            <w:top w:w="0" w:type="dxa"/>
            <w:bottom w:w="0" w:type="dxa"/>
          </w:tblCellMar>
        </w:tblPrEx>
        <w:trPr>
          <w:trHeight w:hRule="exact" w:val="206"/>
          <w:jc w:val="center"/>
        </w:trPr>
        <w:tc>
          <w:tcPr>
            <w:tcW w:w="1867" w:type="dxa"/>
            <w:shd w:val="clear" w:color="auto" w:fill="FFFFFF"/>
          </w:tcPr>
          <w:p w14:paraId="18411D9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Parotiditis</w:t>
            </w:r>
          </w:p>
        </w:tc>
        <w:tc>
          <w:tcPr>
            <w:tcW w:w="2069" w:type="dxa"/>
            <w:shd w:val="clear" w:color="auto" w:fill="FFFFFF"/>
          </w:tcPr>
          <w:p w14:paraId="1518FAB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152 209</w:t>
            </w:r>
            <w:r>
              <w:rPr>
                <w:rFonts w:ascii="Times New Roman" w:eastAsia="Times New Roman" w:hAnsi="Times New Roman" w:cs="Times New Roman"/>
                <w:sz w:val="16"/>
                <w:szCs w:val="16"/>
                <w:vertAlign w:val="superscript"/>
              </w:rPr>
              <w:t>8</w:t>
            </w:r>
          </w:p>
        </w:tc>
        <w:tc>
          <w:tcPr>
            <w:tcW w:w="1440" w:type="dxa"/>
            <w:shd w:val="clear" w:color="auto" w:fill="FFFFFF"/>
          </w:tcPr>
          <w:p w14:paraId="7A56A4DA" w14:textId="77777777" w:rsidR="0072615D" w:rsidRDefault="0072615D">
            <w:pPr>
              <w:pStyle w:val="Other0"/>
              <w:spacing w:line="240" w:lineRule="auto"/>
              <w:ind w:firstLine="420"/>
              <w:rPr>
                <w:sz w:val="16"/>
                <w:szCs w:val="16"/>
              </w:rPr>
            </w:pPr>
            <w:r>
              <w:rPr>
                <w:rFonts w:ascii="Times New Roman" w:eastAsia="Times New Roman" w:hAnsi="Times New Roman" w:cs="Times New Roman"/>
                <w:sz w:val="16"/>
                <w:szCs w:val="16"/>
              </w:rPr>
              <w:t>266</w:t>
            </w:r>
          </w:p>
        </w:tc>
        <w:tc>
          <w:tcPr>
            <w:tcW w:w="1301" w:type="dxa"/>
            <w:shd w:val="clear" w:color="auto" w:fill="FFFFFF"/>
          </w:tcPr>
          <w:p w14:paraId="68FF3AC0"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01A69248" w14:textId="77777777">
        <w:tblPrEx>
          <w:tblCellMar>
            <w:top w:w="0" w:type="dxa"/>
            <w:bottom w:w="0" w:type="dxa"/>
          </w:tblCellMar>
        </w:tblPrEx>
        <w:trPr>
          <w:trHeight w:hRule="exact" w:val="216"/>
          <w:jc w:val="center"/>
        </w:trPr>
        <w:tc>
          <w:tcPr>
            <w:tcW w:w="1867" w:type="dxa"/>
            <w:shd w:val="clear" w:color="auto" w:fill="FFFFFF"/>
            <w:vAlign w:val="bottom"/>
          </w:tcPr>
          <w:p w14:paraId="4E1ADC9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Rubéola</w:t>
            </w:r>
          </w:p>
        </w:tc>
        <w:tc>
          <w:tcPr>
            <w:tcW w:w="2069" w:type="dxa"/>
            <w:shd w:val="clear" w:color="auto" w:fill="FFFFFF"/>
            <w:vAlign w:val="bottom"/>
          </w:tcPr>
          <w:p w14:paraId="778E25E9"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47 745</w:t>
            </w:r>
            <w:r>
              <w:rPr>
                <w:rFonts w:ascii="Times New Roman" w:eastAsia="Times New Roman" w:hAnsi="Times New Roman" w:cs="Times New Roman"/>
                <w:sz w:val="16"/>
                <w:szCs w:val="16"/>
                <w:vertAlign w:val="superscript"/>
              </w:rPr>
              <w:t>9</w:t>
            </w:r>
          </w:p>
        </w:tc>
        <w:tc>
          <w:tcPr>
            <w:tcW w:w="1440" w:type="dxa"/>
            <w:shd w:val="clear" w:color="auto" w:fill="FFFFFF"/>
            <w:vAlign w:val="bottom"/>
          </w:tcPr>
          <w:p w14:paraId="2351424C"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23</w:t>
            </w:r>
          </w:p>
        </w:tc>
        <w:tc>
          <w:tcPr>
            <w:tcW w:w="1301" w:type="dxa"/>
            <w:shd w:val="clear" w:color="auto" w:fill="FFFFFF"/>
            <w:vAlign w:val="bottom"/>
          </w:tcPr>
          <w:p w14:paraId="7F6931C0"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665A38A3" w14:textId="77777777">
        <w:tblPrEx>
          <w:tblCellMar>
            <w:top w:w="0" w:type="dxa"/>
            <w:bottom w:w="0" w:type="dxa"/>
          </w:tblCellMar>
        </w:tblPrEx>
        <w:trPr>
          <w:trHeight w:hRule="exact" w:val="226"/>
          <w:jc w:val="center"/>
        </w:trPr>
        <w:tc>
          <w:tcPr>
            <w:tcW w:w="1867" w:type="dxa"/>
            <w:shd w:val="clear" w:color="auto" w:fill="FFFFFF"/>
          </w:tcPr>
          <w:p w14:paraId="6E468DA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Síndrome de</w:t>
            </w:r>
          </w:p>
        </w:tc>
        <w:tc>
          <w:tcPr>
            <w:tcW w:w="2069" w:type="dxa"/>
            <w:shd w:val="clear" w:color="auto" w:fill="FFFFFF"/>
          </w:tcPr>
          <w:p w14:paraId="23B4192E" w14:textId="77777777" w:rsidR="0072615D" w:rsidRDefault="0072615D">
            <w:pPr>
              <w:rPr>
                <w:sz w:val="10"/>
                <w:szCs w:val="10"/>
              </w:rPr>
            </w:pPr>
          </w:p>
        </w:tc>
        <w:tc>
          <w:tcPr>
            <w:tcW w:w="1440" w:type="dxa"/>
            <w:shd w:val="clear" w:color="auto" w:fill="FFFFFF"/>
          </w:tcPr>
          <w:p w14:paraId="4F36C7DC" w14:textId="77777777" w:rsidR="0072615D" w:rsidRDefault="0072615D">
            <w:pPr>
              <w:rPr>
                <w:sz w:val="10"/>
                <w:szCs w:val="10"/>
              </w:rPr>
            </w:pPr>
          </w:p>
        </w:tc>
        <w:tc>
          <w:tcPr>
            <w:tcW w:w="1301" w:type="dxa"/>
            <w:shd w:val="clear" w:color="auto" w:fill="FFFFFF"/>
          </w:tcPr>
          <w:p w14:paraId="039E2E13" w14:textId="77777777" w:rsidR="0072615D" w:rsidRDefault="0072615D">
            <w:pPr>
              <w:rPr>
                <w:sz w:val="10"/>
                <w:szCs w:val="10"/>
              </w:rPr>
            </w:pPr>
          </w:p>
        </w:tc>
      </w:tr>
      <w:tr w:rsidR="0072615D" w14:paraId="62AAAB0B" w14:textId="77777777">
        <w:tblPrEx>
          <w:tblCellMar>
            <w:top w:w="0" w:type="dxa"/>
            <w:bottom w:w="0" w:type="dxa"/>
          </w:tblCellMar>
        </w:tblPrEx>
        <w:trPr>
          <w:trHeight w:hRule="exact" w:val="230"/>
          <w:jc w:val="center"/>
        </w:trPr>
        <w:tc>
          <w:tcPr>
            <w:tcW w:w="1867" w:type="dxa"/>
            <w:shd w:val="clear" w:color="auto" w:fill="FFFFFF"/>
            <w:vAlign w:val="bottom"/>
          </w:tcPr>
          <w:p w14:paraId="2E3BA5B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rubéola congénita</w:t>
            </w:r>
          </w:p>
        </w:tc>
        <w:tc>
          <w:tcPr>
            <w:tcW w:w="2069" w:type="dxa"/>
            <w:shd w:val="clear" w:color="auto" w:fill="FFFFFF"/>
            <w:vAlign w:val="bottom"/>
          </w:tcPr>
          <w:p w14:paraId="4151823F"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823</w:t>
            </w:r>
            <w:r>
              <w:rPr>
                <w:rFonts w:ascii="Times New Roman" w:eastAsia="Times New Roman" w:hAnsi="Times New Roman" w:cs="Times New Roman"/>
                <w:sz w:val="16"/>
                <w:szCs w:val="16"/>
                <w:vertAlign w:val="superscript"/>
              </w:rPr>
              <w:t>10</w:t>
            </w:r>
          </w:p>
        </w:tc>
        <w:tc>
          <w:tcPr>
            <w:tcW w:w="1440" w:type="dxa"/>
            <w:shd w:val="clear" w:color="auto" w:fill="FFFFFF"/>
            <w:vAlign w:val="bottom"/>
          </w:tcPr>
          <w:p w14:paraId="6EFE9522" w14:textId="77777777" w:rsidR="0072615D" w:rsidRDefault="0072615D">
            <w:pPr>
              <w:pStyle w:val="Other0"/>
              <w:spacing w:line="240" w:lineRule="auto"/>
              <w:ind w:firstLine="600"/>
              <w:rPr>
                <w:sz w:val="16"/>
                <w:szCs w:val="16"/>
              </w:rPr>
            </w:pPr>
            <w:r>
              <w:rPr>
                <w:rFonts w:ascii="Times New Roman" w:eastAsia="Times New Roman" w:hAnsi="Times New Roman" w:cs="Times New Roman"/>
                <w:sz w:val="16"/>
                <w:szCs w:val="16"/>
              </w:rPr>
              <w:t>3</w:t>
            </w:r>
          </w:p>
        </w:tc>
        <w:tc>
          <w:tcPr>
            <w:tcW w:w="1301" w:type="dxa"/>
            <w:shd w:val="clear" w:color="auto" w:fill="FFFFFF"/>
            <w:vAlign w:val="bottom"/>
          </w:tcPr>
          <w:p w14:paraId="37AC28EC"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2595A7CE" w14:textId="77777777">
        <w:tblPrEx>
          <w:tblCellMar>
            <w:top w:w="0" w:type="dxa"/>
            <w:bottom w:w="0" w:type="dxa"/>
          </w:tblCellMar>
        </w:tblPrEx>
        <w:trPr>
          <w:trHeight w:hRule="exact" w:val="216"/>
          <w:jc w:val="center"/>
        </w:trPr>
        <w:tc>
          <w:tcPr>
            <w:tcW w:w="1867" w:type="dxa"/>
            <w:shd w:val="clear" w:color="auto" w:fill="FFFFFF"/>
            <w:vAlign w:val="bottom"/>
          </w:tcPr>
          <w:p w14:paraId="48709F8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Infección por</w:t>
            </w:r>
          </w:p>
        </w:tc>
        <w:tc>
          <w:tcPr>
            <w:tcW w:w="2069" w:type="dxa"/>
            <w:shd w:val="clear" w:color="auto" w:fill="FFFFFF"/>
          </w:tcPr>
          <w:p w14:paraId="23A42841" w14:textId="77777777" w:rsidR="0072615D" w:rsidRDefault="0072615D">
            <w:pPr>
              <w:rPr>
                <w:sz w:val="10"/>
                <w:szCs w:val="10"/>
              </w:rPr>
            </w:pPr>
          </w:p>
        </w:tc>
        <w:tc>
          <w:tcPr>
            <w:tcW w:w="1440" w:type="dxa"/>
            <w:shd w:val="clear" w:color="auto" w:fill="FFFFFF"/>
          </w:tcPr>
          <w:p w14:paraId="6BA8F9E9" w14:textId="77777777" w:rsidR="0072615D" w:rsidRDefault="0072615D">
            <w:pPr>
              <w:rPr>
                <w:sz w:val="10"/>
                <w:szCs w:val="10"/>
              </w:rPr>
            </w:pPr>
          </w:p>
        </w:tc>
        <w:tc>
          <w:tcPr>
            <w:tcW w:w="1301" w:type="dxa"/>
            <w:shd w:val="clear" w:color="auto" w:fill="FFFFFF"/>
          </w:tcPr>
          <w:p w14:paraId="4C88579B" w14:textId="77777777" w:rsidR="0072615D" w:rsidRDefault="0072615D">
            <w:pPr>
              <w:rPr>
                <w:sz w:val="10"/>
                <w:szCs w:val="10"/>
              </w:rPr>
            </w:pPr>
          </w:p>
        </w:tc>
      </w:tr>
      <w:tr w:rsidR="0072615D" w14:paraId="7E83D03E" w14:textId="77777777">
        <w:tblPrEx>
          <w:tblCellMar>
            <w:top w:w="0" w:type="dxa"/>
            <w:bottom w:w="0" w:type="dxa"/>
          </w:tblCellMar>
        </w:tblPrEx>
        <w:trPr>
          <w:trHeight w:hRule="exact" w:val="226"/>
          <w:jc w:val="center"/>
        </w:trPr>
        <w:tc>
          <w:tcPr>
            <w:tcW w:w="1867" w:type="dxa"/>
            <w:shd w:val="clear" w:color="auto" w:fill="FFFFFF"/>
            <w:vAlign w:val="bottom"/>
          </w:tcPr>
          <w:p w14:paraId="7953632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Haemophilus influenzae</w:t>
            </w:r>
          </w:p>
        </w:tc>
        <w:tc>
          <w:tcPr>
            <w:tcW w:w="2069" w:type="dxa"/>
            <w:shd w:val="clear" w:color="auto" w:fill="FFFFFF"/>
          </w:tcPr>
          <w:p w14:paraId="0F0F966E" w14:textId="77777777" w:rsidR="0072615D" w:rsidRDefault="0072615D">
            <w:pPr>
              <w:rPr>
                <w:sz w:val="10"/>
                <w:szCs w:val="10"/>
              </w:rPr>
            </w:pPr>
          </w:p>
        </w:tc>
        <w:tc>
          <w:tcPr>
            <w:tcW w:w="1440" w:type="dxa"/>
            <w:shd w:val="clear" w:color="auto" w:fill="FFFFFF"/>
          </w:tcPr>
          <w:p w14:paraId="640AA38B" w14:textId="77777777" w:rsidR="0072615D" w:rsidRDefault="0072615D">
            <w:pPr>
              <w:rPr>
                <w:sz w:val="10"/>
                <w:szCs w:val="10"/>
              </w:rPr>
            </w:pPr>
          </w:p>
        </w:tc>
        <w:tc>
          <w:tcPr>
            <w:tcW w:w="1301" w:type="dxa"/>
            <w:shd w:val="clear" w:color="auto" w:fill="FFFFFF"/>
          </w:tcPr>
          <w:p w14:paraId="0731046F" w14:textId="77777777" w:rsidR="0072615D" w:rsidRDefault="0072615D">
            <w:pPr>
              <w:rPr>
                <w:sz w:val="10"/>
                <w:szCs w:val="10"/>
              </w:rPr>
            </w:pPr>
          </w:p>
        </w:tc>
      </w:tr>
      <w:tr w:rsidR="0072615D" w14:paraId="4E40CDBE" w14:textId="77777777">
        <w:tblPrEx>
          <w:tblCellMar>
            <w:top w:w="0" w:type="dxa"/>
            <w:bottom w:w="0" w:type="dxa"/>
          </w:tblCellMar>
        </w:tblPrEx>
        <w:trPr>
          <w:trHeight w:hRule="exact" w:val="230"/>
          <w:jc w:val="center"/>
        </w:trPr>
        <w:tc>
          <w:tcPr>
            <w:tcW w:w="1867" w:type="dxa"/>
            <w:tcBorders>
              <w:bottom w:val="single" w:sz="4" w:space="0" w:color="auto"/>
            </w:tcBorders>
            <w:shd w:val="clear" w:color="auto" w:fill="FFFFFF"/>
          </w:tcPr>
          <w:p w14:paraId="21D8C40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tipo b</w:t>
            </w:r>
          </w:p>
        </w:tc>
        <w:tc>
          <w:tcPr>
            <w:tcW w:w="2069" w:type="dxa"/>
            <w:tcBorders>
              <w:bottom w:val="single" w:sz="4" w:space="0" w:color="auto"/>
            </w:tcBorders>
            <w:shd w:val="clear" w:color="auto" w:fill="FFFFFF"/>
          </w:tcPr>
          <w:p w14:paraId="13E4EA6E"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20 000</w:t>
            </w:r>
            <w:r>
              <w:rPr>
                <w:rFonts w:ascii="Times New Roman" w:eastAsia="Times New Roman" w:hAnsi="Times New Roman" w:cs="Times New Roman"/>
                <w:sz w:val="16"/>
                <w:szCs w:val="16"/>
                <w:vertAlign w:val="superscript"/>
              </w:rPr>
              <w:t>11</w:t>
            </w:r>
          </w:p>
        </w:tc>
        <w:tc>
          <w:tcPr>
            <w:tcW w:w="1440" w:type="dxa"/>
            <w:tcBorders>
              <w:bottom w:val="single" w:sz="4" w:space="0" w:color="auto"/>
            </w:tcBorders>
            <w:shd w:val="clear" w:color="auto" w:fill="FFFFFF"/>
          </w:tcPr>
          <w:p w14:paraId="5002460B"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181</w:t>
            </w:r>
            <w:r>
              <w:rPr>
                <w:rFonts w:ascii="Times New Roman" w:eastAsia="Times New Roman" w:hAnsi="Times New Roman" w:cs="Times New Roman"/>
                <w:sz w:val="16"/>
                <w:szCs w:val="16"/>
                <w:vertAlign w:val="superscript"/>
              </w:rPr>
              <w:t>12</w:t>
            </w:r>
          </w:p>
        </w:tc>
        <w:tc>
          <w:tcPr>
            <w:tcW w:w="1301" w:type="dxa"/>
            <w:tcBorders>
              <w:bottom w:val="single" w:sz="4" w:space="0" w:color="auto"/>
            </w:tcBorders>
            <w:shd w:val="clear" w:color="auto" w:fill="FFFFFF"/>
          </w:tcPr>
          <w:p w14:paraId="0245E3CC"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bl>
    <w:p w14:paraId="2721DA8D" w14:textId="77777777" w:rsidR="0072615D" w:rsidRDefault="0072615D">
      <w:pPr>
        <w:spacing w:after="179" w:line="1" w:lineRule="exact"/>
      </w:pPr>
    </w:p>
    <w:p w14:paraId="58CA2C9C" w14:textId="77777777" w:rsidR="0072615D" w:rsidRDefault="0072615D">
      <w:pPr>
        <w:pStyle w:val="Bodytext20"/>
        <w:numPr>
          <w:ilvl w:val="0"/>
          <w:numId w:val="16"/>
        </w:numPr>
        <w:pBdr>
          <w:top w:val="single" w:sz="4" w:space="0" w:color="auto"/>
        </w:pBdr>
        <w:tabs>
          <w:tab w:val="left" w:pos="333"/>
        </w:tabs>
        <w:spacing w:line="252" w:lineRule="auto"/>
        <w:ind w:left="360" w:hanging="220"/>
        <w:rPr>
          <w:sz w:val="15"/>
          <w:szCs w:val="15"/>
        </w:rPr>
      </w:pPr>
      <w:bookmarkStart w:id="34" w:name="bookmark34"/>
      <w:bookmarkEnd w:id="34"/>
      <w:r>
        <w:rPr>
          <w:sz w:val="15"/>
          <w:szCs w:val="15"/>
        </w:rPr>
        <w:t>Adaptado de Centers for Disease Control and Prevention. Impact of Vaccines universally recommended for children-United States, 1990-1998. MMWR Morb Mortal Wkly Rep. 1999;48:243-248; y Centers for Disease Control and Prevention. Notice to readers: final 2001 reports of notifiable diseases. MMWR Morb Mortal Wkly Rep. 2002;51:710.</w:t>
      </w:r>
    </w:p>
    <w:p w14:paraId="5F1E5142" w14:textId="77777777" w:rsidR="0072615D" w:rsidRDefault="0072615D">
      <w:pPr>
        <w:pStyle w:val="Bodytext20"/>
        <w:numPr>
          <w:ilvl w:val="0"/>
          <w:numId w:val="16"/>
        </w:numPr>
        <w:tabs>
          <w:tab w:val="left" w:pos="333"/>
        </w:tabs>
        <w:spacing w:line="252" w:lineRule="auto"/>
        <w:rPr>
          <w:sz w:val="15"/>
          <w:szCs w:val="15"/>
        </w:rPr>
      </w:pPr>
      <w:bookmarkStart w:id="35" w:name="bookmark35"/>
      <w:bookmarkEnd w:id="35"/>
      <w:r>
        <w:rPr>
          <w:sz w:val="15"/>
          <w:szCs w:val="15"/>
        </w:rPr>
        <w:t>Cifra anual promedio de casos durante 1900-1904.</w:t>
      </w:r>
    </w:p>
    <w:p w14:paraId="29204318" w14:textId="77777777" w:rsidR="0072615D" w:rsidRDefault="0072615D">
      <w:pPr>
        <w:pStyle w:val="Bodytext20"/>
        <w:numPr>
          <w:ilvl w:val="0"/>
          <w:numId w:val="16"/>
        </w:numPr>
        <w:tabs>
          <w:tab w:val="left" w:pos="333"/>
        </w:tabs>
        <w:spacing w:line="252" w:lineRule="auto"/>
        <w:rPr>
          <w:sz w:val="15"/>
          <w:szCs w:val="15"/>
        </w:rPr>
      </w:pPr>
      <w:bookmarkStart w:id="36" w:name="bookmark36"/>
      <w:bookmarkEnd w:id="36"/>
      <w:r>
        <w:rPr>
          <w:sz w:val="15"/>
          <w:szCs w:val="15"/>
        </w:rPr>
        <w:t>Cifra anual promedio de casos notificados durante 1920-1922, tres años antes de contar con la vacuna.</w:t>
      </w:r>
    </w:p>
    <w:p w14:paraId="55BABBB2" w14:textId="77777777" w:rsidR="0072615D" w:rsidRDefault="0072615D">
      <w:pPr>
        <w:pStyle w:val="Bodytext20"/>
        <w:numPr>
          <w:ilvl w:val="0"/>
          <w:numId w:val="16"/>
        </w:numPr>
        <w:tabs>
          <w:tab w:val="left" w:pos="333"/>
        </w:tabs>
        <w:spacing w:line="252" w:lineRule="auto"/>
        <w:rPr>
          <w:sz w:val="15"/>
          <w:szCs w:val="15"/>
        </w:rPr>
      </w:pPr>
      <w:bookmarkStart w:id="37" w:name="bookmark37"/>
      <w:bookmarkEnd w:id="37"/>
      <w:r>
        <w:rPr>
          <w:sz w:val="15"/>
          <w:szCs w:val="15"/>
        </w:rPr>
        <w:t>Cifra anual promedio de casos notificados durante 1922-1925, cuatro años antes de contar con la vacuna.</w:t>
      </w:r>
    </w:p>
    <w:p w14:paraId="77BF7C8B" w14:textId="77777777" w:rsidR="0072615D" w:rsidRDefault="0072615D">
      <w:pPr>
        <w:pStyle w:val="Bodytext20"/>
        <w:numPr>
          <w:ilvl w:val="0"/>
          <w:numId w:val="16"/>
        </w:numPr>
        <w:tabs>
          <w:tab w:val="left" w:pos="333"/>
        </w:tabs>
        <w:spacing w:line="252" w:lineRule="auto"/>
        <w:ind w:left="360" w:hanging="220"/>
        <w:rPr>
          <w:sz w:val="15"/>
          <w:szCs w:val="15"/>
        </w:rPr>
      </w:pPr>
      <w:bookmarkStart w:id="38" w:name="bookmark38"/>
      <w:bookmarkEnd w:id="38"/>
      <w:r>
        <w:rPr>
          <w:sz w:val="15"/>
          <w:szCs w:val="15"/>
        </w:rPr>
        <w:t>Número estimado de casos con base en el número notificado de muertes durante 1922-1926, en el supuesto de que hubo una cifra de letalidad de 90 por ciento.</w:t>
      </w:r>
    </w:p>
    <w:p w14:paraId="0819DB62" w14:textId="77777777" w:rsidR="0072615D" w:rsidRDefault="0072615D">
      <w:pPr>
        <w:pStyle w:val="Bodytext20"/>
        <w:numPr>
          <w:ilvl w:val="0"/>
          <w:numId w:val="16"/>
        </w:numPr>
        <w:tabs>
          <w:tab w:val="left" w:pos="333"/>
        </w:tabs>
        <w:spacing w:line="252" w:lineRule="auto"/>
        <w:ind w:left="360" w:hanging="220"/>
        <w:rPr>
          <w:sz w:val="15"/>
          <w:szCs w:val="15"/>
        </w:rPr>
      </w:pPr>
      <w:bookmarkStart w:id="39" w:name="bookmark39"/>
      <w:bookmarkEnd w:id="39"/>
      <w:r>
        <w:rPr>
          <w:sz w:val="15"/>
          <w:szCs w:val="15"/>
        </w:rPr>
        <w:t>Cifra anual promedio de casos notificados durante 1951-1954, cuatro años antes de que se aprobara la distribución de la vacuna.</w:t>
      </w:r>
    </w:p>
    <w:p w14:paraId="6301EDE1" w14:textId="77777777" w:rsidR="0072615D" w:rsidRDefault="0072615D">
      <w:pPr>
        <w:pStyle w:val="Bodytext20"/>
        <w:numPr>
          <w:ilvl w:val="0"/>
          <w:numId w:val="16"/>
        </w:numPr>
        <w:tabs>
          <w:tab w:val="left" w:pos="333"/>
        </w:tabs>
        <w:spacing w:line="252" w:lineRule="auto"/>
        <w:ind w:left="360" w:hanging="220"/>
        <w:rPr>
          <w:sz w:val="15"/>
          <w:szCs w:val="15"/>
        </w:rPr>
      </w:pPr>
      <w:bookmarkStart w:id="40" w:name="bookmark40"/>
      <w:bookmarkEnd w:id="40"/>
      <w:r>
        <w:rPr>
          <w:sz w:val="15"/>
          <w:szCs w:val="15"/>
        </w:rPr>
        <w:t>Cifra anual promedio de casos notificados durante 1958-1962, cinco años antes de que se aprobara la distribución de la vacuna.</w:t>
      </w:r>
    </w:p>
    <w:p w14:paraId="5C0FC22E" w14:textId="77777777" w:rsidR="0072615D" w:rsidRDefault="0072615D">
      <w:pPr>
        <w:pStyle w:val="Bodytext20"/>
        <w:numPr>
          <w:ilvl w:val="0"/>
          <w:numId w:val="16"/>
        </w:numPr>
        <w:tabs>
          <w:tab w:val="left" w:pos="333"/>
        </w:tabs>
        <w:spacing w:line="252" w:lineRule="auto"/>
        <w:ind w:left="360" w:hanging="220"/>
        <w:rPr>
          <w:sz w:val="15"/>
          <w:szCs w:val="15"/>
        </w:rPr>
      </w:pPr>
      <w:bookmarkStart w:id="41" w:name="bookmark41"/>
      <w:bookmarkEnd w:id="41"/>
      <w:r>
        <w:rPr>
          <w:sz w:val="15"/>
          <w:szCs w:val="15"/>
        </w:rPr>
        <w:t>Cifra de casos notificados en 1968, el primer año en que comenzó la notificación y el primero después de que se aprobó la distribución de la vacuna.</w:t>
      </w:r>
    </w:p>
    <w:p w14:paraId="639938B3" w14:textId="77777777" w:rsidR="0072615D" w:rsidRDefault="0072615D">
      <w:pPr>
        <w:pStyle w:val="Bodytext20"/>
        <w:numPr>
          <w:ilvl w:val="0"/>
          <w:numId w:val="16"/>
        </w:numPr>
        <w:tabs>
          <w:tab w:val="left" w:pos="333"/>
        </w:tabs>
        <w:spacing w:line="252" w:lineRule="auto"/>
        <w:ind w:left="360" w:hanging="220"/>
        <w:rPr>
          <w:sz w:val="15"/>
          <w:szCs w:val="15"/>
        </w:rPr>
      </w:pPr>
      <w:bookmarkStart w:id="42" w:name="bookmark42"/>
      <w:bookmarkEnd w:id="42"/>
      <w:r>
        <w:rPr>
          <w:sz w:val="15"/>
          <w:szCs w:val="15"/>
        </w:rPr>
        <w:t>Cifra anual promedio de casos notificados durante 1966-1968, tres años antes de que se aprobara la distribución de la vacuna.</w:t>
      </w:r>
    </w:p>
    <w:p w14:paraId="08210AA4" w14:textId="77777777" w:rsidR="0072615D" w:rsidRDefault="0072615D">
      <w:pPr>
        <w:pStyle w:val="Bodytext20"/>
        <w:numPr>
          <w:ilvl w:val="0"/>
          <w:numId w:val="16"/>
        </w:numPr>
        <w:tabs>
          <w:tab w:val="left" w:pos="357"/>
        </w:tabs>
        <w:spacing w:line="329" w:lineRule="auto"/>
        <w:ind w:left="360" w:hanging="220"/>
        <w:rPr>
          <w:sz w:val="15"/>
          <w:szCs w:val="15"/>
        </w:rPr>
      </w:pPr>
      <w:bookmarkStart w:id="43" w:name="bookmark43"/>
      <w:bookmarkEnd w:id="43"/>
      <w:r>
        <w:rPr>
          <w:sz w:val="15"/>
          <w:szCs w:val="15"/>
        </w:rPr>
        <w:t>Cifra estimada de casos con base en datos de seroprevalencia en la población y del peligro de que las mujeres infectadas durante el año de procreación procrearan un feto con síndrome congénito de rubéola.</w:t>
      </w:r>
    </w:p>
    <w:p w14:paraId="76A1E05C" w14:textId="77777777" w:rsidR="0072615D" w:rsidRDefault="0072615D">
      <w:pPr>
        <w:pStyle w:val="Bodytext20"/>
        <w:numPr>
          <w:ilvl w:val="0"/>
          <w:numId w:val="16"/>
        </w:numPr>
        <w:tabs>
          <w:tab w:val="left" w:pos="357"/>
        </w:tabs>
        <w:spacing w:line="329" w:lineRule="auto"/>
        <w:ind w:left="360" w:hanging="220"/>
        <w:rPr>
          <w:sz w:val="15"/>
          <w:szCs w:val="15"/>
        </w:rPr>
      </w:pPr>
      <w:bookmarkStart w:id="44" w:name="bookmark44"/>
      <w:bookmarkEnd w:id="44"/>
      <w:r>
        <w:rPr>
          <w:sz w:val="15"/>
          <w:szCs w:val="15"/>
        </w:rPr>
        <w:t>Cifra estimada de casos, obtenida de estudios de vigilancia poblacional antes de que se aprobara la distribución de la vacuna en 1985.</w:t>
      </w:r>
    </w:p>
    <w:p w14:paraId="3B291EC3" w14:textId="77777777" w:rsidR="0072615D" w:rsidRDefault="0072615D">
      <w:pPr>
        <w:pStyle w:val="Bodytext20"/>
        <w:numPr>
          <w:ilvl w:val="0"/>
          <w:numId w:val="16"/>
        </w:numPr>
        <w:tabs>
          <w:tab w:val="left" w:pos="357"/>
        </w:tabs>
        <w:spacing w:after="480" w:line="329" w:lineRule="auto"/>
        <w:ind w:left="360" w:hanging="220"/>
        <w:rPr>
          <w:sz w:val="15"/>
          <w:szCs w:val="15"/>
        </w:rPr>
      </w:pPr>
      <w:bookmarkStart w:id="45" w:name="bookmark45"/>
      <w:bookmarkEnd w:id="45"/>
      <w:r>
        <w:rPr>
          <w:sz w:val="15"/>
          <w:szCs w:val="15"/>
        </w:rPr>
        <w:t xml:space="preserve">Representa enfermedad invasora en niños menores de cinco años e incluye cepas de </w:t>
      </w:r>
      <w:r>
        <w:rPr>
          <w:i/>
          <w:iCs/>
          <w:sz w:val="15"/>
          <w:szCs w:val="15"/>
        </w:rPr>
        <w:t xml:space="preserve">H. influenzae </w:t>
      </w:r>
      <w:r>
        <w:rPr>
          <w:sz w:val="15"/>
          <w:szCs w:val="15"/>
        </w:rPr>
        <w:t>que no fueron serotipificadas.</w:t>
      </w:r>
    </w:p>
    <w:p w14:paraId="338DE3B3" w14:textId="77777777" w:rsidR="0072615D" w:rsidRDefault="0072615D">
      <w:pPr>
        <w:pStyle w:val="Other0"/>
        <w:spacing w:after="240" w:line="240" w:lineRule="auto"/>
        <w:ind w:firstLine="460"/>
        <w:rPr>
          <w:sz w:val="26"/>
          <w:szCs w:val="26"/>
        </w:rPr>
      </w:pPr>
      <w:r>
        <w:rPr>
          <w:rFonts w:ascii="Times New Roman" w:eastAsia="Times New Roman" w:hAnsi="Times New Roman" w:cs="Times New Roman"/>
          <w:sz w:val="26"/>
          <w:szCs w:val="26"/>
        </w:rPr>
        <w:t>FUENTES DE INFORMACIÓN SOBRE VACUNAS</w:t>
      </w:r>
    </w:p>
    <w:p w14:paraId="65652118" w14:textId="77777777" w:rsidR="0072615D" w:rsidRDefault="0072615D">
      <w:pPr>
        <w:pStyle w:val="BodyText"/>
        <w:spacing w:after="200"/>
        <w:ind w:firstLine="0"/>
      </w:pPr>
      <w:r>
        <w:t>Además de la obra presente, que se publica aproximadamente cada tres años, los médicos deben recurrir a publicaciones fundadas en pruebas científicas y otras fuentes de datos para dilucidar dudas específicas respecto de las vacunas en la práctica. Las fuentes mencionadas (válidas para Estados Unidos, pero que incluimos para mayor información del lector, ante las amplísimas redes de comunicación actuales) comprenden:</w:t>
      </w:r>
    </w:p>
    <w:p w14:paraId="73B3721A" w14:textId="77777777" w:rsidR="0072615D" w:rsidRDefault="0072615D">
      <w:pPr>
        <w:pStyle w:val="Other0"/>
        <w:spacing w:after="100" w:line="214" w:lineRule="auto"/>
        <w:ind w:firstLine="0"/>
        <w:jc w:val="center"/>
        <w:rPr>
          <w:sz w:val="26"/>
          <w:szCs w:val="26"/>
        </w:rPr>
      </w:pPr>
      <w:r>
        <w:rPr>
          <w:rFonts w:ascii="Arial" w:eastAsia="Arial" w:hAnsi="Arial" w:cs="Arial"/>
          <w:w w:val="70"/>
          <w:sz w:val="26"/>
          <w:szCs w:val="26"/>
        </w:rPr>
        <w:t xml:space="preserve">Cuadro 1-1. </w:t>
      </w:r>
      <w:r>
        <w:rPr>
          <w:rFonts w:ascii="Arial" w:eastAsia="Arial" w:hAnsi="Arial" w:cs="Arial"/>
          <w:b/>
          <w:bCs/>
          <w:w w:val="70"/>
          <w:sz w:val="26"/>
          <w:szCs w:val="26"/>
        </w:rPr>
        <w:t>Cifras de referencia de morbilidad anual en el siglo XX</w:t>
      </w:r>
      <w:r>
        <w:rPr>
          <w:rFonts w:ascii="Arial" w:eastAsia="Arial" w:hAnsi="Arial" w:cs="Arial"/>
          <w:b/>
          <w:bCs/>
          <w:w w:val="70"/>
          <w:sz w:val="26"/>
          <w:szCs w:val="26"/>
        </w:rPr>
        <w:br/>
        <w:t>y morbilidad del año 2001, respecto de 10 enfermedades, con vacunas</w:t>
      </w:r>
      <w:r>
        <w:rPr>
          <w:rFonts w:ascii="Arial" w:eastAsia="Arial" w:hAnsi="Arial" w:cs="Arial"/>
          <w:b/>
          <w:bCs/>
          <w:w w:val="70"/>
          <w:sz w:val="26"/>
          <w:szCs w:val="26"/>
        </w:rPr>
        <w:br/>
        <w:t>recomendadas antes de 1990 para empleo universal en niños:</w:t>
      </w:r>
      <w:r>
        <w:rPr>
          <w:rFonts w:ascii="Arial" w:eastAsia="Arial" w:hAnsi="Arial" w:cs="Arial"/>
          <w:b/>
          <w:bCs/>
          <w:w w:val="70"/>
          <w:sz w:val="26"/>
          <w:szCs w:val="26"/>
        </w:rPr>
        <w:br/>
        <w:t>Estados Unidos</w:t>
      </w:r>
      <w:r>
        <w:rPr>
          <w:rFonts w:ascii="Arial" w:eastAsia="Arial" w:hAnsi="Arial" w:cs="Arial"/>
          <w:b/>
          <w:bCs/>
          <w:w w:val="70"/>
          <w:sz w:val="26"/>
          <w:szCs w:val="26"/>
          <w:vertAlign w:val="superscript"/>
        </w:rPr>
        <w:t>1</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67"/>
        <w:gridCol w:w="2069"/>
        <w:gridCol w:w="1440"/>
        <w:gridCol w:w="1301"/>
      </w:tblGrid>
      <w:tr w:rsidR="0072615D" w14:paraId="002E2337" w14:textId="77777777">
        <w:tblPrEx>
          <w:tblCellMar>
            <w:top w:w="0" w:type="dxa"/>
            <w:bottom w:w="0" w:type="dxa"/>
          </w:tblCellMar>
        </w:tblPrEx>
        <w:trPr>
          <w:trHeight w:hRule="exact" w:val="768"/>
          <w:jc w:val="center"/>
        </w:trPr>
        <w:tc>
          <w:tcPr>
            <w:tcW w:w="1867" w:type="dxa"/>
            <w:shd w:val="clear" w:color="auto" w:fill="231F20"/>
          </w:tcPr>
          <w:p w14:paraId="462D4E3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Enfermedad</w:t>
            </w:r>
          </w:p>
        </w:tc>
        <w:tc>
          <w:tcPr>
            <w:tcW w:w="2069" w:type="dxa"/>
            <w:shd w:val="clear" w:color="auto" w:fill="231F20"/>
          </w:tcPr>
          <w:p w14:paraId="531EC76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6" w:lineRule="auto"/>
              <w:ind w:firstLine="160"/>
              <w:rPr>
                <w:sz w:val="24"/>
                <w:szCs w:val="24"/>
              </w:rPr>
            </w:pPr>
            <w:r>
              <w:rPr>
                <w:rFonts w:ascii="Arial" w:eastAsia="Arial" w:hAnsi="Arial" w:cs="Arial"/>
                <w:b/>
                <w:bCs/>
                <w:color w:val="FFFFFF"/>
                <w:w w:val="70"/>
                <w:sz w:val="24"/>
                <w:szCs w:val="24"/>
              </w:rPr>
              <w:t>Cifras de referencia de morbilidad anual en el siglo XX</w:t>
            </w:r>
          </w:p>
        </w:tc>
        <w:tc>
          <w:tcPr>
            <w:tcW w:w="1440" w:type="dxa"/>
            <w:shd w:val="clear" w:color="auto" w:fill="231F20"/>
          </w:tcPr>
          <w:p w14:paraId="5ED5C84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left="280" w:firstLine="40"/>
              <w:rPr>
                <w:sz w:val="24"/>
                <w:szCs w:val="24"/>
              </w:rPr>
            </w:pPr>
            <w:r>
              <w:rPr>
                <w:rFonts w:ascii="Arial" w:eastAsia="Arial" w:hAnsi="Arial" w:cs="Arial"/>
                <w:b/>
                <w:bCs/>
                <w:color w:val="FFFFFF"/>
                <w:w w:val="70"/>
                <w:sz w:val="24"/>
                <w:szCs w:val="24"/>
              </w:rPr>
              <w:t>Morbilidad de 2001</w:t>
            </w:r>
          </w:p>
        </w:tc>
        <w:tc>
          <w:tcPr>
            <w:tcW w:w="1301" w:type="dxa"/>
            <w:shd w:val="clear" w:color="auto" w:fill="231F20"/>
          </w:tcPr>
          <w:p w14:paraId="4A7185FD"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20"/>
              <w:rPr>
                <w:sz w:val="24"/>
                <w:szCs w:val="24"/>
              </w:rPr>
            </w:pPr>
            <w:r>
              <w:rPr>
                <w:rFonts w:ascii="Arial" w:eastAsia="Arial" w:hAnsi="Arial" w:cs="Arial"/>
                <w:b/>
                <w:bCs/>
                <w:color w:val="FFFFFF"/>
                <w:w w:val="70"/>
                <w:sz w:val="24"/>
                <w:szCs w:val="24"/>
              </w:rPr>
              <w:t>Disminución porcentual</w:t>
            </w:r>
          </w:p>
        </w:tc>
      </w:tr>
      <w:tr w:rsidR="0072615D" w14:paraId="6EFE14DE" w14:textId="77777777">
        <w:tblPrEx>
          <w:tblCellMar>
            <w:top w:w="0" w:type="dxa"/>
            <w:bottom w:w="0" w:type="dxa"/>
          </w:tblCellMar>
        </w:tblPrEx>
        <w:trPr>
          <w:trHeight w:hRule="exact" w:val="283"/>
          <w:jc w:val="center"/>
        </w:trPr>
        <w:tc>
          <w:tcPr>
            <w:tcW w:w="1867" w:type="dxa"/>
            <w:shd w:val="clear" w:color="auto" w:fill="FFFFFF"/>
            <w:vAlign w:val="bottom"/>
          </w:tcPr>
          <w:p w14:paraId="0509A27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Viruela</w:t>
            </w:r>
          </w:p>
        </w:tc>
        <w:tc>
          <w:tcPr>
            <w:tcW w:w="2069" w:type="dxa"/>
            <w:shd w:val="clear" w:color="auto" w:fill="FFFFFF"/>
            <w:vAlign w:val="bottom"/>
          </w:tcPr>
          <w:p w14:paraId="5DAA6C86" w14:textId="77777777" w:rsidR="0072615D" w:rsidRDefault="0072615D">
            <w:pPr>
              <w:pStyle w:val="Other0"/>
              <w:spacing w:line="240" w:lineRule="auto"/>
              <w:ind w:firstLine="220"/>
              <w:rPr>
                <w:sz w:val="10"/>
                <w:szCs w:val="10"/>
              </w:rPr>
            </w:pPr>
            <w:r>
              <w:rPr>
                <w:rFonts w:ascii="Times New Roman" w:eastAsia="Times New Roman" w:hAnsi="Times New Roman" w:cs="Times New Roman"/>
                <w:sz w:val="16"/>
                <w:szCs w:val="16"/>
              </w:rPr>
              <w:t>48 164</w:t>
            </w:r>
            <w:r>
              <w:rPr>
                <w:rFonts w:ascii="Times New Roman" w:eastAsia="Times New Roman" w:hAnsi="Times New Roman" w:cs="Times New Roman"/>
                <w:sz w:val="10"/>
                <w:szCs w:val="10"/>
              </w:rPr>
              <w:t>2</w:t>
            </w:r>
          </w:p>
        </w:tc>
        <w:tc>
          <w:tcPr>
            <w:tcW w:w="1440" w:type="dxa"/>
            <w:shd w:val="clear" w:color="auto" w:fill="FFFFFF"/>
            <w:vAlign w:val="bottom"/>
          </w:tcPr>
          <w:p w14:paraId="6E1228DB" w14:textId="77777777" w:rsidR="0072615D" w:rsidRDefault="0072615D">
            <w:pPr>
              <w:pStyle w:val="Other0"/>
              <w:spacing w:line="240" w:lineRule="auto"/>
              <w:ind w:firstLine="600"/>
              <w:rPr>
                <w:sz w:val="16"/>
                <w:szCs w:val="16"/>
              </w:rPr>
            </w:pPr>
            <w:r>
              <w:rPr>
                <w:rFonts w:ascii="Times New Roman" w:eastAsia="Times New Roman" w:hAnsi="Times New Roman" w:cs="Times New Roman"/>
                <w:sz w:val="16"/>
                <w:szCs w:val="16"/>
              </w:rPr>
              <w:t>0</w:t>
            </w:r>
          </w:p>
        </w:tc>
        <w:tc>
          <w:tcPr>
            <w:tcW w:w="1301" w:type="dxa"/>
            <w:shd w:val="clear" w:color="auto" w:fill="FFFFFF"/>
            <w:vAlign w:val="bottom"/>
          </w:tcPr>
          <w:p w14:paraId="49B63AE4"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100</w:t>
            </w:r>
          </w:p>
        </w:tc>
      </w:tr>
      <w:tr w:rsidR="0072615D" w14:paraId="477E9FB5" w14:textId="77777777">
        <w:tblPrEx>
          <w:tblCellMar>
            <w:top w:w="0" w:type="dxa"/>
            <w:bottom w:w="0" w:type="dxa"/>
          </w:tblCellMar>
        </w:tblPrEx>
        <w:trPr>
          <w:trHeight w:hRule="exact" w:val="226"/>
          <w:jc w:val="center"/>
        </w:trPr>
        <w:tc>
          <w:tcPr>
            <w:tcW w:w="1867" w:type="dxa"/>
            <w:shd w:val="clear" w:color="auto" w:fill="FFFFFF"/>
            <w:vAlign w:val="bottom"/>
          </w:tcPr>
          <w:p w14:paraId="247372E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Difteria</w:t>
            </w:r>
          </w:p>
        </w:tc>
        <w:tc>
          <w:tcPr>
            <w:tcW w:w="2069" w:type="dxa"/>
            <w:shd w:val="clear" w:color="auto" w:fill="FFFFFF"/>
            <w:vAlign w:val="bottom"/>
          </w:tcPr>
          <w:p w14:paraId="7C0BAAE8" w14:textId="77777777" w:rsidR="0072615D" w:rsidRDefault="0072615D">
            <w:pPr>
              <w:pStyle w:val="Other0"/>
              <w:spacing w:line="240" w:lineRule="auto"/>
              <w:ind w:firstLine="0"/>
              <w:rPr>
                <w:sz w:val="10"/>
                <w:szCs w:val="10"/>
              </w:rPr>
            </w:pPr>
            <w:r>
              <w:rPr>
                <w:rFonts w:ascii="Times New Roman" w:eastAsia="Times New Roman" w:hAnsi="Times New Roman" w:cs="Times New Roman"/>
                <w:sz w:val="16"/>
                <w:szCs w:val="16"/>
              </w:rPr>
              <w:t>175 885</w:t>
            </w:r>
            <w:r>
              <w:rPr>
                <w:rFonts w:ascii="Times New Roman" w:eastAsia="Times New Roman" w:hAnsi="Times New Roman" w:cs="Times New Roman"/>
                <w:sz w:val="10"/>
                <w:szCs w:val="10"/>
              </w:rPr>
              <w:t>3</w:t>
            </w:r>
          </w:p>
        </w:tc>
        <w:tc>
          <w:tcPr>
            <w:tcW w:w="1440" w:type="dxa"/>
            <w:shd w:val="clear" w:color="auto" w:fill="FFFFFF"/>
            <w:vAlign w:val="bottom"/>
          </w:tcPr>
          <w:p w14:paraId="66A87FD0" w14:textId="77777777" w:rsidR="0072615D" w:rsidRDefault="0072615D">
            <w:pPr>
              <w:pStyle w:val="Other0"/>
              <w:spacing w:line="240" w:lineRule="auto"/>
              <w:ind w:firstLine="600"/>
              <w:rPr>
                <w:sz w:val="16"/>
                <w:szCs w:val="16"/>
              </w:rPr>
            </w:pPr>
            <w:r>
              <w:rPr>
                <w:rFonts w:ascii="Times New Roman" w:eastAsia="Times New Roman" w:hAnsi="Times New Roman" w:cs="Times New Roman"/>
                <w:sz w:val="16"/>
                <w:szCs w:val="16"/>
              </w:rPr>
              <w:t>2</w:t>
            </w:r>
          </w:p>
        </w:tc>
        <w:tc>
          <w:tcPr>
            <w:tcW w:w="1301" w:type="dxa"/>
            <w:shd w:val="clear" w:color="auto" w:fill="FFFFFF"/>
            <w:vAlign w:val="bottom"/>
          </w:tcPr>
          <w:p w14:paraId="693C4060"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3EF9DBE1" w14:textId="77777777">
        <w:tblPrEx>
          <w:tblCellMar>
            <w:top w:w="0" w:type="dxa"/>
            <w:bottom w:w="0" w:type="dxa"/>
          </w:tblCellMar>
        </w:tblPrEx>
        <w:trPr>
          <w:trHeight w:hRule="exact" w:val="226"/>
          <w:jc w:val="center"/>
        </w:trPr>
        <w:tc>
          <w:tcPr>
            <w:tcW w:w="1867" w:type="dxa"/>
            <w:shd w:val="clear" w:color="auto" w:fill="FFFFFF"/>
            <w:vAlign w:val="bottom"/>
          </w:tcPr>
          <w:p w14:paraId="5FC1ADC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Tos ferina</w:t>
            </w:r>
          </w:p>
        </w:tc>
        <w:tc>
          <w:tcPr>
            <w:tcW w:w="2069" w:type="dxa"/>
            <w:shd w:val="clear" w:color="auto" w:fill="FFFFFF"/>
            <w:vAlign w:val="bottom"/>
          </w:tcPr>
          <w:p w14:paraId="2433BE8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147 271</w:t>
            </w:r>
            <w:r>
              <w:rPr>
                <w:rFonts w:ascii="Times New Roman" w:eastAsia="Times New Roman" w:hAnsi="Times New Roman" w:cs="Times New Roman"/>
                <w:sz w:val="16"/>
                <w:szCs w:val="16"/>
                <w:vertAlign w:val="superscript"/>
              </w:rPr>
              <w:t>4</w:t>
            </w:r>
          </w:p>
        </w:tc>
        <w:tc>
          <w:tcPr>
            <w:tcW w:w="1440" w:type="dxa"/>
            <w:shd w:val="clear" w:color="auto" w:fill="FFFFFF"/>
            <w:vAlign w:val="bottom"/>
          </w:tcPr>
          <w:p w14:paraId="701FF1DD"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7 580</w:t>
            </w:r>
          </w:p>
        </w:tc>
        <w:tc>
          <w:tcPr>
            <w:tcW w:w="1301" w:type="dxa"/>
            <w:shd w:val="clear" w:color="auto" w:fill="FFFFFF"/>
            <w:vAlign w:val="bottom"/>
          </w:tcPr>
          <w:p w14:paraId="148EA26D" w14:textId="77777777" w:rsidR="0072615D" w:rsidRDefault="0072615D">
            <w:pPr>
              <w:pStyle w:val="Other0"/>
              <w:spacing w:line="240" w:lineRule="auto"/>
              <w:ind w:firstLine="320"/>
              <w:rPr>
                <w:sz w:val="16"/>
                <w:szCs w:val="16"/>
              </w:rPr>
            </w:pPr>
            <w:r>
              <w:rPr>
                <w:rFonts w:ascii="Times New Roman" w:eastAsia="Times New Roman" w:hAnsi="Times New Roman" w:cs="Times New Roman"/>
                <w:sz w:val="16"/>
                <w:szCs w:val="16"/>
              </w:rPr>
              <w:t>95</w:t>
            </w:r>
          </w:p>
        </w:tc>
      </w:tr>
      <w:tr w:rsidR="0072615D" w14:paraId="31060A94" w14:textId="77777777">
        <w:tblPrEx>
          <w:tblCellMar>
            <w:top w:w="0" w:type="dxa"/>
            <w:bottom w:w="0" w:type="dxa"/>
          </w:tblCellMar>
        </w:tblPrEx>
        <w:trPr>
          <w:trHeight w:hRule="exact" w:val="221"/>
          <w:jc w:val="center"/>
        </w:trPr>
        <w:tc>
          <w:tcPr>
            <w:tcW w:w="1867" w:type="dxa"/>
            <w:shd w:val="clear" w:color="auto" w:fill="FFFFFF"/>
            <w:vAlign w:val="bottom"/>
          </w:tcPr>
          <w:p w14:paraId="12752DF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Tétanos</w:t>
            </w:r>
          </w:p>
        </w:tc>
        <w:tc>
          <w:tcPr>
            <w:tcW w:w="2069" w:type="dxa"/>
            <w:shd w:val="clear" w:color="auto" w:fill="FFFFFF"/>
            <w:vAlign w:val="bottom"/>
          </w:tcPr>
          <w:p w14:paraId="3472284A" w14:textId="77777777" w:rsidR="0072615D" w:rsidRDefault="0072615D">
            <w:pPr>
              <w:pStyle w:val="Other0"/>
              <w:spacing w:line="240" w:lineRule="auto"/>
              <w:ind w:firstLine="360"/>
              <w:rPr>
                <w:sz w:val="10"/>
                <w:szCs w:val="10"/>
              </w:rPr>
            </w:pPr>
            <w:r>
              <w:rPr>
                <w:rFonts w:ascii="Times New Roman" w:eastAsia="Times New Roman" w:hAnsi="Times New Roman" w:cs="Times New Roman"/>
                <w:sz w:val="16"/>
                <w:szCs w:val="16"/>
              </w:rPr>
              <w:t>1 314</w:t>
            </w:r>
            <w:r>
              <w:rPr>
                <w:rFonts w:ascii="Times New Roman" w:eastAsia="Times New Roman" w:hAnsi="Times New Roman" w:cs="Times New Roman"/>
                <w:sz w:val="10"/>
                <w:szCs w:val="10"/>
              </w:rPr>
              <w:t>5</w:t>
            </w:r>
          </w:p>
        </w:tc>
        <w:tc>
          <w:tcPr>
            <w:tcW w:w="1440" w:type="dxa"/>
            <w:shd w:val="clear" w:color="auto" w:fill="FFFFFF"/>
            <w:vAlign w:val="bottom"/>
          </w:tcPr>
          <w:p w14:paraId="1A806F82"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37</w:t>
            </w:r>
          </w:p>
        </w:tc>
        <w:tc>
          <w:tcPr>
            <w:tcW w:w="1301" w:type="dxa"/>
            <w:shd w:val="clear" w:color="auto" w:fill="FFFFFF"/>
            <w:vAlign w:val="bottom"/>
          </w:tcPr>
          <w:p w14:paraId="4C4292C9" w14:textId="77777777" w:rsidR="0072615D" w:rsidRDefault="0072615D">
            <w:pPr>
              <w:pStyle w:val="Other0"/>
              <w:spacing w:line="240" w:lineRule="auto"/>
              <w:ind w:firstLine="320"/>
              <w:rPr>
                <w:sz w:val="16"/>
                <w:szCs w:val="16"/>
              </w:rPr>
            </w:pPr>
            <w:r>
              <w:rPr>
                <w:rFonts w:ascii="Times New Roman" w:eastAsia="Times New Roman" w:hAnsi="Times New Roman" w:cs="Times New Roman"/>
                <w:sz w:val="16"/>
                <w:szCs w:val="16"/>
              </w:rPr>
              <w:t>97</w:t>
            </w:r>
          </w:p>
        </w:tc>
      </w:tr>
      <w:tr w:rsidR="0072615D" w14:paraId="18B31631" w14:textId="77777777">
        <w:tblPrEx>
          <w:tblCellMar>
            <w:top w:w="0" w:type="dxa"/>
            <w:bottom w:w="0" w:type="dxa"/>
          </w:tblCellMar>
        </w:tblPrEx>
        <w:trPr>
          <w:trHeight w:hRule="exact" w:val="240"/>
          <w:jc w:val="center"/>
        </w:trPr>
        <w:tc>
          <w:tcPr>
            <w:tcW w:w="1867" w:type="dxa"/>
            <w:shd w:val="clear" w:color="auto" w:fill="FFFFFF"/>
            <w:vAlign w:val="bottom"/>
          </w:tcPr>
          <w:p w14:paraId="4FD0964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Poliomielitis paralítica</w:t>
            </w:r>
          </w:p>
        </w:tc>
        <w:tc>
          <w:tcPr>
            <w:tcW w:w="2069" w:type="dxa"/>
            <w:shd w:val="clear" w:color="auto" w:fill="FFFFFF"/>
            <w:vAlign w:val="bottom"/>
          </w:tcPr>
          <w:p w14:paraId="1021D25A" w14:textId="77777777" w:rsidR="0072615D" w:rsidRDefault="0072615D">
            <w:pPr>
              <w:pStyle w:val="Other0"/>
              <w:spacing w:line="240" w:lineRule="auto"/>
              <w:ind w:firstLine="220"/>
              <w:rPr>
                <w:sz w:val="10"/>
                <w:szCs w:val="10"/>
              </w:rPr>
            </w:pPr>
            <w:r>
              <w:rPr>
                <w:rFonts w:ascii="Times New Roman" w:eastAsia="Times New Roman" w:hAnsi="Times New Roman" w:cs="Times New Roman"/>
                <w:sz w:val="16"/>
                <w:szCs w:val="16"/>
              </w:rPr>
              <w:t>16 316</w:t>
            </w:r>
            <w:r>
              <w:rPr>
                <w:rFonts w:ascii="Times New Roman" w:eastAsia="Times New Roman" w:hAnsi="Times New Roman" w:cs="Times New Roman"/>
                <w:sz w:val="10"/>
                <w:szCs w:val="10"/>
              </w:rPr>
              <w:t>6</w:t>
            </w:r>
          </w:p>
        </w:tc>
        <w:tc>
          <w:tcPr>
            <w:tcW w:w="1440" w:type="dxa"/>
            <w:shd w:val="clear" w:color="auto" w:fill="FFFFFF"/>
            <w:vAlign w:val="bottom"/>
          </w:tcPr>
          <w:p w14:paraId="7C8F6EC7" w14:textId="77777777" w:rsidR="0072615D" w:rsidRDefault="0072615D">
            <w:pPr>
              <w:pStyle w:val="Other0"/>
              <w:spacing w:line="240" w:lineRule="auto"/>
              <w:ind w:firstLine="600"/>
              <w:rPr>
                <w:sz w:val="16"/>
                <w:szCs w:val="16"/>
              </w:rPr>
            </w:pPr>
            <w:r>
              <w:rPr>
                <w:rFonts w:ascii="Times New Roman" w:eastAsia="Times New Roman" w:hAnsi="Times New Roman" w:cs="Times New Roman"/>
                <w:sz w:val="16"/>
                <w:szCs w:val="16"/>
              </w:rPr>
              <w:t>0</w:t>
            </w:r>
          </w:p>
        </w:tc>
        <w:tc>
          <w:tcPr>
            <w:tcW w:w="1301" w:type="dxa"/>
            <w:shd w:val="clear" w:color="auto" w:fill="FFFFFF"/>
            <w:vAlign w:val="bottom"/>
          </w:tcPr>
          <w:p w14:paraId="2599CF51"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100</w:t>
            </w:r>
          </w:p>
        </w:tc>
      </w:tr>
      <w:tr w:rsidR="0072615D" w14:paraId="79E6A083" w14:textId="77777777">
        <w:tblPrEx>
          <w:tblCellMar>
            <w:top w:w="0" w:type="dxa"/>
            <w:bottom w:w="0" w:type="dxa"/>
          </w:tblCellMar>
        </w:tblPrEx>
        <w:trPr>
          <w:trHeight w:hRule="exact" w:val="226"/>
          <w:jc w:val="center"/>
        </w:trPr>
        <w:tc>
          <w:tcPr>
            <w:tcW w:w="1867" w:type="dxa"/>
            <w:shd w:val="clear" w:color="auto" w:fill="FFFFFF"/>
          </w:tcPr>
          <w:p w14:paraId="29671F6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Sarampión</w:t>
            </w:r>
          </w:p>
        </w:tc>
        <w:tc>
          <w:tcPr>
            <w:tcW w:w="2069" w:type="dxa"/>
            <w:shd w:val="clear" w:color="auto" w:fill="FFFFFF"/>
          </w:tcPr>
          <w:p w14:paraId="742BB45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503 282</w:t>
            </w:r>
            <w:r>
              <w:rPr>
                <w:rFonts w:ascii="Times New Roman" w:eastAsia="Times New Roman" w:hAnsi="Times New Roman" w:cs="Times New Roman"/>
                <w:sz w:val="16"/>
                <w:szCs w:val="16"/>
                <w:vertAlign w:val="superscript"/>
              </w:rPr>
              <w:t>7</w:t>
            </w:r>
          </w:p>
        </w:tc>
        <w:tc>
          <w:tcPr>
            <w:tcW w:w="1440" w:type="dxa"/>
            <w:shd w:val="clear" w:color="auto" w:fill="FFFFFF"/>
          </w:tcPr>
          <w:p w14:paraId="4BB1465D" w14:textId="77777777" w:rsidR="0072615D" w:rsidRDefault="0072615D">
            <w:pPr>
              <w:pStyle w:val="Other0"/>
              <w:spacing w:line="240" w:lineRule="auto"/>
              <w:ind w:firstLine="420"/>
              <w:rPr>
                <w:sz w:val="16"/>
                <w:szCs w:val="16"/>
              </w:rPr>
            </w:pPr>
            <w:r>
              <w:rPr>
                <w:rFonts w:ascii="Times New Roman" w:eastAsia="Times New Roman" w:hAnsi="Times New Roman" w:cs="Times New Roman"/>
                <w:sz w:val="16"/>
                <w:szCs w:val="16"/>
              </w:rPr>
              <w:t>116</w:t>
            </w:r>
          </w:p>
        </w:tc>
        <w:tc>
          <w:tcPr>
            <w:tcW w:w="1301" w:type="dxa"/>
            <w:shd w:val="clear" w:color="auto" w:fill="FFFFFF"/>
          </w:tcPr>
          <w:p w14:paraId="6AE54DCD"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2013A388" w14:textId="77777777">
        <w:tblPrEx>
          <w:tblCellMar>
            <w:top w:w="0" w:type="dxa"/>
            <w:bottom w:w="0" w:type="dxa"/>
          </w:tblCellMar>
        </w:tblPrEx>
        <w:trPr>
          <w:trHeight w:hRule="exact" w:val="206"/>
          <w:jc w:val="center"/>
        </w:trPr>
        <w:tc>
          <w:tcPr>
            <w:tcW w:w="1867" w:type="dxa"/>
            <w:shd w:val="clear" w:color="auto" w:fill="FFFFFF"/>
          </w:tcPr>
          <w:p w14:paraId="1FA8C94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Parotiditis</w:t>
            </w:r>
          </w:p>
        </w:tc>
        <w:tc>
          <w:tcPr>
            <w:tcW w:w="2069" w:type="dxa"/>
            <w:shd w:val="clear" w:color="auto" w:fill="FFFFFF"/>
          </w:tcPr>
          <w:p w14:paraId="293ECD9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152 209</w:t>
            </w:r>
            <w:r>
              <w:rPr>
                <w:rFonts w:ascii="Times New Roman" w:eastAsia="Times New Roman" w:hAnsi="Times New Roman" w:cs="Times New Roman"/>
                <w:sz w:val="16"/>
                <w:szCs w:val="16"/>
                <w:vertAlign w:val="superscript"/>
              </w:rPr>
              <w:t>8</w:t>
            </w:r>
          </w:p>
        </w:tc>
        <w:tc>
          <w:tcPr>
            <w:tcW w:w="1440" w:type="dxa"/>
            <w:shd w:val="clear" w:color="auto" w:fill="FFFFFF"/>
          </w:tcPr>
          <w:p w14:paraId="6960D132" w14:textId="77777777" w:rsidR="0072615D" w:rsidRDefault="0072615D">
            <w:pPr>
              <w:pStyle w:val="Other0"/>
              <w:spacing w:line="240" w:lineRule="auto"/>
              <w:ind w:firstLine="420"/>
              <w:rPr>
                <w:sz w:val="16"/>
                <w:szCs w:val="16"/>
              </w:rPr>
            </w:pPr>
            <w:r>
              <w:rPr>
                <w:rFonts w:ascii="Times New Roman" w:eastAsia="Times New Roman" w:hAnsi="Times New Roman" w:cs="Times New Roman"/>
                <w:sz w:val="16"/>
                <w:szCs w:val="16"/>
              </w:rPr>
              <w:t>266</w:t>
            </w:r>
          </w:p>
        </w:tc>
        <w:tc>
          <w:tcPr>
            <w:tcW w:w="1301" w:type="dxa"/>
            <w:shd w:val="clear" w:color="auto" w:fill="FFFFFF"/>
          </w:tcPr>
          <w:p w14:paraId="42465ABC"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4FC74223" w14:textId="77777777">
        <w:tblPrEx>
          <w:tblCellMar>
            <w:top w:w="0" w:type="dxa"/>
            <w:bottom w:w="0" w:type="dxa"/>
          </w:tblCellMar>
        </w:tblPrEx>
        <w:trPr>
          <w:trHeight w:hRule="exact" w:val="216"/>
          <w:jc w:val="center"/>
        </w:trPr>
        <w:tc>
          <w:tcPr>
            <w:tcW w:w="1867" w:type="dxa"/>
            <w:shd w:val="clear" w:color="auto" w:fill="FFFFFF"/>
            <w:vAlign w:val="bottom"/>
          </w:tcPr>
          <w:p w14:paraId="2C756BF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Rubéola</w:t>
            </w:r>
          </w:p>
        </w:tc>
        <w:tc>
          <w:tcPr>
            <w:tcW w:w="2069" w:type="dxa"/>
            <w:shd w:val="clear" w:color="auto" w:fill="FFFFFF"/>
            <w:vAlign w:val="bottom"/>
          </w:tcPr>
          <w:p w14:paraId="2FBB376C"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47 745</w:t>
            </w:r>
            <w:r>
              <w:rPr>
                <w:rFonts w:ascii="Times New Roman" w:eastAsia="Times New Roman" w:hAnsi="Times New Roman" w:cs="Times New Roman"/>
                <w:sz w:val="16"/>
                <w:szCs w:val="16"/>
                <w:vertAlign w:val="superscript"/>
              </w:rPr>
              <w:t>9</w:t>
            </w:r>
          </w:p>
        </w:tc>
        <w:tc>
          <w:tcPr>
            <w:tcW w:w="1440" w:type="dxa"/>
            <w:shd w:val="clear" w:color="auto" w:fill="FFFFFF"/>
            <w:vAlign w:val="bottom"/>
          </w:tcPr>
          <w:p w14:paraId="3C4A0486"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23</w:t>
            </w:r>
          </w:p>
        </w:tc>
        <w:tc>
          <w:tcPr>
            <w:tcW w:w="1301" w:type="dxa"/>
            <w:shd w:val="clear" w:color="auto" w:fill="FFFFFF"/>
            <w:vAlign w:val="bottom"/>
          </w:tcPr>
          <w:p w14:paraId="7E9C5DCB"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00C344E0" w14:textId="77777777">
        <w:tblPrEx>
          <w:tblCellMar>
            <w:top w:w="0" w:type="dxa"/>
            <w:bottom w:w="0" w:type="dxa"/>
          </w:tblCellMar>
        </w:tblPrEx>
        <w:trPr>
          <w:trHeight w:hRule="exact" w:val="226"/>
          <w:jc w:val="center"/>
        </w:trPr>
        <w:tc>
          <w:tcPr>
            <w:tcW w:w="1867" w:type="dxa"/>
            <w:shd w:val="clear" w:color="auto" w:fill="FFFFFF"/>
          </w:tcPr>
          <w:p w14:paraId="2A41094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Síndrome de</w:t>
            </w:r>
          </w:p>
        </w:tc>
        <w:tc>
          <w:tcPr>
            <w:tcW w:w="2069" w:type="dxa"/>
            <w:shd w:val="clear" w:color="auto" w:fill="FFFFFF"/>
          </w:tcPr>
          <w:p w14:paraId="1C0D334C" w14:textId="77777777" w:rsidR="0072615D" w:rsidRDefault="0072615D">
            <w:pPr>
              <w:rPr>
                <w:sz w:val="10"/>
                <w:szCs w:val="10"/>
              </w:rPr>
            </w:pPr>
          </w:p>
        </w:tc>
        <w:tc>
          <w:tcPr>
            <w:tcW w:w="1440" w:type="dxa"/>
            <w:shd w:val="clear" w:color="auto" w:fill="FFFFFF"/>
          </w:tcPr>
          <w:p w14:paraId="4175A9ED" w14:textId="77777777" w:rsidR="0072615D" w:rsidRDefault="0072615D">
            <w:pPr>
              <w:rPr>
                <w:sz w:val="10"/>
                <w:szCs w:val="10"/>
              </w:rPr>
            </w:pPr>
          </w:p>
        </w:tc>
        <w:tc>
          <w:tcPr>
            <w:tcW w:w="1301" w:type="dxa"/>
            <w:shd w:val="clear" w:color="auto" w:fill="FFFFFF"/>
          </w:tcPr>
          <w:p w14:paraId="5A04AF3B" w14:textId="77777777" w:rsidR="0072615D" w:rsidRDefault="0072615D">
            <w:pPr>
              <w:rPr>
                <w:sz w:val="10"/>
                <w:szCs w:val="10"/>
              </w:rPr>
            </w:pPr>
          </w:p>
        </w:tc>
      </w:tr>
      <w:tr w:rsidR="0072615D" w14:paraId="5120F255" w14:textId="77777777">
        <w:tblPrEx>
          <w:tblCellMar>
            <w:top w:w="0" w:type="dxa"/>
            <w:bottom w:w="0" w:type="dxa"/>
          </w:tblCellMar>
        </w:tblPrEx>
        <w:trPr>
          <w:trHeight w:hRule="exact" w:val="230"/>
          <w:jc w:val="center"/>
        </w:trPr>
        <w:tc>
          <w:tcPr>
            <w:tcW w:w="1867" w:type="dxa"/>
            <w:shd w:val="clear" w:color="auto" w:fill="FFFFFF"/>
            <w:vAlign w:val="bottom"/>
          </w:tcPr>
          <w:p w14:paraId="5E36021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rubéola congénita</w:t>
            </w:r>
          </w:p>
        </w:tc>
        <w:tc>
          <w:tcPr>
            <w:tcW w:w="2069" w:type="dxa"/>
            <w:shd w:val="clear" w:color="auto" w:fill="FFFFFF"/>
            <w:vAlign w:val="bottom"/>
          </w:tcPr>
          <w:p w14:paraId="58FA24F6"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823</w:t>
            </w:r>
            <w:r>
              <w:rPr>
                <w:rFonts w:ascii="Times New Roman" w:eastAsia="Times New Roman" w:hAnsi="Times New Roman" w:cs="Times New Roman"/>
                <w:sz w:val="16"/>
                <w:szCs w:val="16"/>
                <w:vertAlign w:val="superscript"/>
              </w:rPr>
              <w:t>10</w:t>
            </w:r>
          </w:p>
        </w:tc>
        <w:tc>
          <w:tcPr>
            <w:tcW w:w="1440" w:type="dxa"/>
            <w:shd w:val="clear" w:color="auto" w:fill="FFFFFF"/>
            <w:vAlign w:val="bottom"/>
          </w:tcPr>
          <w:p w14:paraId="0F68CE0F" w14:textId="77777777" w:rsidR="0072615D" w:rsidRDefault="0072615D">
            <w:pPr>
              <w:pStyle w:val="Other0"/>
              <w:spacing w:line="240" w:lineRule="auto"/>
              <w:ind w:firstLine="600"/>
              <w:rPr>
                <w:sz w:val="16"/>
                <w:szCs w:val="16"/>
              </w:rPr>
            </w:pPr>
            <w:r>
              <w:rPr>
                <w:rFonts w:ascii="Times New Roman" w:eastAsia="Times New Roman" w:hAnsi="Times New Roman" w:cs="Times New Roman"/>
                <w:sz w:val="16"/>
                <w:szCs w:val="16"/>
              </w:rPr>
              <w:t>3</w:t>
            </w:r>
          </w:p>
        </w:tc>
        <w:tc>
          <w:tcPr>
            <w:tcW w:w="1301" w:type="dxa"/>
            <w:shd w:val="clear" w:color="auto" w:fill="FFFFFF"/>
            <w:vAlign w:val="bottom"/>
          </w:tcPr>
          <w:p w14:paraId="42B5BD03"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r w:rsidR="0072615D" w14:paraId="1E5848B9" w14:textId="77777777">
        <w:tblPrEx>
          <w:tblCellMar>
            <w:top w:w="0" w:type="dxa"/>
            <w:bottom w:w="0" w:type="dxa"/>
          </w:tblCellMar>
        </w:tblPrEx>
        <w:trPr>
          <w:trHeight w:hRule="exact" w:val="216"/>
          <w:jc w:val="center"/>
        </w:trPr>
        <w:tc>
          <w:tcPr>
            <w:tcW w:w="1867" w:type="dxa"/>
            <w:shd w:val="clear" w:color="auto" w:fill="FFFFFF"/>
            <w:vAlign w:val="bottom"/>
          </w:tcPr>
          <w:p w14:paraId="77FD835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Infección por</w:t>
            </w:r>
          </w:p>
        </w:tc>
        <w:tc>
          <w:tcPr>
            <w:tcW w:w="2069" w:type="dxa"/>
            <w:shd w:val="clear" w:color="auto" w:fill="FFFFFF"/>
          </w:tcPr>
          <w:p w14:paraId="53A47FFD" w14:textId="77777777" w:rsidR="0072615D" w:rsidRDefault="0072615D">
            <w:pPr>
              <w:rPr>
                <w:sz w:val="10"/>
                <w:szCs w:val="10"/>
              </w:rPr>
            </w:pPr>
          </w:p>
        </w:tc>
        <w:tc>
          <w:tcPr>
            <w:tcW w:w="1440" w:type="dxa"/>
            <w:shd w:val="clear" w:color="auto" w:fill="FFFFFF"/>
          </w:tcPr>
          <w:p w14:paraId="68CEEF97" w14:textId="77777777" w:rsidR="0072615D" w:rsidRDefault="0072615D">
            <w:pPr>
              <w:rPr>
                <w:sz w:val="10"/>
                <w:szCs w:val="10"/>
              </w:rPr>
            </w:pPr>
          </w:p>
        </w:tc>
        <w:tc>
          <w:tcPr>
            <w:tcW w:w="1301" w:type="dxa"/>
            <w:shd w:val="clear" w:color="auto" w:fill="FFFFFF"/>
          </w:tcPr>
          <w:p w14:paraId="65CA5629" w14:textId="77777777" w:rsidR="0072615D" w:rsidRDefault="0072615D">
            <w:pPr>
              <w:rPr>
                <w:sz w:val="10"/>
                <w:szCs w:val="10"/>
              </w:rPr>
            </w:pPr>
          </w:p>
        </w:tc>
      </w:tr>
      <w:tr w:rsidR="0072615D" w14:paraId="05581016" w14:textId="77777777">
        <w:tblPrEx>
          <w:tblCellMar>
            <w:top w:w="0" w:type="dxa"/>
            <w:bottom w:w="0" w:type="dxa"/>
          </w:tblCellMar>
        </w:tblPrEx>
        <w:trPr>
          <w:trHeight w:hRule="exact" w:val="226"/>
          <w:jc w:val="center"/>
        </w:trPr>
        <w:tc>
          <w:tcPr>
            <w:tcW w:w="1867" w:type="dxa"/>
            <w:shd w:val="clear" w:color="auto" w:fill="FFFFFF"/>
            <w:vAlign w:val="bottom"/>
          </w:tcPr>
          <w:p w14:paraId="3BEAB54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Haemophilus influenzae</w:t>
            </w:r>
          </w:p>
        </w:tc>
        <w:tc>
          <w:tcPr>
            <w:tcW w:w="2069" w:type="dxa"/>
            <w:shd w:val="clear" w:color="auto" w:fill="FFFFFF"/>
          </w:tcPr>
          <w:p w14:paraId="363936FD" w14:textId="77777777" w:rsidR="0072615D" w:rsidRDefault="0072615D">
            <w:pPr>
              <w:rPr>
                <w:sz w:val="10"/>
                <w:szCs w:val="10"/>
              </w:rPr>
            </w:pPr>
          </w:p>
        </w:tc>
        <w:tc>
          <w:tcPr>
            <w:tcW w:w="1440" w:type="dxa"/>
            <w:shd w:val="clear" w:color="auto" w:fill="FFFFFF"/>
          </w:tcPr>
          <w:p w14:paraId="4BFF6BB7" w14:textId="77777777" w:rsidR="0072615D" w:rsidRDefault="0072615D">
            <w:pPr>
              <w:rPr>
                <w:sz w:val="10"/>
                <w:szCs w:val="10"/>
              </w:rPr>
            </w:pPr>
          </w:p>
        </w:tc>
        <w:tc>
          <w:tcPr>
            <w:tcW w:w="1301" w:type="dxa"/>
            <w:shd w:val="clear" w:color="auto" w:fill="FFFFFF"/>
          </w:tcPr>
          <w:p w14:paraId="20D42339" w14:textId="77777777" w:rsidR="0072615D" w:rsidRDefault="0072615D">
            <w:pPr>
              <w:rPr>
                <w:sz w:val="10"/>
                <w:szCs w:val="10"/>
              </w:rPr>
            </w:pPr>
          </w:p>
        </w:tc>
      </w:tr>
      <w:tr w:rsidR="0072615D" w14:paraId="043528CE" w14:textId="77777777">
        <w:tblPrEx>
          <w:tblCellMar>
            <w:top w:w="0" w:type="dxa"/>
            <w:bottom w:w="0" w:type="dxa"/>
          </w:tblCellMar>
        </w:tblPrEx>
        <w:trPr>
          <w:trHeight w:hRule="exact" w:val="230"/>
          <w:jc w:val="center"/>
        </w:trPr>
        <w:tc>
          <w:tcPr>
            <w:tcW w:w="1867" w:type="dxa"/>
            <w:tcBorders>
              <w:bottom w:val="single" w:sz="4" w:space="0" w:color="auto"/>
            </w:tcBorders>
            <w:shd w:val="clear" w:color="auto" w:fill="FFFFFF"/>
          </w:tcPr>
          <w:p w14:paraId="1E6DCF5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tipo b</w:t>
            </w:r>
          </w:p>
        </w:tc>
        <w:tc>
          <w:tcPr>
            <w:tcW w:w="2069" w:type="dxa"/>
            <w:tcBorders>
              <w:bottom w:val="single" w:sz="4" w:space="0" w:color="auto"/>
            </w:tcBorders>
            <w:shd w:val="clear" w:color="auto" w:fill="FFFFFF"/>
          </w:tcPr>
          <w:p w14:paraId="75B74085"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20 000</w:t>
            </w:r>
            <w:r>
              <w:rPr>
                <w:rFonts w:ascii="Times New Roman" w:eastAsia="Times New Roman" w:hAnsi="Times New Roman" w:cs="Times New Roman"/>
                <w:sz w:val="16"/>
                <w:szCs w:val="16"/>
                <w:vertAlign w:val="superscript"/>
              </w:rPr>
              <w:t>11</w:t>
            </w:r>
          </w:p>
        </w:tc>
        <w:tc>
          <w:tcPr>
            <w:tcW w:w="1440" w:type="dxa"/>
            <w:tcBorders>
              <w:bottom w:val="single" w:sz="4" w:space="0" w:color="auto"/>
            </w:tcBorders>
            <w:shd w:val="clear" w:color="auto" w:fill="FFFFFF"/>
          </w:tcPr>
          <w:p w14:paraId="12333650"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181</w:t>
            </w:r>
            <w:r>
              <w:rPr>
                <w:rFonts w:ascii="Times New Roman" w:eastAsia="Times New Roman" w:hAnsi="Times New Roman" w:cs="Times New Roman"/>
                <w:sz w:val="16"/>
                <w:szCs w:val="16"/>
                <w:vertAlign w:val="superscript"/>
              </w:rPr>
              <w:t>12</w:t>
            </w:r>
          </w:p>
        </w:tc>
        <w:tc>
          <w:tcPr>
            <w:tcW w:w="1301" w:type="dxa"/>
            <w:tcBorders>
              <w:bottom w:val="single" w:sz="4" w:space="0" w:color="auto"/>
            </w:tcBorders>
            <w:shd w:val="clear" w:color="auto" w:fill="FFFFFF"/>
          </w:tcPr>
          <w:p w14:paraId="51B7689D"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&gt;99</w:t>
            </w:r>
          </w:p>
        </w:tc>
      </w:tr>
    </w:tbl>
    <w:p w14:paraId="066B0B2E" w14:textId="77777777" w:rsidR="0072615D" w:rsidRDefault="0072615D">
      <w:pPr>
        <w:spacing w:after="179" w:line="1" w:lineRule="exact"/>
      </w:pPr>
    </w:p>
    <w:p w14:paraId="53989ADB" w14:textId="77777777" w:rsidR="0072615D" w:rsidRDefault="0072615D">
      <w:pPr>
        <w:pStyle w:val="Bodytext20"/>
        <w:numPr>
          <w:ilvl w:val="0"/>
          <w:numId w:val="17"/>
        </w:numPr>
        <w:pBdr>
          <w:top w:val="single" w:sz="4" w:space="0" w:color="auto"/>
        </w:pBdr>
        <w:tabs>
          <w:tab w:val="left" w:pos="333"/>
        </w:tabs>
        <w:spacing w:line="252" w:lineRule="auto"/>
        <w:ind w:left="360" w:hanging="220"/>
        <w:rPr>
          <w:sz w:val="15"/>
          <w:szCs w:val="15"/>
        </w:rPr>
      </w:pPr>
      <w:bookmarkStart w:id="46" w:name="bookmark46"/>
      <w:bookmarkEnd w:id="46"/>
      <w:r>
        <w:rPr>
          <w:sz w:val="15"/>
          <w:szCs w:val="15"/>
        </w:rPr>
        <w:t>Adaptado de Centers for Disease Control and Prevention. Impact of Vaccines universally recommended for children-United States, 1990-1998. MMWR Morb Mortal Wkly Rep. 1999;48:243-248; y Centers for Disease Control and Prevention. Notice to readers: final 2001 reports of notifiable diseases. MMWR Morb Mortal Wkly Rep. 2002;51:710.</w:t>
      </w:r>
    </w:p>
    <w:p w14:paraId="2079B7C6" w14:textId="77777777" w:rsidR="0072615D" w:rsidRDefault="0072615D">
      <w:pPr>
        <w:pStyle w:val="Bodytext20"/>
        <w:numPr>
          <w:ilvl w:val="0"/>
          <w:numId w:val="17"/>
        </w:numPr>
        <w:tabs>
          <w:tab w:val="left" w:pos="333"/>
        </w:tabs>
        <w:spacing w:line="252" w:lineRule="auto"/>
        <w:rPr>
          <w:sz w:val="15"/>
          <w:szCs w:val="15"/>
        </w:rPr>
      </w:pPr>
      <w:bookmarkStart w:id="47" w:name="bookmark47"/>
      <w:bookmarkEnd w:id="47"/>
      <w:r>
        <w:rPr>
          <w:sz w:val="15"/>
          <w:szCs w:val="15"/>
        </w:rPr>
        <w:t>Cifra anual promedio de casos durante 1900-1904.</w:t>
      </w:r>
    </w:p>
    <w:p w14:paraId="788BF633" w14:textId="77777777" w:rsidR="0072615D" w:rsidRDefault="0072615D">
      <w:pPr>
        <w:pStyle w:val="Bodytext20"/>
        <w:numPr>
          <w:ilvl w:val="0"/>
          <w:numId w:val="17"/>
        </w:numPr>
        <w:tabs>
          <w:tab w:val="left" w:pos="333"/>
        </w:tabs>
        <w:spacing w:line="252" w:lineRule="auto"/>
        <w:rPr>
          <w:sz w:val="15"/>
          <w:szCs w:val="15"/>
        </w:rPr>
      </w:pPr>
      <w:bookmarkStart w:id="48" w:name="bookmark48"/>
      <w:bookmarkEnd w:id="48"/>
      <w:r>
        <w:rPr>
          <w:sz w:val="15"/>
          <w:szCs w:val="15"/>
        </w:rPr>
        <w:t>Cifra anual promedio de casos notificados durante 1920-1922, tres años antes de contar con la vacuna.</w:t>
      </w:r>
    </w:p>
    <w:p w14:paraId="2C71097A" w14:textId="77777777" w:rsidR="0072615D" w:rsidRDefault="0072615D">
      <w:pPr>
        <w:pStyle w:val="Bodytext20"/>
        <w:numPr>
          <w:ilvl w:val="0"/>
          <w:numId w:val="17"/>
        </w:numPr>
        <w:tabs>
          <w:tab w:val="left" w:pos="333"/>
        </w:tabs>
        <w:spacing w:line="252" w:lineRule="auto"/>
        <w:rPr>
          <w:sz w:val="15"/>
          <w:szCs w:val="15"/>
        </w:rPr>
      </w:pPr>
      <w:bookmarkStart w:id="49" w:name="bookmark49"/>
      <w:bookmarkEnd w:id="49"/>
      <w:r>
        <w:rPr>
          <w:sz w:val="15"/>
          <w:szCs w:val="15"/>
        </w:rPr>
        <w:t>Cifra anual promedio de casos notificados durante 1922-1925, cuatro años antes de contar con la vacuna.</w:t>
      </w:r>
    </w:p>
    <w:p w14:paraId="0785460B" w14:textId="77777777" w:rsidR="0072615D" w:rsidRDefault="0072615D">
      <w:pPr>
        <w:pStyle w:val="Bodytext20"/>
        <w:numPr>
          <w:ilvl w:val="0"/>
          <w:numId w:val="17"/>
        </w:numPr>
        <w:tabs>
          <w:tab w:val="left" w:pos="333"/>
        </w:tabs>
        <w:spacing w:line="252" w:lineRule="auto"/>
        <w:ind w:left="360" w:hanging="220"/>
        <w:rPr>
          <w:sz w:val="15"/>
          <w:szCs w:val="15"/>
        </w:rPr>
      </w:pPr>
      <w:bookmarkStart w:id="50" w:name="bookmark50"/>
      <w:bookmarkEnd w:id="50"/>
      <w:r>
        <w:rPr>
          <w:sz w:val="15"/>
          <w:szCs w:val="15"/>
        </w:rPr>
        <w:t>Número estimado de casos con base en el número notificado de muertes durante 1922-1926, en el supuesto de que hubo una cifra de letalidad de 90 por ciento.</w:t>
      </w:r>
    </w:p>
    <w:p w14:paraId="1EDCDABB" w14:textId="77777777" w:rsidR="0072615D" w:rsidRDefault="0072615D">
      <w:pPr>
        <w:pStyle w:val="Bodytext20"/>
        <w:numPr>
          <w:ilvl w:val="0"/>
          <w:numId w:val="17"/>
        </w:numPr>
        <w:tabs>
          <w:tab w:val="left" w:pos="333"/>
        </w:tabs>
        <w:spacing w:line="252" w:lineRule="auto"/>
        <w:ind w:left="360" w:hanging="220"/>
        <w:rPr>
          <w:sz w:val="15"/>
          <w:szCs w:val="15"/>
        </w:rPr>
      </w:pPr>
      <w:bookmarkStart w:id="51" w:name="bookmark51"/>
      <w:bookmarkEnd w:id="51"/>
      <w:r>
        <w:rPr>
          <w:sz w:val="15"/>
          <w:szCs w:val="15"/>
        </w:rPr>
        <w:t>Cifra anual promedio de casos notificados durante 1951-1954, cuatro años antes de que se aprobara la distribución de la vacuna.</w:t>
      </w:r>
    </w:p>
    <w:p w14:paraId="19BFFD65" w14:textId="77777777" w:rsidR="0072615D" w:rsidRDefault="0072615D">
      <w:pPr>
        <w:pStyle w:val="Bodytext20"/>
        <w:numPr>
          <w:ilvl w:val="0"/>
          <w:numId w:val="17"/>
        </w:numPr>
        <w:tabs>
          <w:tab w:val="left" w:pos="333"/>
        </w:tabs>
        <w:spacing w:line="252" w:lineRule="auto"/>
        <w:ind w:left="360" w:hanging="220"/>
        <w:rPr>
          <w:sz w:val="15"/>
          <w:szCs w:val="15"/>
        </w:rPr>
      </w:pPr>
      <w:bookmarkStart w:id="52" w:name="bookmark52"/>
      <w:bookmarkEnd w:id="52"/>
      <w:r>
        <w:rPr>
          <w:sz w:val="15"/>
          <w:szCs w:val="15"/>
        </w:rPr>
        <w:t>Cifra anual promedio de casos notificados durante 1958-1962, cinco años antes de que se aprobara la distribución de la vacuna.</w:t>
      </w:r>
    </w:p>
    <w:p w14:paraId="7568CDC6" w14:textId="77777777" w:rsidR="0072615D" w:rsidRDefault="0072615D">
      <w:pPr>
        <w:pStyle w:val="Bodytext20"/>
        <w:numPr>
          <w:ilvl w:val="0"/>
          <w:numId w:val="17"/>
        </w:numPr>
        <w:tabs>
          <w:tab w:val="left" w:pos="333"/>
        </w:tabs>
        <w:spacing w:line="252" w:lineRule="auto"/>
        <w:ind w:left="360" w:hanging="220"/>
        <w:rPr>
          <w:sz w:val="15"/>
          <w:szCs w:val="15"/>
        </w:rPr>
      </w:pPr>
      <w:bookmarkStart w:id="53" w:name="bookmark53"/>
      <w:bookmarkEnd w:id="53"/>
      <w:r>
        <w:rPr>
          <w:sz w:val="15"/>
          <w:szCs w:val="15"/>
        </w:rPr>
        <w:t>Cifra de casos notificados en 1968, el primer año en que comenzó la notificación y el primero después de que se aprobó la distribución de la vacuna.</w:t>
      </w:r>
    </w:p>
    <w:p w14:paraId="50AB2D13" w14:textId="77777777" w:rsidR="0072615D" w:rsidRDefault="0072615D">
      <w:pPr>
        <w:pStyle w:val="Bodytext20"/>
        <w:numPr>
          <w:ilvl w:val="0"/>
          <w:numId w:val="17"/>
        </w:numPr>
        <w:tabs>
          <w:tab w:val="left" w:pos="333"/>
        </w:tabs>
        <w:spacing w:line="252" w:lineRule="auto"/>
        <w:ind w:left="360" w:hanging="220"/>
        <w:rPr>
          <w:sz w:val="15"/>
          <w:szCs w:val="15"/>
        </w:rPr>
      </w:pPr>
      <w:bookmarkStart w:id="54" w:name="bookmark54"/>
      <w:bookmarkEnd w:id="54"/>
      <w:r>
        <w:rPr>
          <w:sz w:val="15"/>
          <w:szCs w:val="15"/>
        </w:rPr>
        <w:t>Cifra anual promedio de casos notificados durante 1966-1968, tres años antes de que se aprobara la distribución de la vacuna.</w:t>
      </w:r>
    </w:p>
    <w:p w14:paraId="51ED0D64" w14:textId="77777777" w:rsidR="0072615D" w:rsidRDefault="0072615D">
      <w:pPr>
        <w:pStyle w:val="Bodytext20"/>
        <w:numPr>
          <w:ilvl w:val="0"/>
          <w:numId w:val="17"/>
        </w:numPr>
        <w:tabs>
          <w:tab w:val="left" w:pos="357"/>
        </w:tabs>
        <w:spacing w:line="329" w:lineRule="auto"/>
        <w:ind w:left="360" w:hanging="220"/>
        <w:rPr>
          <w:sz w:val="15"/>
          <w:szCs w:val="15"/>
        </w:rPr>
      </w:pPr>
      <w:bookmarkStart w:id="55" w:name="bookmark55"/>
      <w:bookmarkEnd w:id="55"/>
      <w:r>
        <w:rPr>
          <w:sz w:val="15"/>
          <w:szCs w:val="15"/>
        </w:rPr>
        <w:t>Cifra estimada de casos con base en datos de seroprevalencia en la población y del peligro de que las mujeres infectadas durante el año de procreación procrearan un feto con síndrome congénito de rubéola.</w:t>
      </w:r>
    </w:p>
    <w:p w14:paraId="0E2786DA" w14:textId="77777777" w:rsidR="0072615D" w:rsidRDefault="0072615D">
      <w:pPr>
        <w:pStyle w:val="Bodytext20"/>
        <w:numPr>
          <w:ilvl w:val="0"/>
          <w:numId w:val="17"/>
        </w:numPr>
        <w:tabs>
          <w:tab w:val="left" w:pos="357"/>
        </w:tabs>
        <w:spacing w:line="329" w:lineRule="auto"/>
        <w:ind w:left="360" w:hanging="220"/>
        <w:rPr>
          <w:sz w:val="15"/>
          <w:szCs w:val="15"/>
        </w:rPr>
      </w:pPr>
      <w:bookmarkStart w:id="56" w:name="bookmark56"/>
      <w:bookmarkEnd w:id="56"/>
      <w:r>
        <w:rPr>
          <w:sz w:val="15"/>
          <w:szCs w:val="15"/>
        </w:rPr>
        <w:t>Cifra estimada de casos, obtenida de estudios de vigilancia poblacional antes de que se aprobara la distribución de la vacuna en 1985.</w:t>
      </w:r>
    </w:p>
    <w:p w14:paraId="1D6D24A7" w14:textId="77777777" w:rsidR="0072615D" w:rsidRDefault="0072615D">
      <w:pPr>
        <w:pStyle w:val="Bodytext20"/>
        <w:numPr>
          <w:ilvl w:val="0"/>
          <w:numId w:val="17"/>
        </w:numPr>
        <w:tabs>
          <w:tab w:val="left" w:pos="357"/>
        </w:tabs>
        <w:spacing w:after="480" w:line="329" w:lineRule="auto"/>
        <w:ind w:left="360" w:hanging="220"/>
        <w:rPr>
          <w:sz w:val="15"/>
          <w:szCs w:val="15"/>
        </w:rPr>
      </w:pPr>
      <w:bookmarkStart w:id="57" w:name="bookmark57"/>
      <w:bookmarkEnd w:id="57"/>
      <w:r>
        <w:rPr>
          <w:sz w:val="15"/>
          <w:szCs w:val="15"/>
        </w:rPr>
        <w:t xml:space="preserve">Representa enfermedad invasora en niños menores de cinco años e incluye cepas de </w:t>
      </w:r>
      <w:r>
        <w:rPr>
          <w:i/>
          <w:iCs/>
          <w:sz w:val="15"/>
          <w:szCs w:val="15"/>
        </w:rPr>
        <w:t xml:space="preserve">H. influenzae </w:t>
      </w:r>
      <w:r>
        <w:rPr>
          <w:sz w:val="15"/>
          <w:szCs w:val="15"/>
        </w:rPr>
        <w:t>que no fueron serotipificadas.</w:t>
      </w:r>
    </w:p>
    <w:p w14:paraId="7F23CAC5" w14:textId="77777777" w:rsidR="0072615D" w:rsidRDefault="0072615D">
      <w:pPr>
        <w:pStyle w:val="Other0"/>
        <w:spacing w:after="240" w:line="240" w:lineRule="auto"/>
        <w:ind w:firstLine="460"/>
        <w:rPr>
          <w:sz w:val="26"/>
          <w:szCs w:val="26"/>
        </w:rPr>
      </w:pPr>
      <w:r>
        <w:rPr>
          <w:rFonts w:ascii="Times New Roman" w:eastAsia="Times New Roman" w:hAnsi="Times New Roman" w:cs="Times New Roman"/>
          <w:sz w:val="26"/>
          <w:szCs w:val="26"/>
        </w:rPr>
        <w:t>FUENTES DE INFORMACIÓN SOBRE VACUNAS</w:t>
      </w:r>
    </w:p>
    <w:p w14:paraId="1B26D8EF" w14:textId="77777777" w:rsidR="0072615D" w:rsidRDefault="0072615D">
      <w:pPr>
        <w:pStyle w:val="BodyText"/>
        <w:spacing w:after="200"/>
        <w:ind w:firstLine="0"/>
        <w:sectPr w:rsidR="0072615D" w:rsidSect="0072615D">
          <w:headerReference w:type="even" r:id="rId20"/>
          <w:headerReference w:type="default" r:id="rId21"/>
          <w:footnotePr>
            <w:numFmt w:val="chicago"/>
          </w:footnotePr>
          <w:type w:val="continuous"/>
          <w:pgSz w:w="8501" w:h="13022"/>
          <w:pgMar w:top="687" w:right="827" w:bottom="464" w:left="805" w:header="0" w:footer="36" w:gutter="0"/>
          <w:cols w:space="720"/>
          <w:noEndnote/>
          <w:docGrid w:linePitch="360"/>
          <w15:footnoteColumns w:val="1"/>
        </w:sectPr>
      </w:pPr>
      <w:r>
        <w:t>Además de la obra presente, que se publica aproximadamente cada tres años, los médicos deben recurrir a publicaciones fundadas en pruebas científicas y otras fuentes de datos para dilucidar dudas específicas respecto de las vacunas en la práctica. Las fuentes mencionadas (válidas para Estados Unidos, pero que incluimos para mayor información del lector, ante las amplísimas redes de comunicación actuales) comprenden:</w:t>
      </w:r>
    </w:p>
    <w:p w14:paraId="3C5D1BEC" w14:textId="77777777" w:rsidR="0072615D" w:rsidRDefault="0072615D">
      <w:pPr>
        <w:pStyle w:val="BodyText"/>
        <w:spacing w:line="286" w:lineRule="auto"/>
        <w:ind w:left="360"/>
      </w:pPr>
      <w:r>
        <w:rPr>
          <w:rFonts w:ascii="Times New Roman" w:eastAsia="Times New Roman" w:hAnsi="Times New Roman" w:cs="Times New Roman"/>
          <w:b/>
          <w:bCs/>
          <w:i/>
          <w:iCs/>
          <w:sz w:val="16"/>
          <w:szCs w:val="16"/>
        </w:rPr>
        <w:t>Pediatrics.</w:t>
      </w:r>
      <w:r>
        <w:t xml:space="preserve"> En esta revista, que sale a la luz en el lapso intermedio de una y otra ediciones de </w:t>
      </w:r>
      <w:r>
        <w:rPr>
          <w:rFonts w:ascii="Times New Roman" w:eastAsia="Times New Roman" w:hAnsi="Times New Roman" w:cs="Times New Roman"/>
          <w:i/>
          <w:iCs/>
          <w:sz w:val="16"/>
          <w:szCs w:val="16"/>
        </w:rPr>
        <w:t>Red Book</w:t>
      </w:r>
      <w:r>
        <w:rPr>
          <w:i/>
          <w:iCs/>
        </w:rPr>
        <w:t>,</w:t>
      </w:r>
      <w:r>
        <w:t xml:space="preserve"> hay declaraciones normativas emitidas por el </w:t>
      </w:r>
      <w:r>
        <w:rPr>
          <w:rFonts w:ascii="Times New Roman" w:eastAsia="Times New Roman" w:hAnsi="Times New Roman" w:cs="Times New Roman"/>
          <w:i/>
          <w:iCs/>
          <w:sz w:val="16"/>
          <w:szCs w:val="16"/>
        </w:rPr>
        <w:t>Committee on Infectious Diseases</w:t>
      </w:r>
      <w:r>
        <w:t xml:space="preserve"> (COID) que ofrecen recomendaciones actualizadas. Las declaraciones en cuestión también se publican en una página </w:t>
      </w:r>
      <w:r>
        <w:rPr>
          <w:rFonts w:ascii="Times New Roman" w:eastAsia="Times New Roman" w:hAnsi="Times New Roman" w:cs="Times New Roman"/>
          <w:i/>
          <w:iCs/>
          <w:sz w:val="16"/>
          <w:szCs w:val="16"/>
        </w:rPr>
        <w:t>Web</w:t>
      </w:r>
      <w:r>
        <w:t xml:space="preserve"> de </w:t>
      </w:r>
      <w:r>
        <w:rPr>
          <w:rFonts w:ascii="Times New Roman" w:eastAsia="Times New Roman" w:hAnsi="Times New Roman" w:cs="Times New Roman"/>
          <w:i/>
          <w:iCs/>
          <w:sz w:val="16"/>
          <w:szCs w:val="16"/>
        </w:rPr>
        <w:t>the American Academy of Pediatrics</w:t>
      </w:r>
      <w:r>
        <w:t xml:space="preserve"> (AAP) (</w:t>
      </w:r>
      <w:hyperlink r:id="rId22" w:history="1">
        <w:r>
          <w:t>www.aap.org</w:t>
        </w:r>
      </w:hyperlink>
      <w:r>
        <w:t>).</w:t>
      </w:r>
    </w:p>
    <w:p w14:paraId="5B04F111" w14:textId="77777777" w:rsidR="0072615D" w:rsidRDefault="0072615D">
      <w:pPr>
        <w:pStyle w:val="BodyText"/>
        <w:ind w:left="360" w:firstLine="400"/>
      </w:pPr>
      <w:r>
        <w:t xml:space="preserve">Los calendarios de vacunación actualizados y recomendados para niños y adolescentes en Estados Unidos se publican cada año en el número de enero de </w:t>
      </w:r>
      <w:r>
        <w:rPr>
          <w:rFonts w:ascii="Times New Roman" w:eastAsia="Times New Roman" w:hAnsi="Times New Roman" w:cs="Times New Roman"/>
          <w:i/>
          <w:iCs/>
          <w:sz w:val="16"/>
          <w:szCs w:val="16"/>
        </w:rPr>
        <w:t xml:space="preserve">Pediatrics </w:t>
      </w:r>
      <w:r>
        <w:t xml:space="preserve">y en otros sitios (véase “Calendario de vacunaciones” más adelante en esta sección). </w:t>
      </w:r>
      <w:r>
        <w:rPr>
          <w:rFonts w:ascii="Times New Roman" w:eastAsia="Times New Roman" w:hAnsi="Times New Roman" w:cs="Times New Roman"/>
          <w:b/>
          <w:bCs/>
          <w:i/>
          <w:iCs/>
          <w:sz w:val="16"/>
          <w:szCs w:val="16"/>
        </w:rPr>
        <w:t>AAP News.</w:t>
      </w:r>
      <w:r>
        <w:t xml:space="preserve"> Las declaraciones normativas (o a veces resúmenes) hechas por COID suelen ser publicadas inicialmente en AAP </w:t>
      </w:r>
      <w:r>
        <w:rPr>
          <w:rFonts w:ascii="Times New Roman" w:eastAsia="Times New Roman" w:hAnsi="Times New Roman" w:cs="Times New Roman"/>
          <w:i/>
          <w:iCs/>
          <w:sz w:val="16"/>
          <w:szCs w:val="16"/>
        </w:rPr>
        <w:t>News</w:t>
      </w:r>
      <w:r>
        <w:t xml:space="preserve"> que es la publicación mensual de la Academia para informar a sus miembros inmediatamente sobre las nuevas reco</w:t>
      </w:r>
      <w:r>
        <w:softHyphen/>
        <w:t>mendaciones.</w:t>
      </w:r>
    </w:p>
    <w:p w14:paraId="67A10C30" w14:textId="77777777" w:rsidR="0072615D" w:rsidRDefault="0072615D">
      <w:pPr>
        <w:pStyle w:val="BodyText"/>
        <w:spacing w:line="283" w:lineRule="auto"/>
        <w:ind w:left="360"/>
      </w:pPr>
      <w:r>
        <w:rPr>
          <w:rFonts w:ascii="Times New Roman" w:eastAsia="Times New Roman" w:hAnsi="Times New Roman" w:cs="Times New Roman"/>
          <w:b/>
          <w:bCs/>
          <w:i/>
          <w:iCs/>
          <w:sz w:val="16"/>
          <w:szCs w:val="16"/>
        </w:rPr>
        <w:t>Morbidity and Mortality Weekly Report (MMWR).</w:t>
      </w:r>
      <w:r>
        <w:t xml:space="preserve"> Publicación semanal de los </w:t>
      </w:r>
      <w:r>
        <w:rPr>
          <w:rFonts w:ascii="Times New Roman" w:eastAsia="Times New Roman" w:hAnsi="Times New Roman" w:cs="Times New Roman"/>
          <w:i/>
          <w:iCs/>
          <w:sz w:val="16"/>
          <w:szCs w:val="16"/>
        </w:rPr>
        <w:t>Centers for Disease Control and Prevention</w:t>
      </w:r>
      <w:r>
        <w:t xml:space="preserve"> (CDC), que contiene recomendaciones actuales sobre vacunas, notificaciones de actividad en enfermedades específicas, palabras de alerta sobre la disponibilidad de la vacuna, cambios en las presentaciones e inocuidad, modificaciones en las declaraciones normativas y otros datos sobre enfermedades infecciosas y vacunas. Las recomendaciones del </w:t>
      </w:r>
      <w:r>
        <w:rPr>
          <w:rFonts w:ascii="Times New Roman" w:eastAsia="Times New Roman" w:hAnsi="Times New Roman" w:cs="Times New Roman"/>
          <w:i/>
          <w:iCs/>
          <w:sz w:val="16"/>
          <w:szCs w:val="16"/>
        </w:rPr>
        <w:t>Advisory Committee on Immunization Practices</w:t>
      </w:r>
      <w:r>
        <w:t xml:space="preserve"> (ACIP) de los CDC se publican periódicamente, a me</w:t>
      </w:r>
      <w:r>
        <w:softHyphen/>
        <w:t xml:space="preserve">nudo en la forma de suplementos, y se incluyen en la página </w:t>
      </w:r>
      <w:r>
        <w:rPr>
          <w:rFonts w:ascii="Times New Roman" w:eastAsia="Times New Roman" w:hAnsi="Times New Roman" w:cs="Times New Roman"/>
          <w:i/>
          <w:iCs/>
          <w:sz w:val="16"/>
          <w:szCs w:val="16"/>
        </w:rPr>
        <w:t>Web</w:t>
      </w:r>
      <w:r>
        <w:t xml:space="preserve"> de los CDC (</w:t>
      </w:r>
      <w:hyperlink r:id="rId23" w:history="1">
        <w:r>
          <w:t>www.cdc.gov/mmwr</w:t>
        </w:r>
      </w:hyperlink>
      <w:r>
        <w:t>).</w:t>
      </w:r>
    </w:p>
    <w:p w14:paraId="285D86AC" w14:textId="77777777" w:rsidR="0072615D" w:rsidRDefault="0072615D">
      <w:pPr>
        <w:pStyle w:val="BodyText"/>
        <w:spacing w:line="276" w:lineRule="auto"/>
        <w:ind w:left="360"/>
      </w:pPr>
      <w:r>
        <w:rPr>
          <w:b/>
          <w:bCs/>
        </w:rPr>
        <w:t xml:space="preserve">Información de los fabricantes (en las etiquetas de los fármacos). </w:t>
      </w:r>
      <w:r>
        <w:t xml:space="preserve">Los fabricantes aportan datos específicos con cada vacuna. La información también se publica en Estados Unidos en el número anual de </w:t>
      </w:r>
      <w:r>
        <w:rPr>
          <w:rFonts w:ascii="Times New Roman" w:eastAsia="Times New Roman" w:hAnsi="Times New Roman" w:cs="Times New Roman"/>
          <w:i/>
          <w:iCs/>
          <w:sz w:val="16"/>
          <w:szCs w:val="16"/>
        </w:rPr>
        <w:t>Physicians’ Desk Reference (Medical Economics, Montvale, NJ)</w:t>
      </w:r>
      <w:r>
        <w:t xml:space="preserve"> (y en publicaciones de este tipo en países de habla hispana). La información del fabricante debe cumplir absolutamente con las normas de la </w:t>
      </w:r>
      <w:r>
        <w:rPr>
          <w:rFonts w:ascii="Times New Roman" w:eastAsia="Times New Roman" w:hAnsi="Times New Roman" w:cs="Times New Roman"/>
          <w:i/>
          <w:iCs/>
          <w:sz w:val="16"/>
          <w:szCs w:val="16"/>
        </w:rPr>
        <w:t>US Food and Drug Administration (FDA)</w:t>
      </w:r>
      <w:r>
        <w:t xml:space="preserve"> en cuanto a los datos que deben acompañar a todo fármaco que se adquiera con receta, que incluyen indicaciones y uso, dosis, vía de administración, aspectos de farmacología clínica, contraindicaciones y reacciones adversas. La información del fabricante señala el contenido de cada vacuna, e incluye conservadores, estabilizadores, agentes antimicrobianos, coadyuvantes y líquidos para suspensión, todos los cuales pueden originar inflamación o desencadenar una respuesta alérgica. Los profesionales encargados de la atención de la salud deben conocer en detalle las características y datos que acompañan a cada producto que administran. Casi todos los fabricantes tienen páginas </w:t>
      </w:r>
      <w:r>
        <w:rPr>
          <w:rFonts w:ascii="Times New Roman" w:eastAsia="Times New Roman" w:hAnsi="Times New Roman" w:cs="Times New Roman"/>
          <w:i/>
          <w:iCs/>
          <w:sz w:val="16"/>
          <w:szCs w:val="16"/>
        </w:rPr>
        <w:t>Web</w:t>
      </w:r>
      <w:r>
        <w:t xml:space="preserve"> con información actual sobre las nuevas vacunas en el mercado y los cambios en la información de la etiqueta. Además, en Estados Unidos se cuenta en el caso de </w:t>
      </w:r>
      <w:r>
        <w:rPr>
          <w:rFonts w:ascii="Times New Roman" w:eastAsia="Times New Roman" w:hAnsi="Times New Roman" w:cs="Times New Roman"/>
          <w:i/>
          <w:iCs/>
          <w:sz w:val="16"/>
          <w:szCs w:val="16"/>
        </w:rPr>
        <w:t>Physicians’ Desk Reference</w:t>
      </w:r>
      <w:r>
        <w:t xml:space="preserve"> con números telefónicos para contacto las 24 h en caso de dudas clínicas (</w:t>
      </w:r>
      <w:hyperlink r:id="rId24" w:history="1">
        <w:r>
          <w:t>http://pdrel.thomsonhc.com/pdrel/librarian/action/command</w:t>
        </w:r>
      </w:hyperlink>
      <w:r>
        <w:t>. Command).</w:t>
      </w:r>
    </w:p>
    <w:p w14:paraId="27044A47" w14:textId="77777777" w:rsidR="0072615D" w:rsidRDefault="0072615D">
      <w:pPr>
        <w:pStyle w:val="BodyText"/>
        <w:spacing w:line="276" w:lineRule="auto"/>
        <w:ind w:left="360"/>
      </w:pPr>
      <w:r>
        <w:rPr>
          <w:rFonts w:ascii="Times New Roman" w:eastAsia="Times New Roman" w:hAnsi="Times New Roman" w:cs="Times New Roman"/>
          <w:b/>
          <w:bCs/>
          <w:i/>
          <w:iCs/>
          <w:sz w:val="16"/>
          <w:szCs w:val="16"/>
        </w:rPr>
        <w:t>Health Information for International Travel.</w:t>
      </w:r>
      <w:r>
        <w:t xml:space="preserve"> Monografía útil publicada por los CDC aproximadamente cada dos años para orientar en las normas obligatorias respecto de inmunizaciones específicas en diversos países. La monografía también aporta información sobre otras vacunas recomendadas para cuando se viaja a áreas precisas, así como otros datos para viajeros. El documento se adquiere en </w:t>
      </w:r>
      <w:r>
        <w:rPr>
          <w:rFonts w:ascii="Times New Roman" w:eastAsia="Times New Roman" w:hAnsi="Times New Roman" w:cs="Times New Roman"/>
          <w:i/>
          <w:iCs/>
          <w:sz w:val="16"/>
          <w:szCs w:val="16"/>
        </w:rPr>
        <w:t>Superintendent of Documents, US Government Printing Office</w:t>
      </w:r>
      <w:r>
        <w:rPr>
          <w:i/>
          <w:iCs/>
        </w:rPr>
        <w:t>,</w:t>
      </w:r>
      <w:r>
        <w:t xml:space="preserve"> Washington, DC 20402-9235. También se puede obtener los datos de la página </w:t>
      </w:r>
      <w:r>
        <w:rPr>
          <w:rFonts w:ascii="Times New Roman" w:eastAsia="Times New Roman" w:hAnsi="Times New Roman" w:cs="Times New Roman"/>
          <w:i/>
          <w:iCs/>
          <w:sz w:val="16"/>
          <w:szCs w:val="16"/>
        </w:rPr>
        <w:t>Web</w:t>
      </w:r>
      <w:r>
        <w:t xml:space="preserve"> de los CDC (</w:t>
      </w:r>
      <w:hyperlink r:id="rId25" w:history="1">
        <w:r>
          <w:t>www.cdc.gov/travel</w:t>
        </w:r>
      </w:hyperlink>
      <w:r>
        <w:t>). Para mayor información al respecto consúltese el apartado de “Viajes internacionales” más adelante en esta sección.</w:t>
      </w:r>
    </w:p>
    <w:p w14:paraId="6AA25ECE" w14:textId="77777777" w:rsidR="0072615D" w:rsidRDefault="0072615D">
      <w:pPr>
        <w:pStyle w:val="BodyText"/>
        <w:numPr>
          <w:ilvl w:val="0"/>
          <w:numId w:val="15"/>
        </w:numPr>
        <w:tabs>
          <w:tab w:val="left" w:pos="337"/>
        </w:tabs>
        <w:ind w:left="360" w:hanging="360"/>
        <w:rPr>
          <w:sz w:val="16"/>
          <w:szCs w:val="16"/>
        </w:rPr>
      </w:pPr>
      <w:bookmarkStart w:id="58" w:name="bookmark58"/>
      <w:bookmarkEnd w:id="58"/>
      <w:r>
        <w:rPr>
          <w:b/>
          <w:bCs/>
        </w:rPr>
        <w:t xml:space="preserve">Materiales de CDC. </w:t>
      </w:r>
      <w:r>
        <w:t xml:space="preserve">El texto </w:t>
      </w:r>
      <w:r>
        <w:rPr>
          <w:rFonts w:ascii="Times New Roman" w:eastAsia="Times New Roman" w:hAnsi="Times New Roman" w:cs="Times New Roman"/>
          <w:i/>
          <w:iCs/>
          <w:sz w:val="16"/>
          <w:szCs w:val="16"/>
        </w:rPr>
        <w:t>Epidemiology and Prevention of Vaccine-Preventable Diseases</w:t>
      </w:r>
      <w:r>
        <w:t xml:space="preserve"> (7a. edición, 2002) publicado por los CDC, rinde información detallada del uso y la administración de vacunas a niños y también declaraciones escogidas de ACIP y otros datos vinculados con vacunas (si se desea obtener copias, dirigirse a </w:t>
      </w:r>
      <w:r>
        <w:rPr>
          <w:rFonts w:ascii="Times New Roman" w:eastAsia="Times New Roman" w:hAnsi="Times New Roman" w:cs="Times New Roman"/>
          <w:i/>
          <w:iCs/>
          <w:sz w:val="16"/>
          <w:szCs w:val="16"/>
        </w:rPr>
        <w:t>the Public Health Foundation</w:t>
      </w:r>
      <w:r>
        <w:rPr>
          <w:i/>
          <w:iCs/>
        </w:rPr>
        <w:t>,</w:t>
      </w:r>
      <w:r>
        <w:t xml:space="preserve"> 877-252-1200 o visitar la página </w:t>
      </w:r>
      <w:hyperlink r:id="rId26" w:history="1">
        <w:r>
          <w:t>www.cdc.gov/</w:t>
        </w:r>
      </w:hyperlink>
      <w:r>
        <w:t xml:space="preserve"> nip/publications/pink). Una publicación de los CDC, </w:t>
      </w:r>
      <w:r>
        <w:rPr>
          <w:rFonts w:ascii="Times New Roman" w:eastAsia="Times New Roman" w:hAnsi="Times New Roman" w:cs="Times New Roman"/>
          <w:i/>
          <w:iCs/>
          <w:sz w:val="16"/>
          <w:szCs w:val="16"/>
        </w:rPr>
        <w:t>Manual for Surveillance of Vaccine-Preventable Diseases</w:t>
      </w:r>
      <w:r>
        <w:t xml:space="preserve">, también incluye datos sobre los principios utilizados para investigar y controlar brotes de enfermedad cuando disminuyen los niveles de inmunización. El llamado </w:t>
      </w:r>
      <w:r>
        <w:rPr>
          <w:rFonts w:ascii="Times New Roman" w:eastAsia="Times New Roman" w:hAnsi="Times New Roman" w:cs="Times New Roman"/>
          <w:i/>
          <w:iCs/>
          <w:sz w:val="16"/>
          <w:szCs w:val="16"/>
        </w:rPr>
        <w:t>National Immunization Program (NIP)</w:t>
      </w:r>
      <w:r>
        <w:t xml:space="preserve"> de los CDC publica diversos folletos sobre temas de inmunización y ha producido un CD-ROM que contiene recursos de muy diversa índole que comprenden declaraciones de información sobre vacunas </w:t>
      </w:r>
      <w:r>
        <w:rPr>
          <w:rFonts w:ascii="Times New Roman" w:eastAsia="Times New Roman" w:hAnsi="Times New Roman" w:cs="Times New Roman"/>
          <w:i/>
          <w:iCs/>
          <w:sz w:val="16"/>
          <w:szCs w:val="16"/>
        </w:rPr>
        <w:t>(vaccine information statements, VIS)</w:t>
      </w:r>
      <w:r>
        <w:t xml:space="preserve"> y el texto completo de los CDC. Para obtener materiales de dicha institución, deben solicitarse al 1-800-232-2522, número de fax 1-404-639-8828 o consúltese la página </w:t>
      </w:r>
      <w:r>
        <w:rPr>
          <w:rFonts w:ascii="Times New Roman" w:eastAsia="Times New Roman" w:hAnsi="Times New Roman" w:cs="Times New Roman"/>
          <w:i/>
          <w:iCs/>
          <w:sz w:val="16"/>
          <w:szCs w:val="16"/>
        </w:rPr>
        <w:t>Web</w:t>
      </w:r>
    </w:p>
    <w:p w14:paraId="721BFCF1" w14:textId="77777777" w:rsidR="0072615D" w:rsidRDefault="0072615D">
      <w:pPr>
        <w:pStyle w:val="BodyText"/>
        <w:ind w:firstLine="360"/>
      </w:pPr>
      <w:r>
        <w:t>de NIP (</w:t>
      </w:r>
      <w:hyperlink r:id="rId27" w:history="1">
        <w:r>
          <w:t>www.cdc.gov/nip</w:t>
        </w:r>
      </w:hyperlink>
      <w:r>
        <w:t>).</w:t>
      </w:r>
    </w:p>
    <w:p w14:paraId="36C3B046" w14:textId="77777777" w:rsidR="0072615D" w:rsidRDefault="0072615D">
      <w:pPr>
        <w:pStyle w:val="BodyText"/>
        <w:numPr>
          <w:ilvl w:val="0"/>
          <w:numId w:val="15"/>
        </w:numPr>
        <w:tabs>
          <w:tab w:val="left" w:pos="337"/>
        </w:tabs>
        <w:ind w:left="360" w:hanging="360"/>
      </w:pPr>
      <w:bookmarkStart w:id="59" w:name="bookmark59"/>
      <w:bookmarkEnd w:id="59"/>
      <w:r>
        <w:rPr>
          <w:b/>
          <w:bCs/>
        </w:rPr>
        <w:t xml:space="preserve">Comunicación por vía satélite y cursos de entrenamiento mediante la Web. </w:t>
      </w:r>
      <w:r>
        <w:t xml:space="preserve">En Estados Unidos, NIP, junto con la </w:t>
      </w:r>
      <w:r>
        <w:rPr>
          <w:rFonts w:ascii="Times New Roman" w:eastAsia="Times New Roman" w:hAnsi="Times New Roman" w:cs="Times New Roman"/>
          <w:i/>
          <w:iCs/>
          <w:sz w:val="16"/>
          <w:szCs w:val="16"/>
        </w:rPr>
        <w:t>Public Health Training Network</w:t>
      </w:r>
      <w:r>
        <w:rPr>
          <w:i/>
          <w:iCs/>
        </w:rPr>
        <w:t>,</w:t>
      </w:r>
      <w:r>
        <w:t xml:space="preserve"> lleva al cabo algunos cursos de “entrenar al entrenador” vinculados con la inmunización, en vivo por medio de satélite y en la red de Internet cada año. El curso anual incluye actualización de inmunización, vacunas para viajes internacionales, influenza</w:t>
      </w:r>
    </w:p>
    <w:p w14:paraId="0C4E37B0" w14:textId="77777777" w:rsidR="0072615D" w:rsidRDefault="0072615D">
      <w:pPr>
        <w:pStyle w:val="BodyText"/>
        <w:ind w:left="360" w:firstLine="0"/>
      </w:pPr>
      <w:r>
        <w:t>y un curso introductorio de cuatro partes sobre las características epidemiológicas y la prevención de enfermedades evitables mediante vacunas. Es posible obtener en Internet (</w:t>
      </w:r>
      <w:hyperlink r:id="rId28" w:history="1">
        <w:r>
          <w:t>www.cdc.gov/nip/ed/newsatellite.htm</w:t>
        </w:r>
      </w:hyperlink>
      <w:r>
        <w:t>) datos sobre los calendarios, conjuntos de diapositivas y materiales escritos.</w:t>
      </w:r>
    </w:p>
    <w:p w14:paraId="2FBB0EA4" w14:textId="77777777" w:rsidR="0072615D" w:rsidRDefault="0072615D">
      <w:pPr>
        <w:pStyle w:val="BodyText"/>
        <w:numPr>
          <w:ilvl w:val="0"/>
          <w:numId w:val="15"/>
        </w:numPr>
        <w:tabs>
          <w:tab w:val="left" w:pos="337"/>
        </w:tabs>
        <w:ind w:left="360" w:hanging="360"/>
      </w:pPr>
      <w:bookmarkStart w:id="60" w:name="bookmark60"/>
      <w:bookmarkEnd w:id="60"/>
      <w:r>
        <w:rPr>
          <w:b/>
          <w:bCs/>
        </w:rPr>
        <w:t xml:space="preserve">Formulación de preguntas por correo electrónico para obtener información de inmunización. </w:t>
      </w:r>
      <w:r>
        <w:t>Se cuenta con el NIP para aclarar dudas vinculadas con inmunización, enviadas por profesionales de la atención de la salud y miembros del público. En general, en un plazo de 24 h se emiten las respuestas individualizadas. Las preguntas se enviarán por correo electrónico (</w:t>
      </w:r>
      <w:hyperlink r:id="rId29" w:history="1">
        <w:r>
          <w:t>NIPINFO@cdc.gov</w:t>
        </w:r>
      </w:hyperlink>
      <w:r>
        <w:t>).</w:t>
      </w:r>
    </w:p>
    <w:p w14:paraId="362D69CB" w14:textId="77777777" w:rsidR="0072615D" w:rsidRDefault="0072615D">
      <w:pPr>
        <w:pStyle w:val="BodyText"/>
        <w:numPr>
          <w:ilvl w:val="0"/>
          <w:numId w:val="15"/>
        </w:numPr>
        <w:tabs>
          <w:tab w:val="left" w:pos="337"/>
        </w:tabs>
        <w:ind w:left="360" w:hanging="360"/>
      </w:pPr>
      <w:bookmarkStart w:id="61" w:name="bookmark61"/>
      <w:bookmarkEnd w:id="61"/>
      <w:r>
        <w:rPr>
          <w:b/>
          <w:bCs/>
        </w:rPr>
        <w:t xml:space="preserve">Línea telefónica directa nacional para temas de inmunización. </w:t>
      </w:r>
      <w:r>
        <w:t>La línea telefónica es un recurso para difundir información sobre dudas vinculadas con la inmunización, planteadas por profesionales de la medicina y miembros del público. La línea telefónica en lengua inglesa para casos de urgencia se puede solicitar al 1-800-232-2522 y la línea en lengua española, al 1-800-232-0233.</w:t>
      </w:r>
    </w:p>
    <w:p w14:paraId="07405DC7" w14:textId="77777777" w:rsidR="0072615D" w:rsidRDefault="0072615D">
      <w:pPr>
        <w:pStyle w:val="BodyText"/>
        <w:ind w:left="360" w:firstLine="360"/>
      </w:pPr>
      <w:r>
        <w:t xml:space="preserve">Se puede obtener información impresa sobre inmunizaciones en NIP a través de la página </w:t>
      </w:r>
      <w:r>
        <w:rPr>
          <w:rFonts w:ascii="Times New Roman" w:eastAsia="Times New Roman" w:hAnsi="Times New Roman" w:cs="Times New Roman"/>
          <w:i/>
          <w:iCs/>
          <w:sz w:val="16"/>
          <w:szCs w:val="16"/>
        </w:rPr>
        <w:t>Web</w:t>
      </w:r>
      <w:r>
        <w:t xml:space="preserve"> (</w:t>
      </w:r>
      <w:hyperlink r:id="rId30" w:history="1">
        <w:r>
          <w:t>www.cdc.gov/nip</w:t>
        </w:r>
      </w:hyperlink>
      <w:r>
        <w:t>) o por fax en 1-888-CDC-FAXX (1-888-232-3299).</w:t>
      </w:r>
    </w:p>
    <w:p w14:paraId="4B5A4447" w14:textId="77777777" w:rsidR="0072615D" w:rsidRDefault="0072615D">
      <w:pPr>
        <w:pStyle w:val="BodyText"/>
        <w:numPr>
          <w:ilvl w:val="0"/>
          <w:numId w:val="15"/>
        </w:numPr>
        <w:tabs>
          <w:tab w:val="left" w:pos="337"/>
        </w:tabs>
        <w:ind w:left="360" w:hanging="360"/>
      </w:pPr>
      <w:bookmarkStart w:id="62" w:name="bookmark62"/>
      <w:bookmarkEnd w:id="62"/>
      <w:r>
        <w:rPr>
          <w:b/>
          <w:bCs/>
        </w:rPr>
        <w:t xml:space="preserve">Fuentes independientes de información fidedigna sobre inmunización. </w:t>
      </w:r>
      <w:r>
        <w:t>En el apéndice I se incluye una lista de fuentes fidedignas sobre inmunización que incluye datos sobre la eficacia de las vacunas, las aplicaciones clínicas, los calendarios</w:t>
      </w:r>
    </w:p>
    <w:p w14:paraId="60FA3F58" w14:textId="77777777" w:rsidR="0072615D" w:rsidRDefault="0072615D">
      <w:pPr>
        <w:pStyle w:val="BodyText"/>
        <w:ind w:left="360" w:firstLine="0"/>
      </w:pPr>
      <w:r>
        <w:t xml:space="preserve">y los datos directos respecto de su inocuidad. Dos organizaciones se han preocupado por brindar al médico en su práctica información integral que disipe sus dudas: la </w:t>
      </w:r>
      <w:r>
        <w:rPr>
          <w:rFonts w:ascii="Times New Roman" w:eastAsia="Times New Roman" w:hAnsi="Times New Roman" w:cs="Times New Roman"/>
          <w:i/>
          <w:iCs/>
          <w:sz w:val="16"/>
          <w:szCs w:val="16"/>
        </w:rPr>
        <w:t>National Network for Immunization Information</w:t>
      </w:r>
      <w:r>
        <w:t xml:space="preserve"> (</w:t>
      </w:r>
      <w:hyperlink r:id="rId31" w:history="1">
        <w:r>
          <w:t>www.immunizationinfo.org</w:t>
        </w:r>
      </w:hyperlink>
      <w:r>
        <w:t xml:space="preserve">) y la </w:t>
      </w:r>
      <w:r>
        <w:rPr>
          <w:rFonts w:ascii="Times New Roman" w:eastAsia="Times New Roman" w:hAnsi="Times New Roman" w:cs="Times New Roman"/>
          <w:i/>
          <w:iCs/>
          <w:sz w:val="16"/>
          <w:szCs w:val="16"/>
        </w:rPr>
        <w:t>Immunization Action Coalition</w:t>
      </w:r>
      <w:r>
        <w:t xml:space="preserve"> (Coalición para Acción e Inmunización) (</w:t>
      </w:r>
      <w:hyperlink r:id="rId32" w:history="1">
        <w:r>
          <w:t>www.immunize.org</w:t>
        </w:r>
      </w:hyperlink>
      <w:r>
        <w:t>).</w:t>
      </w:r>
    </w:p>
    <w:p w14:paraId="7B5CEDDA" w14:textId="77777777" w:rsidR="0072615D" w:rsidRDefault="0072615D">
      <w:pPr>
        <w:pStyle w:val="BodyText"/>
        <w:spacing w:after="320"/>
        <w:ind w:firstLine="360"/>
        <w:sectPr w:rsidR="0072615D" w:rsidSect="0072615D">
          <w:headerReference w:type="even" r:id="rId33"/>
          <w:headerReference w:type="default" r:id="rId34"/>
          <w:headerReference w:type="first" r:id="rId35"/>
          <w:footnotePr>
            <w:numFmt w:val="chicago"/>
          </w:footnotePr>
          <w:pgSz w:w="8501" w:h="13022"/>
          <w:pgMar w:top="687" w:right="827" w:bottom="464" w:left="805" w:header="0" w:footer="3" w:gutter="0"/>
          <w:cols w:space="720"/>
          <w:noEndnote/>
          <w:titlePg/>
          <w:docGrid w:linePitch="360"/>
          <w15:footnoteColumns w:val="1"/>
        </w:sectPr>
      </w:pPr>
      <w:r>
        <w:t>Otras fuentes incluyen FDA;</w:t>
      </w:r>
      <w:r>
        <w:footnoteReference w:id="1"/>
      </w:r>
      <w:r>
        <w:t xml:space="preserve"> consulta con expertos infectólogos en hospitales universitarios, escuelas de medicina y en la práctica privada; y programas de inmunización </w:t>
      </w:r>
    </w:p>
    <w:p w14:paraId="371DD110" w14:textId="77777777" w:rsidR="0072615D" w:rsidRDefault="0072615D">
      <w:pPr>
        <w:pStyle w:val="BodyText"/>
        <w:spacing w:after="320"/>
        <w:ind w:firstLine="0"/>
      </w:pPr>
      <w:r>
        <w:t>a nivel estatal y departamentos locales de salud pública. También se pueden obtener datos de los departamentos de salud estatales y locales en cuanto a las características epidemiológicas actuales de las enfermedades, recomendaciones sobre la inmunización, exigencias legales, normas de salud pública, así como aspectos o necesidades en áreas como escuelas de párvulos o maternal, atención infantil y salud escolar. (Estas recomendaciones son válidas en países de lengua española.)</w:t>
      </w:r>
    </w:p>
    <w:p w14:paraId="0DEA18E0" w14:textId="77777777" w:rsidR="0072615D" w:rsidRDefault="0072615D">
      <w:pPr>
        <w:pStyle w:val="Other0"/>
        <w:spacing w:after="240" w:line="240" w:lineRule="auto"/>
        <w:ind w:firstLine="0"/>
        <w:jc w:val="center"/>
        <w:rPr>
          <w:sz w:val="32"/>
          <w:szCs w:val="32"/>
        </w:rPr>
      </w:pPr>
      <w:r>
        <w:rPr>
          <w:rFonts w:ascii="Times New Roman" w:eastAsia="Times New Roman" w:hAnsi="Times New Roman" w:cs="Times New Roman"/>
          <w:smallCaps/>
          <w:sz w:val="34"/>
          <w:szCs w:val="34"/>
        </w:rPr>
        <w:t>I</w:t>
      </w:r>
      <w:r>
        <w:rPr>
          <w:rFonts w:ascii="Times New Roman" w:eastAsia="Times New Roman" w:hAnsi="Times New Roman" w:cs="Times New Roman"/>
          <w:smallCaps/>
          <w:sz w:val="32"/>
          <w:szCs w:val="32"/>
        </w:rPr>
        <w:t>nformación a pacientes y sus padres</w:t>
      </w:r>
    </w:p>
    <w:p w14:paraId="68C8F67B" w14:textId="77777777" w:rsidR="0072615D" w:rsidRDefault="0072615D">
      <w:pPr>
        <w:pStyle w:val="BodyText"/>
        <w:ind w:firstLine="0"/>
      </w:pPr>
      <w:r>
        <w:t>Es necesario informar a los padres y a sus hijos sobre los beneficios y peligros de métodos para evitar y tratar enfermedades, entre ellos la inmunización.</w:t>
      </w:r>
    </w:p>
    <w:p w14:paraId="00A4B3DD" w14:textId="77777777" w:rsidR="0072615D" w:rsidRDefault="0072615D">
      <w:pPr>
        <w:pStyle w:val="BodyText"/>
        <w:ind w:firstLine="360"/>
      </w:pPr>
      <w:r>
        <w:t>El paciente, sus padres o el tutor legal, deben recibir información sobre los beneficios obtenidos de las vacunas al evitar enfermedades en las personas y la comunidad en que viven, así como los riesgos que conlleva su uso. Hay que brindar lapsos adecuados e instar a que se planteen preguntas y dudas para que se comprenda la información.</w:t>
      </w:r>
    </w:p>
    <w:p w14:paraId="4994DD55" w14:textId="77777777" w:rsidR="0072615D" w:rsidRDefault="0072615D">
      <w:pPr>
        <w:pStyle w:val="BodyText"/>
        <w:spacing w:after="240"/>
        <w:ind w:firstLine="360"/>
      </w:pPr>
      <w:r>
        <w:t xml:space="preserve">La Ley Nacional de Lesiones por Vacunas en Niños </w:t>
      </w:r>
      <w:r>
        <w:rPr>
          <w:rFonts w:ascii="Times New Roman" w:eastAsia="Times New Roman" w:hAnsi="Times New Roman" w:cs="Times New Roman"/>
          <w:i/>
          <w:iCs/>
          <w:sz w:val="16"/>
          <w:szCs w:val="16"/>
        </w:rPr>
        <w:t>(National Childhood Vaccine Injury Act, NCVIA)</w:t>
      </w:r>
      <w:r>
        <w:t xml:space="preserve"> de 1986 incluyó normas para informar a todos los pacientes y sus padres, de los beneficios y riesgos de las vacunas. se obtengan éstas de fondos privados o públicos, tal ley exige que se haga una declaración de información sobre vacunas cada vez que una de ellas se aplique conforme al </w:t>
      </w:r>
      <w:r>
        <w:rPr>
          <w:rFonts w:ascii="Times New Roman" w:eastAsia="Times New Roman" w:hAnsi="Times New Roman" w:cs="Times New Roman"/>
          <w:i/>
          <w:iCs/>
          <w:sz w:val="16"/>
          <w:szCs w:val="16"/>
        </w:rPr>
        <w:t xml:space="preserve">Vaccine Injury Compensation Program (VICP) </w:t>
      </w:r>
      <w:r>
        <w:t xml:space="preserve">(cuadro 1-2). En el caso de vacunas no incluidas en el Programa en cuestión se cuenta con Vis, pero no son obligatorias salvo que la vacuna se obtenga por un contrato con los </w:t>
      </w:r>
      <w:r>
        <w:rPr>
          <w:rFonts w:ascii="Times New Roman" w:eastAsia="Times New Roman" w:hAnsi="Times New Roman" w:cs="Times New Roman"/>
          <w:i/>
          <w:iCs/>
          <w:sz w:val="16"/>
          <w:szCs w:val="16"/>
        </w:rPr>
        <w:t xml:space="preserve">Centers for Disease Control and Prevention </w:t>
      </w:r>
      <w:r>
        <w:rPr>
          <w:i/>
          <w:iCs/>
        </w:rPr>
        <w:t>(</w:t>
      </w:r>
      <w:r>
        <w:rPr>
          <w:rFonts w:ascii="Times New Roman" w:eastAsia="Times New Roman" w:hAnsi="Times New Roman" w:cs="Times New Roman"/>
          <w:i/>
          <w:iCs/>
          <w:sz w:val="16"/>
          <w:szCs w:val="16"/>
        </w:rPr>
        <w:t>CDC</w:t>
      </w:r>
      <w:r>
        <w:rPr>
          <w:i/>
          <w:iCs/>
        </w:rPr>
        <w:t>,</w:t>
      </w:r>
      <w:r>
        <w:t xml:space="preserve"> [en particular el </w:t>
      </w:r>
      <w:r>
        <w:rPr>
          <w:rFonts w:ascii="Times New Roman" w:eastAsia="Times New Roman" w:hAnsi="Times New Roman" w:cs="Times New Roman"/>
          <w:i/>
          <w:iCs/>
          <w:sz w:val="16"/>
          <w:szCs w:val="16"/>
        </w:rPr>
        <w:t>Vaccines for Children Program</w:t>
      </w:r>
      <w:r>
        <w:t xml:space="preserve">, subvenciones para inmunización a nivel estatal o compras estatales a través de CDC]). Es posible obtener en los departamentos de salud estatales y locales copias de VIS actuales, o en los CDC, la </w:t>
      </w:r>
      <w:r>
        <w:rPr>
          <w:rFonts w:ascii="Times New Roman" w:eastAsia="Times New Roman" w:hAnsi="Times New Roman" w:cs="Times New Roman"/>
          <w:i/>
          <w:iCs/>
          <w:sz w:val="16"/>
          <w:szCs w:val="16"/>
        </w:rPr>
        <w:t>American Academy of Pediatrics (AAP)</w:t>
      </w:r>
      <w:r>
        <w:t xml:space="preserve"> y los fabricantes</w:t>
      </w:r>
    </w:p>
    <w:p w14:paraId="6EFBDA9F" w14:textId="77777777" w:rsidR="0072615D" w:rsidRDefault="0072615D">
      <w:pPr>
        <w:pStyle w:val="Heading31"/>
        <w:keepNext/>
        <w:keepLines/>
        <w:ind w:firstLine="260"/>
      </w:pPr>
      <w:bookmarkStart w:id="63" w:name="bookmark65"/>
      <w:r>
        <w:rPr>
          <w:b w:val="0"/>
          <w:bCs w:val="0"/>
        </w:rPr>
        <w:t xml:space="preserve">Cuadro 1.2. </w:t>
      </w:r>
      <w:r>
        <w:t>Orientación en el uso de las declaraciones de información</w:t>
      </w:r>
      <w:bookmarkEnd w:id="63"/>
    </w:p>
    <w:p w14:paraId="4EFEFBC6" w14:textId="77777777" w:rsidR="0072615D" w:rsidRDefault="0072615D">
      <w:pPr>
        <w:pStyle w:val="Heading31"/>
        <w:keepNext/>
        <w:keepLines/>
        <w:spacing w:after="80"/>
        <w:jc w:val="center"/>
      </w:pPr>
      <w:r>
        <w:rPr>
          <w:noProof/>
        </w:rPr>
        <mc:AlternateContent>
          <mc:Choice Requires="wps">
            <w:drawing>
              <wp:anchor distT="0" distB="0" distL="114300" distR="114300" simplePos="0" relativeHeight="251659264" behindDoc="0" locked="0" layoutInCell="1" allowOverlap="1" wp14:anchorId="4C7D81A3" wp14:editId="05E337D7">
                <wp:simplePos x="0" y="0"/>
                <wp:positionH relativeFrom="page">
                  <wp:posOffset>560070</wp:posOffset>
                </wp:positionH>
                <wp:positionV relativeFrom="paragraph">
                  <wp:posOffset>241300</wp:posOffset>
                </wp:positionV>
                <wp:extent cx="646430" cy="189230"/>
                <wp:effectExtent l="0" t="0" r="0" b="0"/>
                <wp:wrapSquare wrapText="right"/>
                <wp:docPr id="29" name="Shape 29"/>
                <wp:cNvGraphicFramePr/>
                <a:graphic xmlns:a="http://schemas.openxmlformats.org/drawingml/2006/main">
                  <a:graphicData uri="http://schemas.microsoft.com/office/word/2010/wordprocessingShape">
                    <wps:wsp>
                      <wps:cNvSpPr txBox="1"/>
                      <wps:spPr>
                        <a:xfrm>
                          <a:off x="0" y="0"/>
                          <a:ext cx="646430" cy="189230"/>
                        </a:xfrm>
                        <a:prstGeom prst="rect">
                          <a:avLst/>
                        </a:prstGeom>
                        <a:solidFill>
                          <a:srgbClr val="231F20"/>
                        </a:solidFill>
                      </wps:spPr>
                      <wps:txbx>
                        <w:txbxContent>
                          <w:p w14:paraId="643E478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Distribución</w:t>
                            </w:r>
                          </w:p>
                        </w:txbxContent>
                      </wps:txbx>
                      <wps:bodyPr wrap="none" lIns="0" tIns="0" rIns="0" bIns="0"/>
                    </wps:wsp>
                  </a:graphicData>
                </a:graphic>
              </wp:anchor>
            </w:drawing>
          </mc:Choice>
          <mc:Fallback>
            <w:pict>
              <v:shapetype w14:anchorId="4C7D81A3" id="_x0000_t202" coordsize="21600,21600" o:spt="202" path="m,l,21600r21600,l21600,xe">
                <v:stroke joinstyle="miter"/>
                <v:path gradientshapeok="t" o:connecttype="rect"/>
              </v:shapetype>
              <v:shape id="Shape 29" o:spid="_x0000_s1026" type="#_x0000_t202" style="position:absolute;left:0;text-align:left;margin-left:44.1pt;margin-top:19pt;width:50.9pt;height:14.9pt;z-index:25165926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" fillcolor="#231f20" stroked="f">
                <v:textbox inset="0,0,0,0">
                  <w:txbxContent>
                    <w:p w14:paraId="643E478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Distribución</w:t>
                      </w:r>
                    </w:p>
                  </w:txbxContent>
                </v:textbox>
                <w10:wrap type="square" side="right" anchorx="page"/>
              </v:shape>
            </w:pict>
          </mc:Fallback>
        </mc:AlternateContent>
      </w:r>
      <w:bookmarkStart w:id="64" w:name="bookmark63"/>
      <w:bookmarkStart w:id="65" w:name="bookmark64"/>
      <w:bookmarkStart w:id="66" w:name="bookmark66"/>
      <w:r>
        <w:t>sobre vacunas (VIS)</w:t>
      </w:r>
      <w:bookmarkEnd w:id="64"/>
      <w:bookmarkEnd w:id="65"/>
      <w:bookmarkEnd w:id="66"/>
    </w:p>
    <w:p w14:paraId="270DB811" w14:textId="77777777" w:rsidR="0072615D" w:rsidRDefault="0072615D">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line="209" w:lineRule="auto"/>
        <w:ind w:left="2200"/>
        <w:sectPr w:rsidR="0072615D" w:rsidSect="0072615D">
          <w:headerReference w:type="even" r:id="rId36"/>
          <w:headerReference w:type="default" r:id="rId37"/>
          <w:footnotePr>
            <w:numFmt w:val="chicago"/>
          </w:footnotePr>
          <w:pgSz w:w="8501" w:h="13022"/>
          <w:pgMar w:top="687" w:right="827" w:bottom="464" w:left="805" w:header="0" w:footer="36" w:gutter="0"/>
          <w:cols w:space="720"/>
          <w:noEndnote/>
          <w:docGrid w:linePitch="360"/>
          <w15:footnoteColumns w:val="1"/>
        </w:sectPr>
      </w:pPr>
      <w:bookmarkStart w:id="67" w:name="bookmark67"/>
      <w:bookmarkStart w:id="68" w:name="bookmark68"/>
      <w:bookmarkStart w:id="69" w:name="bookmark69"/>
      <w:r>
        <w:rPr>
          <w:color w:val="FFFFFF"/>
        </w:rPr>
        <w:t>Documentación registrada en la historia clínica del paciente</w:t>
      </w:r>
      <w:bookmarkEnd w:id="67"/>
      <w:bookmarkEnd w:id="68"/>
      <w:bookmarkEnd w:id="69"/>
    </w:p>
    <w:p w14:paraId="545B358C" w14:textId="77777777" w:rsidR="0072615D" w:rsidRDefault="0072615D">
      <w:pPr>
        <w:pStyle w:val="Bodytext20"/>
        <w:spacing w:line="290" w:lineRule="auto"/>
      </w:pPr>
      <w:r>
        <w:t>Debe distribuirse cada vez que se aplique</w:t>
      </w:r>
    </w:p>
    <w:p w14:paraId="4A221FBD" w14:textId="77777777" w:rsidR="0072615D" w:rsidRDefault="0072615D">
      <w:pPr>
        <w:pStyle w:val="Bodytext20"/>
        <w:spacing w:line="290" w:lineRule="auto"/>
      </w:pPr>
      <w:r>
        <w:t>una vacuna incluida en VICP</w:t>
      </w:r>
    </w:p>
    <w:p w14:paraId="1A28745F" w14:textId="77777777" w:rsidR="0072615D" w:rsidRDefault="0072615D">
      <w:pPr>
        <w:pStyle w:val="Bodytext20"/>
        <w:spacing w:line="290" w:lineRule="auto"/>
      </w:pPr>
      <w:r>
        <w:t>Se le suministra al paciente (que no sea menor de edad), progenitores, tutor legal o a las tres partes</w:t>
      </w:r>
      <w:r>
        <w:rPr>
          <w:vertAlign w:val="superscript"/>
        </w:rPr>
        <w:t>1</w:t>
      </w:r>
    </w:p>
    <w:p w14:paraId="1D052AC5" w14:textId="77777777" w:rsidR="0072615D" w:rsidRDefault="0072615D">
      <w:pPr>
        <w:pStyle w:val="Bodytext20"/>
        <w:spacing w:after="200" w:line="290" w:lineRule="auto"/>
      </w:pPr>
      <w:r>
        <w:t>Debe ser la versión actual</w:t>
      </w:r>
      <w:r>
        <w:rPr>
          <w:vertAlign w:val="superscript"/>
        </w:rPr>
        <w:footnoteReference w:id="2"/>
      </w:r>
      <w:r>
        <w:rPr>
          <w:vertAlign w:val="superscript"/>
        </w:rPr>
        <w:t xml:space="preserve"> </w:t>
      </w:r>
      <w:r>
        <w:rPr>
          <w:vertAlign w:val="superscript"/>
        </w:rPr>
        <w:footnoteReference w:id="3"/>
      </w:r>
      <w:r>
        <w:rPr>
          <w:vertAlign w:val="superscript"/>
        </w:rPr>
        <w:t xml:space="preserve"> </w:t>
      </w:r>
      <w:r>
        <w:rPr>
          <w:vertAlign w:val="superscript"/>
        </w:rPr>
        <w:footnoteReference w:id="4"/>
      </w:r>
    </w:p>
    <w:p w14:paraId="6A467B44" w14:textId="77777777" w:rsidR="0072615D" w:rsidRDefault="0072615D">
      <w:pPr>
        <w:pStyle w:val="Bodytext20"/>
        <w:spacing w:line="288" w:lineRule="auto"/>
      </w:pPr>
      <w:r>
        <w:t>Se pueden suministrar (no son sustitutivos) otros materiales descritos o audiovisuales además de VIS</w:t>
      </w:r>
    </w:p>
    <w:p w14:paraId="2CF3C648" w14:textId="77777777" w:rsidR="0072615D" w:rsidRDefault="0072615D">
      <w:pPr>
        <w:pStyle w:val="Bodytext20"/>
        <w:spacing w:line="290" w:lineRule="auto"/>
        <w:jc w:val="both"/>
      </w:pPr>
      <w:r>
        <w:t>Fabricante de la vacuna, número de lote y fecha de aplicación</w:t>
      </w:r>
      <w:r>
        <w:rPr>
          <w:vertAlign w:val="superscript"/>
        </w:rPr>
        <w:t>1</w:t>
      </w:r>
    </w:p>
    <w:p w14:paraId="1F0A852F" w14:textId="77777777" w:rsidR="0072615D" w:rsidRDefault="0072615D">
      <w:pPr>
        <w:pStyle w:val="Bodytext20"/>
        <w:spacing w:after="220" w:line="290" w:lineRule="auto"/>
        <w:jc w:val="both"/>
      </w:pPr>
      <w:r>
        <w:t>Nombre y domicilio comercial del profesional asistencial que aplicó la vacuna</w:t>
      </w:r>
      <w:r>
        <w:rPr>
          <w:vertAlign w:val="superscript"/>
        </w:rPr>
        <w:t>1</w:t>
      </w:r>
    </w:p>
    <w:p w14:paraId="71A42B6C" w14:textId="77777777" w:rsidR="0072615D" w:rsidRDefault="0072615D">
      <w:pPr>
        <w:pStyle w:val="Bodytext20"/>
        <w:spacing w:line="288" w:lineRule="auto"/>
        <w:jc w:val="both"/>
      </w:pPr>
      <w:r>
        <w:t>Fecha de la versión de VIS, además de la fecha en la que se suministró a los interesados</w:t>
      </w:r>
      <w:r>
        <w:rPr>
          <w:vertAlign w:val="superscript"/>
        </w:rPr>
        <w:t>2</w:t>
      </w:r>
    </w:p>
    <w:p w14:paraId="4222B5C9" w14:textId="77777777" w:rsidR="0072615D" w:rsidRDefault="0072615D">
      <w:pPr>
        <w:pStyle w:val="Bodytext20"/>
        <w:spacing w:line="288" w:lineRule="auto"/>
        <w:sectPr w:rsidR="0072615D" w:rsidSect="0072615D">
          <w:type w:val="continuous"/>
          <w:pgSz w:w="8501" w:h="13022"/>
          <w:pgMar w:top="941" w:right="734" w:bottom="941" w:left="1195" w:header="0" w:footer="3" w:gutter="0"/>
          <w:cols w:num="2" w:space="100"/>
          <w:noEndnote/>
          <w:docGrid w:linePitch="360"/>
          <w15:footnoteColumns w:val="1"/>
        </w:sectPr>
      </w:pPr>
      <w:r>
        <w:t>Sitio (como la zona deltoidea) y vía (p. ej., intramuscular) de administración y fecha de caducidad de la vacuna</w:t>
      </w:r>
      <w:r>
        <w:rPr>
          <w:vertAlign w:val="superscript"/>
        </w:rPr>
        <w:footnoteReference w:id="5"/>
      </w:r>
    </w:p>
    <w:p w14:paraId="48A4BB0F" w14:textId="77777777" w:rsidR="0072615D" w:rsidRDefault="0072615D">
      <w:pPr>
        <w:rPr>
          <w:sz w:val="2"/>
          <w:szCs w:val="2"/>
        </w:rPr>
        <w:sectPr w:rsidR="0072615D" w:rsidSect="0072615D">
          <w:type w:val="continuous"/>
          <w:pgSz w:w="8501" w:h="13022"/>
          <w:pgMar w:top="941" w:right="734" w:bottom="941" w:left="1195" w:header="0" w:footer="3" w:gutter="0"/>
          <w:cols w:num="2" w:space="100"/>
          <w:noEndnote/>
          <w:docGrid w:linePitch="360"/>
          <w15:footnoteColumns w:val="1"/>
        </w:sectPr>
      </w:pPr>
    </w:p>
    <w:p w14:paraId="72A8FC86" w14:textId="77777777" w:rsidR="0072615D" w:rsidRDefault="0072615D">
      <w:pPr>
        <w:pStyle w:val="BodyText"/>
        <w:spacing w:after="320"/>
        <w:ind w:firstLine="0"/>
      </w:pPr>
      <w:r>
        <w:t>a nivel estatal y departamentos locales de salud pública. También se pueden obtener datos de los departamentos de salud estatales y locales en cuanto a las características epidemiológicas actuales de las enfermedades, recomendaciones sobre la inmunización, exigencias legales, normas de salud pública, así como aspectos o necesidades en áreas como escuelas de párvulos o maternal, atención infantil y salud escolar. (Estas recomendaciones son válidas en países de lengua española.)</w:t>
      </w:r>
    </w:p>
    <w:p w14:paraId="57EC84DC" w14:textId="77777777" w:rsidR="0072615D" w:rsidRDefault="0072615D">
      <w:pPr>
        <w:pStyle w:val="Other0"/>
        <w:spacing w:after="240" w:line="240" w:lineRule="auto"/>
        <w:ind w:firstLine="0"/>
        <w:jc w:val="center"/>
        <w:rPr>
          <w:sz w:val="32"/>
          <w:szCs w:val="32"/>
        </w:rPr>
      </w:pPr>
      <w:r>
        <w:rPr>
          <w:rFonts w:ascii="Times New Roman" w:eastAsia="Times New Roman" w:hAnsi="Times New Roman" w:cs="Times New Roman"/>
          <w:smallCaps/>
          <w:sz w:val="34"/>
          <w:szCs w:val="34"/>
        </w:rPr>
        <w:t>I</w:t>
      </w:r>
      <w:r>
        <w:rPr>
          <w:rFonts w:ascii="Times New Roman" w:eastAsia="Times New Roman" w:hAnsi="Times New Roman" w:cs="Times New Roman"/>
          <w:smallCaps/>
          <w:sz w:val="32"/>
          <w:szCs w:val="32"/>
        </w:rPr>
        <w:t>nformación a pacientes y sus padres</w:t>
      </w:r>
    </w:p>
    <w:p w14:paraId="27B1C038" w14:textId="77777777" w:rsidR="0072615D" w:rsidRDefault="0072615D">
      <w:pPr>
        <w:pStyle w:val="BodyText"/>
        <w:ind w:firstLine="0"/>
      </w:pPr>
      <w:r>
        <w:t>Es necesario informar a los padres y a sus hijos sobre los beneficios y peligros de métodos para evitar y tratar enfermedades, entre ellos la inmunización.</w:t>
      </w:r>
    </w:p>
    <w:p w14:paraId="6927E514" w14:textId="77777777" w:rsidR="0072615D" w:rsidRDefault="0072615D">
      <w:pPr>
        <w:pStyle w:val="BodyText"/>
        <w:ind w:firstLine="360"/>
      </w:pPr>
      <w:r>
        <w:t>El paciente, sus padres o el tutor legal, deben recibir información sobre los beneficios obtenidos de las vacunas al evitar enfermedades en las personas y la comunidad en que viven, así como los riesgos que conlleva su uso. Hay que brindar lapsos adecuados e instar a que se planteen preguntas y dudas para que se comprenda la información.</w:t>
      </w:r>
    </w:p>
    <w:p w14:paraId="3A8C2E12" w14:textId="77777777" w:rsidR="0072615D" w:rsidRDefault="0072615D">
      <w:pPr>
        <w:pStyle w:val="BodyText"/>
        <w:spacing w:after="240"/>
        <w:ind w:firstLine="360"/>
      </w:pPr>
      <w:r>
        <w:t xml:space="preserve">La Ley Nacional de Lesiones por Vacunas en Niños </w:t>
      </w:r>
      <w:r>
        <w:rPr>
          <w:rFonts w:ascii="Times New Roman" w:eastAsia="Times New Roman" w:hAnsi="Times New Roman" w:cs="Times New Roman"/>
          <w:i/>
          <w:iCs/>
          <w:sz w:val="16"/>
          <w:szCs w:val="16"/>
        </w:rPr>
        <w:t>(National Childhood Vaccine Injury Act, NCVIA)</w:t>
      </w:r>
      <w:r>
        <w:t xml:space="preserve"> de 1986 incluyó normas para informar a todos los pacientes y sus padres, de los beneficios y riesgos de las vacunas. se obtengan éstas de fondos privados o públicos, tal ley exige que se haga una declaración de información sobre vacunas cada vez que una de ellas se aplique conforme al </w:t>
      </w:r>
      <w:r>
        <w:rPr>
          <w:rFonts w:ascii="Times New Roman" w:eastAsia="Times New Roman" w:hAnsi="Times New Roman" w:cs="Times New Roman"/>
          <w:i/>
          <w:iCs/>
          <w:sz w:val="16"/>
          <w:szCs w:val="16"/>
        </w:rPr>
        <w:t xml:space="preserve">Vaccine Injury Compensation Program (VICP) </w:t>
      </w:r>
      <w:r>
        <w:t xml:space="preserve">(cuadro 1-2). En el caso de vacunas no incluidas en el Programa en cuestión se cuenta con Vis, pero no son obligatorias salvo que la vacuna se obtenga por un contrato con los </w:t>
      </w:r>
      <w:r>
        <w:rPr>
          <w:rFonts w:ascii="Times New Roman" w:eastAsia="Times New Roman" w:hAnsi="Times New Roman" w:cs="Times New Roman"/>
          <w:i/>
          <w:iCs/>
          <w:sz w:val="16"/>
          <w:szCs w:val="16"/>
        </w:rPr>
        <w:t xml:space="preserve">Centers for Disease Control and Prevention </w:t>
      </w:r>
      <w:r>
        <w:rPr>
          <w:i/>
          <w:iCs/>
        </w:rPr>
        <w:t>(</w:t>
      </w:r>
      <w:r>
        <w:rPr>
          <w:rFonts w:ascii="Times New Roman" w:eastAsia="Times New Roman" w:hAnsi="Times New Roman" w:cs="Times New Roman"/>
          <w:i/>
          <w:iCs/>
          <w:sz w:val="16"/>
          <w:szCs w:val="16"/>
        </w:rPr>
        <w:t>CDC</w:t>
      </w:r>
      <w:r>
        <w:rPr>
          <w:i/>
          <w:iCs/>
        </w:rPr>
        <w:t>,</w:t>
      </w:r>
      <w:r>
        <w:t xml:space="preserve"> [en particular el </w:t>
      </w:r>
      <w:r>
        <w:rPr>
          <w:rFonts w:ascii="Times New Roman" w:eastAsia="Times New Roman" w:hAnsi="Times New Roman" w:cs="Times New Roman"/>
          <w:i/>
          <w:iCs/>
          <w:sz w:val="16"/>
          <w:szCs w:val="16"/>
        </w:rPr>
        <w:t>Vaccines for Children Program</w:t>
      </w:r>
      <w:r>
        <w:t xml:space="preserve">, subvenciones para inmunización a nivel estatal o compras estatales a través de CDC]). Es posible obtener en los departamentos de salud estatales y locales copias de VIS actuales, o en los CDC, la </w:t>
      </w:r>
      <w:r>
        <w:rPr>
          <w:rFonts w:ascii="Times New Roman" w:eastAsia="Times New Roman" w:hAnsi="Times New Roman" w:cs="Times New Roman"/>
          <w:i/>
          <w:iCs/>
          <w:sz w:val="16"/>
          <w:szCs w:val="16"/>
        </w:rPr>
        <w:t>American Academy of Pediatrics (AAP)</w:t>
      </w:r>
      <w:r>
        <w:t xml:space="preserve"> y los fabricantes</w:t>
      </w:r>
    </w:p>
    <w:p w14:paraId="2ED04168" w14:textId="77777777" w:rsidR="0072615D" w:rsidRDefault="0072615D">
      <w:pPr>
        <w:pStyle w:val="Heading31"/>
        <w:keepNext/>
        <w:keepLines/>
        <w:ind w:firstLine="260"/>
      </w:pPr>
      <w:bookmarkStart w:id="70" w:name="bookmark72"/>
      <w:r>
        <w:rPr>
          <w:b w:val="0"/>
          <w:bCs w:val="0"/>
        </w:rPr>
        <w:t xml:space="preserve">Cuadro 1.2. </w:t>
      </w:r>
      <w:r>
        <w:t>Orientación en el uso de las declaraciones de información</w:t>
      </w:r>
      <w:bookmarkEnd w:id="70"/>
    </w:p>
    <w:p w14:paraId="0669F698" w14:textId="77777777" w:rsidR="0072615D" w:rsidRDefault="0072615D">
      <w:pPr>
        <w:pStyle w:val="Heading31"/>
        <w:keepNext/>
        <w:keepLines/>
        <w:spacing w:after="80"/>
        <w:jc w:val="center"/>
      </w:pPr>
      <w:r>
        <w:rPr>
          <w:noProof/>
        </w:rPr>
        <mc:AlternateContent>
          <mc:Choice Requires="wps">
            <w:drawing>
              <wp:anchor distT="0" distB="0" distL="114300" distR="114300" simplePos="0" relativeHeight="251660288" behindDoc="0" locked="0" layoutInCell="1" allowOverlap="1" wp14:anchorId="78E1DC9D" wp14:editId="0BD96501">
                <wp:simplePos x="0" y="0"/>
                <wp:positionH relativeFrom="page">
                  <wp:posOffset>753110</wp:posOffset>
                </wp:positionH>
                <wp:positionV relativeFrom="paragraph">
                  <wp:posOffset>241300</wp:posOffset>
                </wp:positionV>
                <wp:extent cx="646430" cy="189230"/>
                <wp:effectExtent l="0" t="0" r="0" b="0"/>
                <wp:wrapSquare wrapText="right"/>
                <wp:docPr id="37" name="Shape 37"/>
                <wp:cNvGraphicFramePr/>
                <a:graphic xmlns:a="http://schemas.openxmlformats.org/drawingml/2006/main">
                  <a:graphicData uri="http://schemas.microsoft.com/office/word/2010/wordprocessingShape">
                    <wps:wsp>
                      <wps:cNvSpPr txBox="1"/>
                      <wps:spPr>
                        <a:xfrm>
                          <a:off x="0" y="0"/>
                          <a:ext cx="646430" cy="189230"/>
                        </a:xfrm>
                        <a:prstGeom prst="rect">
                          <a:avLst/>
                        </a:prstGeom>
                        <a:solidFill>
                          <a:srgbClr val="231F20"/>
                        </a:solidFill>
                      </wps:spPr>
                      <wps:txbx>
                        <w:txbxContent>
                          <w:p w14:paraId="358AE048"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Distribución</w:t>
                            </w:r>
                          </w:p>
                        </w:txbxContent>
                      </wps:txbx>
                      <wps:bodyPr wrap="none" lIns="0" tIns="0" rIns="0" bIns="0"/>
                    </wps:wsp>
                  </a:graphicData>
                </a:graphic>
              </wp:anchor>
            </w:drawing>
          </mc:Choice>
          <mc:Fallback>
            <w:pict>
              <v:shape w14:anchorId="78E1DC9D" id="Shape 37" o:spid="_x0000_s1027" type="#_x0000_t202" style="position:absolute;left:0;text-align:left;margin-left:59.3pt;margin-top:19pt;width:50.9pt;height:14.9pt;z-index:25166028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" fillcolor="#231f20" stroked="f">
                <v:textbox inset="0,0,0,0">
                  <w:txbxContent>
                    <w:p w14:paraId="358AE048"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Distribución</w:t>
                      </w:r>
                    </w:p>
                  </w:txbxContent>
                </v:textbox>
                <w10:wrap type="square" side="right" anchorx="page"/>
              </v:shape>
            </w:pict>
          </mc:Fallback>
        </mc:AlternateContent>
      </w:r>
      <w:bookmarkStart w:id="71" w:name="bookmark70"/>
      <w:bookmarkStart w:id="72" w:name="bookmark71"/>
      <w:bookmarkStart w:id="73" w:name="bookmark73"/>
      <w:r>
        <w:t>sobre vacunas (VIS)</w:t>
      </w:r>
      <w:bookmarkEnd w:id="71"/>
      <w:bookmarkEnd w:id="72"/>
      <w:bookmarkEnd w:id="73"/>
    </w:p>
    <w:p w14:paraId="2A25E775" w14:textId="77777777" w:rsidR="0072615D" w:rsidRDefault="0072615D">
      <w:pPr>
        <w:pStyle w:val="Heading41"/>
        <w:keepNext/>
        <w:keepLines/>
        <w:pBdr>
          <w:top w:val="single" w:sz="0" w:space="0" w:color="231F20"/>
          <w:left w:val="single" w:sz="0" w:space="0" w:color="231F20"/>
          <w:bottom w:val="single" w:sz="0" w:space="0" w:color="231F20"/>
          <w:right w:val="single" w:sz="0" w:space="0" w:color="231F20"/>
        </w:pBdr>
        <w:shd w:val="clear" w:color="auto" w:fill="231F20"/>
        <w:spacing w:line="209" w:lineRule="auto"/>
        <w:ind w:left="2200"/>
        <w:sectPr w:rsidR="0072615D" w:rsidSect="0072615D">
          <w:pgSz w:w="8501" w:h="13022"/>
          <w:pgMar w:top="941" w:right="537" w:bottom="1819" w:left="1123" w:header="0" w:footer="1391" w:gutter="0"/>
          <w:cols w:space="720"/>
          <w:noEndnote/>
          <w:docGrid w:linePitch="360"/>
          <w15:footnoteColumns w:val="1"/>
        </w:sectPr>
      </w:pPr>
      <w:bookmarkStart w:id="74" w:name="bookmark74"/>
      <w:bookmarkStart w:id="75" w:name="bookmark75"/>
      <w:bookmarkStart w:id="76" w:name="bookmark76"/>
      <w:r>
        <w:rPr>
          <w:color w:val="FFFFFF"/>
        </w:rPr>
        <w:t>Documentación registrada en la historia clínica del paciente</w:t>
      </w:r>
      <w:bookmarkEnd w:id="74"/>
      <w:bookmarkEnd w:id="75"/>
      <w:bookmarkEnd w:id="76"/>
    </w:p>
    <w:p w14:paraId="0B2D3CDD" w14:textId="77777777" w:rsidR="0072615D" w:rsidRDefault="0072615D">
      <w:pPr>
        <w:pStyle w:val="Bodytext20"/>
        <w:spacing w:line="290" w:lineRule="auto"/>
      </w:pPr>
      <w:r>
        <w:t>Debe distribuirse cada vez que se aplique</w:t>
      </w:r>
    </w:p>
    <w:p w14:paraId="61849717" w14:textId="77777777" w:rsidR="0072615D" w:rsidRDefault="0072615D">
      <w:pPr>
        <w:pStyle w:val="Bodytext20"/>
        <w:spacing w:line="290" w:lineRule="auto"/>
      </w:pPr>
      <w:r>
        <w:t>una vacuna incluida en VICP</w:t>
      </w:r>
    </w:p>
    <w:p w14:paraId="36A53F06" w14:textId="77777777" w:rsidR="0072615D" w:rsidRDefault="0072615D">
      <w:pPr>
        <w:pStyle w:val="Bodytext20"/>
        <w:spacing w:line="290" w:lineRule="auto"/>
      </w:pPr>
      <w:r>
        <w:t>Se le suministra al paciente (que no sea menor de edad), progenitores, tutor legal o a las tres partes</w:t>
      </w:r>
      <w:r>
        <w:rPr>
          <w:vertAlign w:val="superscript"/>
        </w:rPr>
        <w:t>1</w:t>
      </w:r>
    </w:p>
    <w:p w14:paraId="7C6F91B5" w14:textId="77777777" w:rsidR="0072615D" w:rsidRDefault="0072615D">
      <w:pPr>
        <w:pStyle w:val="Bodytext20"/>
        <w:spacing w:after="200" w:line="290" w:lineRule="auto"/>
      </w:pPr>
      <w:r>
        <w:t>Debe ser la versión actual</w:t>
      </w:r>
      <w:r>
        <w:rPr>
          <w:vertAlign w:val="superscript"/>
        </w:rPr>
        <w:footnoteReference w:id="6"/>
      </w:r>
      <w:r>
        <w:rPr>
          <w:vertAlign w:val="superscript"/>
        </w:rPr>
        <w:t xml:space="preserve"> </w:t>
      </w:r>
      <w:r>
        <w:rPr>
          <w:vertAlign w:val="superscript"/>
        </w:rPr>
        <w:footnoteReference w:id="7"/>
      </w:r>
      <w:r>
        <w:rPr>
          <w:vertAlign w:val="superscript"/>
        </w:rPr>
        <w:t xml:space="preserve"> </w:t>
      </w:r>
      <w:r>
        <w:rPr>
          <w:vertAlign w:val="superscript"/>
        </w:rPr>
        <w:footnoteReference w:id="8"/>
      </w:r>
    </w:p>
    <w:p w14:paraId="5F35C65C" w14:textId="77777777" w:rsidR="0072615D" w:rsidRDefault="0072615D">
      <w:pPr>
        <w:pStyle w:val="Bodytext20"/>
        <w:spacing w:line="288" w:lineRule="auto"/>
      </w:pPr>
      <w:r>
        <w:t>Se pueden suministrar (no son sustitutivos) otros materiales descritos o audiovisuales además de VIS</w:t>
      </w:r>
    </w:p>
    <w:p w14:paraId="2D07B022" w14:textId="77777777" w:rsidR="0072615D" w:rsidRDefault="0072615D">
      <w:pPr>
        <w:pStyle w:val="Bodytext20"/>
        <w:spacing w:line="290" w:lineRule="auto"/>
        <w:jc w:val="both"/>
      </w:pPr>
      <w:r>
        <w:t>Fabricante de la vacuna, número de lote y fecha de aplicación</w:t>
      </w:r>
      <w:r>
        <w:rPr>
          <w:vertAlign w:val="superscript"/>
        </w:rPr>
        <w:t>1</w:t>
      </w:r>
    </w:p>
    <w:p w14:paraId="1AFCD3BB" w14:textId="77777777" w:rsidR="0072615D" w:rsidRDefault="0072615D">
      <w:pPr>
        <w:pStyle w:val="Bodytext20"/>
        <w:spacing w:after="220" w:line="290" w:lineRule="auto"/>
        <w:jc w:val="both"/>
      </w:pPr>
      <w:r>
        <w:t>Nombre y domicilio comercial del profesional asistencial que aplicó la vacuna</w:t>
      </w:r>
      <w:r>
        <w:rPr>
          <w:vertAlign w:val="superscript"/>
        </w:rPr>
        <w:t>1</w:t>
      </w:r>
    </w:p>
    <w:p w14:paraId="70537C6E" w14:textId="77777777" w:rsidR="0072615D" w:rsidRDefault="0072615D">
      <w:pPr>
        <w:pStyle w:val="Bodytext20"/>
        <w:spacing w:line="288" w:lineRule="auto"/>
        <w:jc w:val="both"/>
      </w:pPr>
      <w:r>
        <w:t>Fecha de la versión de VIS, además de la fecha en la que se suministró a los interesados</w:t>
      </w:r>
      <w:r>
        <w:rPr>
          <w:vertAlign w:val="superscript"/>
        </w:rPr>
        <w:t>2</w:t>
      </w:r>
    </w:p>
    <w:p w14:paraId="4DD97D73" w14:textId="77777777" w:rsidR="0072615D" w:rsidRDefault="0072615D">
      <w:pPr>
        <w:pStyle w:val="Bodytext20"/>
        <w:spacing w:line="288" w:lineRule="auto"/>
        <w:sectPr w:rsidR="0072615D" w:rsidSect="0072615D">
          <w:type w:val="continuous"/>
          <w:pgSz w:w="8501" w:h="13022"/>
          <w:pgMar w:top="941" w:right="734" w:bottom="941" w:left="1195" w:header="0" w:footer="3" w:gutter="0"/>
          <w:cols w:num="2" w:space="100"/>
          <w:noEndnote/>
          <w:docGrid w:linePitch="360"/>
          <w15:footnoteColumns w:val="1"/>
        </w:sectPr>
      </w:pPr>
      <w:r>
        <w:t>Sitio (como la zona deltoidea) y vía (p. ej., intramuscular) de administración y fecha de caducidad de la vacuna</w:t>
      </w:r>
      <w:r>
        <w:rPr>
          <w:vertAlign w:val="superscript"/>
        </w:rPr>
        <w:footnoteReference w:id="9"/>
      </w:r>
    </w:p>
    <w:p w14:paraId="2BAE776D" w14:textId="77777777" w:rsidR="0072615D" w:rsidRDefault="0072615D">
      <w:pPr>
        <w:rPr>
          <w:sz w:val="2"/>
          <w:szCs w:val="2"/>
        </w:rPr>
        <w:sectPr w:rsidR="0072615D" w:rsidSect="0072615D">
          <w:type w:val="continuous"/>
          <w:pgSz w:w="8501" w:h="13022"/>
          <w:pgMar w:top="941" w:right="734" w:bottom="941" w:left="1195" w:header="0" w:footer="3" w:gutter="0"/>
          <w:cols w:num="2" w:space="100"/>
          <w:noEndnote/>
          <w:docGrid w:linePitch="360"/>
          <w15:footnoteColumns w:val="1"/>
        </w:sectPr>
      </w:pPr>
    </w:p>
    <w:p w14:paraId="5F28517C" w14:textId="77777777" w:rsidR="0072615D" w:rsidRDefault="0072615D">
      <w:pPr>
        <w:pStyle w:val="BodyText"/>
        <w:ind w:firstLine="0"/>
      </w:pPr>
      <w:r>
        <w:t xml:space="preserve">de vacunas, o bien puede solicitarse por la línea telefónica directa de Inmunización Nacional (1-800-232-2522 en lengua inglesa y 1-800-232-0233 en legua española). También se pueden obtener copias en la página </w:t>
      </w:r>
      <w:r>
        <w:rPr>
          <w:rFonts w:ascii="Times New Roman" w:eastAsia="Times New Roman" w:hAnsi="Times New Roman" w:cs="Times New Roman"/>
          <w:i/>
          <w:iCs/>
          <w:sz w:val="16"/>
          <w:szCs w:val="16"/>
        </w:rPr>
        <w:t>Web</w:t>
      </w:r>
      <w:r>
        <w:t xml:space="preserve"> de NIP (</w:t>
      </w:r>
      <w:hyperlink r:id="rId38" w:history="1">
        <w:r>
          <w:t>www.cdc.gov/nip/</w:t>
        </w:r>
      </w:hyperlink>
      <w:r>
        <w:t xml:space="preserve"> publications/VIS/default.htm) y la página </w:t>
      </w:r>
      <w:r>
        <w:rPr>
          <w:rFonts w:ascii="Times New Roman" w:eastAsia="Times New Roman" w:hAnsi="Times New Roman" w:cs="Times New Roman"/>
          <w:i/>
          <w:iCs/>
          <w:sz w:val="16"/>
          <w:szCs w:val="16"/>
        </w:rPr>
        <w:t>Web</w:t>
      </w:r>
      <w:r>
        <w:t xml:space="preserve"> de la </w:t>
      </w:r>
      <w:r>
        <w:rPr>
          <w:rFonts w:ascii="Times New Roman" w:eastAsia="Times New Roman" w:hAnsi="Times New Roman" w:cs="Times New Roman"/>
          <w:i/>
          <w:iCs/>
          <w:sz w:val="16"/>
          <w:szCs w:val="16"/>
        </w:rPr>
        <w:t xml:space="preserve">Immunization Action Coalition </w:t>
      </w:r>
      <w:r>
        <w:t>(</w:t>
      </w:r>
      <w:hyperlink r:id="rId39" w:history="1">
        <w:r>
          <w:t>www.immunize.org</w:t>
        </w:r>
      </w:hyperlink>
      <w:r>
        <w:t xml:space="preserve">) en idioma inglés y en muchos otros. Los médicos deben asegurarse que la forma VIS obtenida sea la versión actualizada, y para ello observarán la fecha de publicación. Para saber si se trata de la versión más reciente puede solicitarse información a la línea telefónica directa de Inmunización Nacional o consúltese la página </w:t>
      </w:r>
      <w:r>
        <w:rPr>
          <w:rFonts w:ascii="Times New Roman" w:eastAsia="Times New Roman" w:hAnsi="Times New Roman" w:cs="Times New Roman"/>
          <w:i/>
          <w:iCs/>
          <w:sz w:val="16"/>
          <w:szCs w:val="16"/>
        </w:rPr>
        <w:t>Web</w:t>
      </w:r>
      <w:r>
        <w:t xml:space="preserve"> de NIP (</w:t>
      </w:r>
      <w:hyperlink r:id="rId40" w:history="1">
        <w:r>
          <w:t>www.cdc.gov/nip/publications/VIS/default.htm</w:t>
        </w:r>
      </w:hyperlink>
      <w:r>
        <w:t>).</w:t>
      </w:r>
    </w:p>
    <w:p w14:paraId="28CAE76D" w14:textId="77777777" w:rsidR="0072615D" w:rsidRDefault="0072615D">
      <w:pPr>
        <w:pStyle w:val="BodyText"/>
        <w:ind w:firstLine="360"/>
      </w:pPr>
      <w:r>
        <w:t>NCVIA exige a los médicos que aplican vacunas incluidas en el programa VICP, obtenidas con fondos privados o públicos, que registren en la historia clínica del paciente la información que se muestra en el cuadro 1-2. En el caso de vacunas adquiridas por medio de un contrato con los CDC, se solicita al médico que registre la fecha de publicación de la VIS y la fecha en que se dio la declaración sobre información de vacunas (VIS) al paciente, sus padres, el tutor legal, o a todas las partes interesadas. Las normas de distribución de VIS y de registro de vacunas son válidas para vacunas de adquisición con fondos privados, no cubiertas por VICP, pero AAP recomienda utilizar las VIS y cumplir con las mismas prácticas de registro de datos con todas las vacunas. AAP también recomienda registrar el sitio y la vía de administración, así como la fecha de caducidad de la vacuna después de administrar cualquiera de estos productos.</w:t>
      </w:r>
    </w:p>
    <w:p w14:paraId="0B1D1139" w14:textId="77777777" w:rsidR="0072615D" w:rsidRDefault="0072615D">
      <w:pPr>
        <w:pStyle w:val="BodyText"/>
        <w:spacing w:after="100"/>
        <w:ind w:firstLine="360"/>
      </w:pPr>
      <w:r>
        <w:t>Los nuevos formatos de VIS no solicitan la firma de los padres o de los pacientes, para indicar que leyeron y entendieron el material. Sin embargo, el profesional asistencial tiene la opción de solicitarla. Se obtenga o no tal firma, AAP recomienda que los profesionales en la atención de la salud señalen en el expediente clínico que se suministró VIS y se le comentó con el paciente, sus padres, el tutor legal, o las tres partes mencionadas.</w:t>
      </w:r>
    </w:p>
    <w:p w14:paraId="752A7C43" w14:textId="77777777" w:rsidR="0072615D" w:rsidRDefault="0072615D">
      <w:pPr>
        <w:pStyle w:val="Other0"/>
        <w:spacing w:after="240" w:line="240" w:lineRule="auto"/>
        <w:ind w:firstLine="0"/>
        <w:rPr>
          <w:sz w:val="32"/>
          <w:szCs w:val="32"/>
        </w:rPr>
      </w:pPr>
      <w:r>
        <w:rPr>
          <w:rFonts w:ascii="Arial" w:eastAsia="Arial" w:hAnsi="Arial" w:cs="Arial"/>
          <w:b/>
          <w:bCs/>
          <w:w w:val="70"/>
          <w:sz w:val="32"/>
          <w:szCs w:val="32"/>
        </w:rPr>
        <w:t>Señalamiento de riesgos</w:t>
      </w:r>
    </w:p>
    <w:p w14:paraId="79EE1E42" w14:textId="77777777" w:rsidR="0072615D" w:rsidRDefault="0072615D">
      <w:pPr>
        <w:pStyle w:val="BodyText"/>
        <w:ind w:firstLine="0"/>
      </w:pPr>
      <w:r>
        <w:t>Los profesionales asistenciales deben prever que algunos padres cuestionarán la necesidad de las vacunaciones o la inocuidad de ellas y rechazarán la aplicación de algunas vacunas o incluso de todas en sus hijos. Algunos progenitores pueden tener objeciones religiosas o filosóficas a las vacunas; otros quizá lo único que deseen sea iniciar un diálogo con el médico de sus hijos para conocer los riesgos y beneficios de una o más vacunas. Lo mejor es asumir una actitud acrítica. Lo ideal es que los profesionales de la atención de la salud determinen en términos generales qué entienden los padres sobre las vacunas que recibirán sus hijos, la índole de sus preocupaciones, sus ideas sanitarias y la información que para ellos es creíble. Las inquietudes se revisarán al plantear las preguntas siguientes:</w:t>
      </w:r>
    </w:p>
    <w:p w14:paraId="3F0BB6FF" w14:textId="77777777" w:rsidR="0072615D" w:rsidRDefault="0072615D">
      <w:pPr>
        <w:pStyle w:val="BodyText"/>
        <w:numPr>
          <w:ilvl w:val="0"/>
          <w:numId w:val="18"/>
        </w:numPr>
        <w:tabs>
          <w:tab w:val="left" w:pos="265"/>
        </w:tabs>
        <w:ind w:firstLine="0"/>
      </w:pPr>
      <w:bookmarkStart w:id="77" w:name="bookmark77"/>
      <w:bookmarkEnd w:id="77"/>
      <w:r>
        <w:t>¿Tiene usted alguna idea cultural, religiosa o personal en cuanto a las vacunaciones?</w:t>
      </w:r>
    </w:p>
    <w:p w14:paraId="3F783991" w14:textId="77777777" w:rsidR="0072615D" w:rsidRDefault="0072615D">
      <w:pPr>
        <w:pStyle w:val="BodyText"/>
        <w:numPr>
          <w:ilvl w:val="0"/>
          <w:numId w:val="18"/>
        </w:numPr>
        <w:tabs>
          <w:tab w:val="left" w:pos="284"/>
        </w:tabs>
        <w:ind w:firstLine="0"/>
      </w:pPr>
      <w:bookmarkStart w:id="78" w:name="bookmark78"/>
      <w:bookmarkEnd w:id="78"/>
      <w:r>
        <w:t>¿Su hijo o cualquier niño que usted conozca han tenido una reacción adversa grave después de alguna vacunación? 3) ¿Tiene usted alguna duda o preocupación por la inocuidad de las vacunas? 4) ¿Qué información sobre la inocuidad de las vacunas le gustaría recibir del médico?.</w:t>
      </w:r>
    </w:p>
    <w:p w14:paraId="02453CDB" w14:textId="77777777" w:rsidR="0072615D" w:rsidRDefault="0072615D">
      <w:pPr>
        <w:pStyle w:val="BodyText"/>
        <w:ind w:firstLine="360"/>
      </w:pPr>
      <w:r>
        <w:t>Las personas entienden y reaccionan a la información sobre vacunas, conforme a factores diversos como son experiencias anteriores, actitudes, ideas sobre salud, valores personales y enseñanza. También contribuyen a entender lo referente a las vacunaciones el método que se escoge para plantear los datos sobre ellas, así como la percepción que tiene la persona de los riesgos de enfermedad, la capacidad percibida de controlarlos y la preferencia por ellos. En el caso de algunas personas que recurren a la medicina alternativa, a veces el riesgo de vacunación es considerado mucho mayor del que verdaderamente es, por lo que la vacunación no se le percibe como beneficiosa. Otros pueden apoyarse en aspectos sociopolíticos, como la vacunación obligatoria, el consentimiento informado y la primacía de los derechos individuales sobre los beneficios para la sociedad.</w:t>
      </w:r>
    </w:p>
    <w:p w14:paraId="353C547B" w14:textId="77777777" w:rsidR="0072615D" w:rsidRDefault="0072615D">
      <w:pPr>
        <w:pStyle w:val="BodyText"/>
        <w:ind w:firstLine="360"/>
      </w:pPr>
      <w:r>
        <w:t>Algunos padres se enteran por los medios de comunicación o por información obtenida de algunas páginas Web sin ninguna autoridad en la materia, de aspectos controvertidos de las vacunas que están programadas para ser aplicadas a sus hijos. Muchos aspectos en cuanto a las vacunas de niños, expuestos por tales medios se presentan de manera incompleta o inexacta. Cuando un progenitor inicia una discusión sobre controversias relacionadas con las vacunas, el profesional asistencial debe orientarse a preocupaciones y puntos específicos y aportar datos sobre hechos en un lenguaje adecuado para los padres. Los profesionales asistenciales, por medio del diálogo directo con los progenitores y el empleo de recursos disponibles pueden evitar la aceptación de señalamientos inexactos de medios de comunicación y datos obtenidos de fuentes que no constituyen autoridades en la materia.</w:t>
      </w:r>
    </w:p>
    <w:p w14:paraId="6681D1FE" w14:textId="77777777" w:rsidR="0072615D" w:rsidRDefault="0072615D">
      <w:pPr>
        <w:pStyle w:val="BodyText"/>
        <w:spacing w:after="560" w:line="276" w:lineRule="auto"/>
        <w:ind w:firstLine="360"/>
      </w:pPr>
      <w:r>
        <w:t xml:space="preserve">La información eficaz y empática de los riesgos de las vacunas es esencial para contrarrestar la información errónea y las dudas, aunque hay que reconocer que para algunos progenitores es difícil y confuso evaluar riesgos y tomar decisiones. El progenitor renuente quizá acepte el uso de algunas de las vacunas. Habrá que abordar sus dudas e inquietudes sobre la inocuidad de los productos en el marco de esta información, y para ello habrá que utilizar los formatos oficiales VIS (véanse párrafos anteriores) y ofrecer otros materiales y orientación (véase más adelante en esta sección “Conceptos erróneos de los padres respecto de las inmunizaciones”). Los profesionales de la atención de la salud reforzarán puntos importantes sobre cada vacuna, que incluyen su inocuidad, y destacarán los riesgos a que se exponen los niños no vacunados. Dos fuentes valiosas de información que pueden suministrarse a los padres, o a las que pueden recurrir, ambas gratuitas, son la llamada </w:t>
      </w:r>
      <w:r>
        <w:rPr>
          <w:rFonts w:ascii="Times New Roman" w:eastAsia="Times New Roman" w:hAnsi="Times New Roman" w:cs="Times New Roman"/>
          <w:i/>
          <w:iCs/>
          <w:sz w:val="16"/>
          <w:szCs w:val="16"/>
        </w:rPr>
        <w:t>“Parent’s Guide to Childhood Immunization’</w:t>
      </w:r>
      <w:r>
        <w:t xml:space="preserve"> (del </w:t>
      </w:r>
      <w:r>
        <w:rPr>
          <w:rFonts w:ascii="Times New Roman" w:eastAsia="Times New Roman" w:hAnsi="Times New Roman" w:cs="Times New Roman"/>
          <w:i/>
          <w:iCs/>
          <w:sz w:val="16"/>
          <w:szCs w:val="16"/>
        </w:rPr>
        <w:t>National Immunization Program</w:t>
      </w:r>
      <w:r>
        <w:rPr>
          <w:i/>
          <w:iCs/>
        </w:rPr>
        <w:t>)</w:t>
      </w:r>
      <w:r>
        <w:t xml:space="preserve"> (</w:t>
      </w:r>
      <w:hyperlink r:id="rId41" w:history="1">
        <w:r>
          <w:t>www.cdc.gov/nip</w:t>
        </w:r>
      </w:hyperlink>
      <w:r>
        <w:t xml:space="preserve"> o el número telefónico 1-800-232-2522 para angloparlantes o 1-800-232-0233 para quienes hablan español) y </w:t>
      </w:r>
      <w:r>
        <w:rPr>
          <w:i/>
          <w:iCs/>
        </w:rPr>
        <w:t>“</w:t>
      </w:r>
      <w:r>
        <w:rPr>
          <w:rFonts w:ascii="Times New Roman" w:eastAsia="Times New Roman" w:hAnsi="Times New Roman" w:cs="Times New Roman"/>
          <w:i/>
          <w:iCs/>
          <w:sz w:val="16"/>
          <w:szCs w:val="16"/>
        </w:rPr>
        <w:t>Reference Guide ... to Vaccines and Vaccine Safety”</w:t>
      </w:r>
      <w:r>
        <w:t xml:space="preserve"> de la </w:t>
      </w:r>
      <w:r>
        <w:rPr>
          <w:rFonts w:ascii="Times New Roman" w:eastAsia="Times New Roman" w:hAnsi="Times New Roman" w:cs="Times New Roman"/>
          <w:i/>
          <w:iCs/>
          <w:sz w:val="16"/>
          <w:szCs w:val="16"/>
        </w:rPr>
        <w:t>National Partnership for Immunizations’</w:t>
      </w:r>
      <w:r>
        <w:t xml:space="preserve"> (número telefónico 301-656-0003 o la página </w:t>
      </w:r>
      <w:hyperlink r:id="rId42" w:history="1">
        <w:r>
          <w:t>www.partnersforimmunization.org</w:t>
        </w:r>
      </w:hyperlink>
      <w:r>
        <w:t>). Es importante orientar a los padres de que las leyes estatales respecto del ingreso del niño a la escuela o al sistema de asistencia, pueden exigir que los menores no inmunizados no acudan a la escuela durante brotes de enfermedades. Asentar en la historia clínica del paciente dichas conversaciones permite disminuir cualquier situación de responsabilidad o culpa posible en caso de que surja una enfermedad evitable con vacuna, en un paciente no inmunizado.</w:t>
      </w:r>
    </w:p>
    <w:p w14:paraId="1D61EFEB" w14:textId="77777777" w:rsidR="0072615D" w:rsidRDefault="0072615D">
      <w:pPr>
        <w:pStyle w:val="Other0"/>
        <w:spacing w:after="240" w:line="240" w:lineRule="auto"/>
        <w:ind w:firstLine="0"/>
        <w:jc w:val="center"/>
        <w:rPr>
          <w:sz w:val="32"/>
          <w:szCs w:val="32"/>
        </w:rPr>
      </w:pPr>
      <w:r>
        <w:rPr>
          <w:rFonts w:ascii="Times New Roman" w:eastAsia="Times New Roman" w:hAnsi="Times New Roman" w:cs="Times New Roman"/>
          <w:smallCaps/>
          <w:sz w:val="34"/>
          <w:szCs w:val="34"/>
        </w:rPr>
        <w:t>I</w:t>
      </w:r>
      <w:r>
        <w:rPr>
          <w:rFonts w:ascii="Times New Roman" w:eastAsia="Times New Roman" w:hAnsi="Times New Roman" w:cs="Times New Roman"/>
          <w:smallCaps/>
          <w:sz w:val="32"/>
          <w:szCs w:val="32"/>
        </w:rPr>
        <w:t>nmunización activa</w:t>
      </w:r>
    </w:p>
    <w:p w14:paraId="513DBA66" w14:textId="77777777" w:rsidR="0072615D" w:rsidRDefault="0072615D">
      <w:pPr>
        <w:pStyle w:val="BodyText"/>
        <w:ind w:firstLine="0"/>
      </w:pPr>
      <w:r>
        <w:t>La inmunización activa entraña la aplicación de un microorganismo en su totalidad o parte de él o un producto modificado obtenido del mismo (como un toxoide, un antígeno purificado o un antígeno producido por ingeniería genética) para desencadenar tiene la persona de los riesgos de enfermedad, la capacidad percibida de controlarlos y la preferencia por ellos. En el caso de algunas personas que recurren a la medicina alternativa, a veces el riesgo de vacunación es considerado mucho mayor del que verdaderamente es, por lo que la vacunación no se le percibe como beneficiosa. Otros pueden apoyarse en aspectos sociopolíticos, como la vacunación obligatoria, el consentimiento informado y la primacía de los derechos individuales sobre los beneficios para la sociedad.</w:t>
      </w:r>
    </w:p>
    <w:p w14:paraId="4824C574" w14:textId="77777777" w:rsidR="0072615D" w:rsidRDefault="0072615D">
      <w:pPr>
        <w:pStyle w:val="BodyText"/>
        <w:ind w:firstLine="360"/>
      </w:pPr>
      <w:r>
        <w:t>Algunos padres se enteran por los medios de comunicación o por información obtenida de algunas páginas Web sin ninguna autoridad en la materia, de aspectos controvertidos de las vacunas que están programadas para ser aplicadas a sus hijos. Muchos aspectos en cuanto a las vacunas de niños, expuestos por tales medios se presentan de manera incompleta o inexacta. Cuando un progenitor inicia una discusión sobre controversias relacionadas con las vacunas, el profesional asistencial debe orientarse a preocupaciones y puntos específicos y aportar datos sobre hechos en un lenguaje adecuado para los padres. Los profesionales asistenciales, por medio del diálogo directo con los progenitores y el empleo de recursos disponibles pueden evitar la aceptación de señalamientos inexactos de medios de comunicación y datos obtenidos de fuentes que no constituyen autoridades en la materia.</w:t>
      </w:r>
    </w:p>
    <w:p w14:paraId="45B7CA48" w14:textId="77777777" w:rsidR="0072615D" w:rsidRDefault="0072615D">
      <w:pPr>
        <w:pStyle w:val="BodyText"/>
        <w:spacing w:after="560" w:line="276" w:lineRule="auto"/>
        <w:ind w:firstLine="360"/>
      </w:pPr>
      <w:r>
        <w:t xml:space="preserve">La información eficaz y empática de los riesgos de las vacunas es esencial para contrarrestar la información errónea y las dudas, aunque hay que reconocer que para algunos progenitores es difícil y confuso evaluar riesgos y tomar decisiones. El progenitor renuente quizá acepte el uso de algunas de las vacunas. Habrá que abordar sus dudas e inquietudes sobre la inocuidad de los productos en el marco de esta información, y para ello habrá que utilizar los formatos oficiales VIS (véanse párrafos anteriores) y ofrecer otros materiales y orientación (véase más adelante en esta sección “Conceptos erróneos de los padres respecto de las inmunizaciones”). Los profesionales de la atención de la salud reforzarán puntos importantes sobre cada vacuna, que incluyen su inocuidad, y destacarán los riesgos a que se exponen los niños no vacunados. Dos fuentes valiosas de información que pueden suministrarse a los padres, o a las que pueden recurrir, ambas gratuitas, son la llamada </w:t>
      </w:r>
      <w:r>
        <w:rPr>
          <w:rFonts w:ascii="Times New Roman" w:eastAsia="Times New Roman" w:hAnsi="Times New Roman" w:cs="Times New Roman"/>
          <w:i/>
          <w:iCs/>
          <w:sz w:val="16"/>
          <w:szCs w:val="16"/>
        </w:rPr>
        <w:t>“Parent’s Guide to Childhood Immunization’</w:t>
      </w:r>
      <w:r>
        <w:t xml:space="preserve"> (del </w:t>
      </w:r>
      <w:r>
        <w:rPr>
          <w:rFonts w:ascii="Times New Roman" w:eastAsia="Times New Roman" w:hAnsi="Times New Roman" w:cs="Times New Roman"/>
          <w:i/>
          <w:iCs/>
          <w:sz w:val="16"/>
          <w:szCs w:val="16"/>
        </w:rPr>
        <w:t>National Immunization Program</w:t>
      </w:r>
      <w:r>
        <w:rPr>
          <w:i/>
          <w:iCs/>
        </w:rPr>
        <w:t>)</w:t>
      </w:r>
      <w:r>
        <w:t xml:space="preserve"> (</w:t>
      </w:r>
      <w:hyperlink r:id="rId43" w:history="1">
        <w:r>
          <w:t>www.cdc.gov/nip</w:t>
        </w:r>
      </w:hyperlink>
      <w:r>
        <w:t xml:space="preserve"> o el número telefónico 1-800-232-2522 para angloparlantes o 1-800-232-0233 para quienes hablan español) y </w:t>
      </w:r>
      <w:r>
        <w:rPr>
          <w:i/>
          <w:iCs/>
        </w:rPr>
        <w:t>“</w:t>
      </w:r>
      <w:r>
        <w:rPr>
          <w:rFonts w:ascii="Times New Roman" w:eastAsia="Times New Roman" w:hAnsi="Times New Roman" w:cs="Times New Roman"/>
          <w:i/>
          <w:iCs/>
          <w:sz w:val="16"/>
          <w:szCs w:val="16"/>
        </w:rPr>
        <w:t>Reference Guide ... to Vaccines and Vaccine Safety”</w:t>
      </w:r>
      <w:r>
        <w:t xml:space="preserve"> de la </w:t>
      </w:r>
      <w:r>
        <w:rPr>
          <w:rFonts w:ascii="Times New Roman" w:eastAsia="Times New Roman" w:hAnsi="Times New Roman" w:cs="Times New Roman"/>
          <w:i/>
          <w:iCs/>
          <w:sz w:val="16"/>
          <w:szCs w:val="16"/>
        </w:rPr>
        <w:t>National Partnership for Immunizations’</w:t>
      </w:r>
      <w:r>
        <w:t xml:space="preserve"> (número telefónico 301-656-0003 o la página </w:t>
      </w:r>
      <w:hyperlink r:id="rId44" w:history="1">
        <w:r>
          <w:t>www.partnersforimmunization.org</w:t>
        </w:r>
      </w:hyperlink>
      <w:r>
        <w:t>). Es importante orientar a los padres de que las leyes estatales respecto del ingreso del niño a la escuela o al sistema de asistencia, pueden exigir que los menores no inmunizados no acudan a la escuela durante brotes de enfermedades. Asentar en la historia clínica del paciente dichas conversaciones permite disminuir cualquier situación de responsabilidad o culpa posible en caso de que surja una enfermedad evitable con vacuna, en un paciente no inmunizado.</w:t>
      </w:r>
    </w:p>
    <w:p w14:paraId="36D80F83" w14:textId="77777777" w:rsidR="0072615D" w:rsidRDefault="0072615D">
      <w:pPr>
        <w:pStyle w:val="Other0"/>
        <w:spacing w:after="240" w:line="240" w:lineRule="auto"/>
        <w:ind w:firstLine="0"/>
        <w:jc w:val="center"/>
        <w:rPr>
          <w:sz w:val="32"/>
          <w:szCs w:val="32"/>
        </w:rPr>
      </w:pPr>
      <w:r>
        <w:rPr>
          <w:rFonts w:ascii="Times New Roman" w:eastAsia="Times New Roman" w:hAnsi="Times New Roman" w:cs="Times New Roman"/>
          <w:smallCaps/>
          <w:sz w:val="34"/>
          <w:szCs w:val="34"/>
        </w:rPr>
        <w:t>I</w:t>
      </w:r>
      <w:r>
        <w:rPr>
          <w:rFonts w:ascii="Times New Roman" w:eastAsia="Times New Roman" w:hAnsi="Times New Roman" w:cs="Times New Roman"/>
          <w:smallCaps/>
          <w:sz w:val="32"/>
          <w:szCs w:val="32"/>
        </w:rPr>
        <w:t>nmunización activa</w:t>
      </w:r>
    </w:p>
    <w:p w14:paraId="19D7E8E3" w14:textId="77777777" w:rsidR="0072615D" w:rsidRDefault="0072615D">
      <w:pPr>
        <w:pStyle w:val="BodyText"/>
        <w:ind w:firstLine="0"/>
        <w:sectPr w:rsidR="0072615D" w:rsidSect="0072615D">
          <w:headerReference w:type="even" r:id="rId45"/>
          <w:headerReference w:type="default" r:id="rId46"/>
          <w:headerReference w:type="first" r:id="rId47"/>
          <w:footnotePr>
            <w:numFmt w:val="chicago"/>
          </w:footnotePr>
          <w:pgSz w:w="8501" w:h="13022"/>
          <w:pgMar w:top="902" w:right="774" w:bottom="532" w:left="848" w:header="0" w:footer="3" w:gutter="0"/>
          <w:cols w:space="720"/>
          <w:noEndnote/>
          <w:titlePg/>
          <w:docGrid w:linePitch="360"/>
          <w15:footnoteColumns w:val="1"/>
        </w:sectPr>
      </w:pPr>
      <w:r>
        <w:t xml:space="preserve">La inmunización activa entraña la aplicación de un microorganismo en su totalidad o parte de él o un producto modificado obtenido del mismo (como un toxoide, un antígeno purificado o un antígeno producido por ingeniería genética) para desencadenar </w:t>
      </w:r>
    </w:p>
    <w:p w14:paraId="0B0E0D35" w14:textId="77777777" w:rsidR="0072615D" w:rsidRDefault="0072615D">
      <w:pPr>
        <w:pStyle w:val="BodyText"/>
        <w:ind w:firstLine="0"/>
      </w:pPr>
      <w:r>
        <w:t>una respuesta inmunitaria que remede la infección natural, pero que imponga riesgo mínimo o nulo a quien lo recibe. La inmunización puede originar una antitoxina, alguna actividad antiadherencia, antiinvasora o neutralizante u otros tipos de respuesta protectora de índole humoral o celular en el receptor. Con algunos agentes inmunizantes se obtiene una protección completa casi permanente (durante toda la vida) contra la enfermedad; con otros se obtiene protección parcial, y algunos otros habrá que administrar los repetidas veces a intervalos regulares. La eficacia de una vacuna o un toxoide se valora por medio de los signos de protección que genera contra la enfermedad natural. La inducción de anticuerpos suele ser un índice indirecto de protección, pero en el caso de algunas enfermedades, como la tos ferina, no se conoce en detalle la magnitud de la respuesta inmunitaria que guarda relación con la protección; además, la concentración de anticuerpos séricos no siempre es un elemento que predice tal fenómeno protector.</w:t>
      </w:r>
    </w:p>
    <w:p w14:paraId="351D5B55" w14:textId="77777777" w:rsidR="0072615D" w:rsidRDefault="0072615D">
      <w:pPr>
        <w:pStyle w:val="BodyText"/>
        <w:spacing w:line="271" w:lineRule="auto"/>
        <w:ind w:firstLine="360"/>
      </w:pPr>
      <w:r>
        <w:t xml:space="preserve">Las vacunas hechas con un agente infeccioso intacto pueden incorporar microorganismos vivos (atenuados) o muertos (inactivados). Las vacunas aprobadas para la inmunización en Estados Unidos se incluyen en el cuadro 1-3. La </w:t>
      </w:r>
      <w:r>
        <w:rPr>
          <w:rFonts w:ascii="Times New Roman" w:eastAsia="Times New Roman" w:hAnsi="Times New Roman" w:cs="Times New Roman"/>
          <w:i/>
          <w:iCs/>
          <w:sz w:val="16"/>
          <w:szCs w:val="16"/>
        </w:rPr>
        <w:t>Food and Drug Administration (FDA)</w:t>
      </w:r>
      <w:r>
        <w:t xml:space="preserve"> en Estados Unidos sostiene y actualiza una página </w:t>
      </w:r>
      <w:r>
        <w:rPr>
          <w:rFonts w:ascii="Times New Roman" w:eastAsia="Times New Roman" w:hAnsi="Times New Roman" w:cs="Times New Roman"/>
          <w:i/>
          <w:iCs/>
          <w:sz w:val="16"/>
          <w:szCs w:val="16"/>
        </w:rPr>
        <w:t xml:space="preserve">Web </w:t>
      </w:r>
      <w:r>
        <w:t>en que se señalan las vacunas que han sido aprobadas para inmunización en Estados Unidos (</w:t>
      </w:r>
      <w:hyperlink r:id="rId48" w:history="1">
        <w:r>
          <w:t>www.fda.gov/cber/vaccine/licvacc.htm</w:t>
        </w:r>
      </w:hyperlink>
      <w:r>
        <w:t>). Muchas vacunas víricas contienen virus vivos atenuados. Después de administrarlas surge infección activa por la réplica vírica, pero es escasa o nula alguna reacción adversa en el hospedador. Las vacunas contra algunos virus y casi todas las bacterias son preparados inactivados (muertos) hechos de subunidades (componentes purificados), o por medios químicos se desconjuga con proteínas inmunobiológicamente activas (como los toxoides tetánicos). Los virus y las bacterias en preparados a base de subunidades e inactivadas y conjugados no son capaces de multiplicarse en el hospedador; por tal razón, tales productos deben contener una masa antigénica suficiente para estimular la respuesta buscada. Conservar la inmunidad permanente con vacunas a base de virus o bacterias inactivadas obliga a veces a la administración periódica de dosis de refuerzo. Las vacunas con productos inactivados quizá no desencadenen toda la variada respuesta inmunitaria que se obtiene con los agentes vivos atenuados. Por ejemplo, la vacuna hecha de virus inactivados puede desencadenar después de su inyección la producción de suficientes anticuerpos séricos o de inmunidad de tipo celular, pero desencadenar sólo la mínima producción de anticuerpos locales en la forma de inmunoglobulina secretoria (Ig) A. Por tal razón, la protección de la mucosa después de administrar vacunas inactivadas suele ser inferior a la inmunidad de mucosas, inducida por las vacunas con microorganismos vivos. La presencia de factores séricos (anticuerpos) y celulares evita o aplaca la infección sistémica, pero hay infección local o colonización con el agente. Sin embargo, los virus y las bacterias en vacunas inactivadas no muestran réplica (multiplicación) ni pueden ser excretados por quien recibe la vacuna en la forma de agentes infecciosos y, por consiguiente, no afectan de manera adversa a los hospedadores con inmunosupresión o sus contactos.</w:t>
      </w:r>
    </w:p>
    <w:p w14:paraId="4245A4BE" w14:textId="77777777" w:rsidR="0072615D" w:rsidRDefault="0072615D">
      <w:pPr>
        <w:pStyle w:val="BodyText"/>
        <w:ind w:firstLine="360"/>
      </w:pPr>
      <w:r>
        <w:t>Es importante cumplir las recomendaciones en cuanto a dosis, almacenamiento y manejo de vacunas, vía y técnica de administración y calendario de inmunización para lograr una inmunización predecible y eficaz (véanse resúmenes específicos de las enfermedades infecciosas en la sección 3). Las recomendaciones similares son de máxima importancia para obtener buenos resultados de las prácticas de vacunación.</w:t>
      </w:r>
      <w:r>
        <w:br w:type="page"/>
      </w:r>
    </w:p>
    <w:p w14:paraId="04CDF733" w14:textId="77777777" w:rsidR="0072615D" w:rsidRDefault="0072615D">
      <w:pPr>
        <w:pStyle w:val="Heading31"/>
        <w:keepNext/>
        <w:keepLines/>
        <w:spacing w:after="40" w:line="221" w:lineRule="auto"/>
        <w:jc w:val="center"/>
      </w:pPr>
      <w:bookmarkStart w:id="79" w:name="bookmark79"/>
      <w:bookmarkStart w:id="80" w:name="bookmark80"/>
      <w:bookmarkStart w:id="81" w:name="bookmark81"/>
      <w:r>
        <w:rPr>
          <w:b w:val="0"/>
          <w:bCs w:val="0"/>
        </w:rPr>
        <w:t xml:space="preserve">Cuadro 1- 3. </w:t>
      </w:r>
      <w:r>
        <w:t>Vacunas producidas, autorizadas, o ambas,</w:t>
      </w:r>
      <w:r>
        <w:br/>
        <w:t>en Estados Unidos y sus vías de administración</w:t>
      </w:r>
      <w:r>
        <w:rPr>
          <w:vertAlign w:val="superscript"/>
        </w:rPr>
        <w:t>1</w:t>
      </w:r>
      <w:bookmarkEnd w:id="79"/>
      <w:bookmarkEnd w:id="80"/>
      <w:bookmarkEnd w:id="81"/>
    </w:p>
    <w:tbl>
      <w:tblPr>
        <w:tblOverlap w:val="never"/>
        <w:tblW w:w="0" w:type="auto"/>
        <w:jc w:val="center"/>
        <w:tblLayout w:type="fixed"/>
        <w:tblCellMar>
          <w:left w:w="10" w:type="dxa"/>
          <w:right w:w="10" w:type="dxa"/>
        </w:tblCellMar>
        <w:tblLook w:val="04A0" w:firstRow="1" w:lastRow="0" w:firstColumn="1" w:lastColumn="0" w:noHBand="0" w:noVBand="1"/>
      </w:tblPr>
      <w:tblGrid>
        <w:gridCol w:w="2088"/>
        <w:gridCol w:w="2875"/>
        <w:gridCol w:w="1882"/>
      </w:tblGrid>
      <w:tr w:rsidR="0072615D" w14:paraId="0B6AFA70" w14:textId="77777777">
        <w:tblPrEx>
          <w:tblCellMar>
            <w:top w:w="0" w:type="dxa"/>
            <w:bottom w:w="0" w:type="dxa"/>
          </w:tblCellMar>
        </w:tblPrEx>
        <w:trPr>
          <w:trHeight w:hRule="exact" w:val="278"/>
          <w:jc w:val="center"/>
        </w:trPr>
        <w:tc>
          <w:tcPr>
            <w:tcW w:w="2088" w:type="dxa"/>
            <w:shd w:val="clear" w:color="auto" w:fill="231F20"/>
            <w:vAlign w:val="bottom"/>
          </w:tcPr>
          <w:p w14:paraId="6C9121C3"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2875" w:type="dxa"/>
            <w:shd w:val="clear" w:color="auto" w:fill="231F20"/>
            <w:vAlign w:val="bottom"/>
          </w:tcPr>
          <w:p w14:paraId="16C92590"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24"/>
                <w:szCs w:val="24"/>
              </w:rPr>
            </w:pPr>
            <w:r>
              <w:rPr>
                <w:rFonts w:ascii="Arial" w:eastAsia="Arial" w:hAnsi="Arial" w:cs="Arial"/>
                <w:b/>
                <w:bCs/>
                <w:color w:val="FFFFFF"/>
                <w:w w:val="70"/>
                <w:sz w:val="24"/>
                <w:szCs w:val="24"/>
              </w:rPr>
              <w:t>Tipo</w:t>
            </w:r>
          </w:p>
        </w:tc>
        <w:tc>
          <w:tcPr>
            <w:tcW w:w="1882" w:type="dxa"/>
            <w:shd w:val="clear" w:color="auto" w:fill="231F20"/>
            <w:vAlign w:val="bottom"/>
          </w:tcPr>
          <w:p w14:paraId="3DB2B232"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Vía</w:t>
            </w:r>
          </w:p>
        </w:tc>
      </w:tr>
      <w:tr w:rsidR="0072615D" w14:paraId="3BAA603F" w14:textId="77777777">
        <w:tblPrEx>
          <w:tblCellMar>
            <w:top w:w="0" w:type="dxa"/>
            <w:bottom w:w="0" w:type="dxa"/>
          </w:tblCellMar>
        </w:tblPrEx>
        <w:trPr>
          <w:trHeight w:hRule="exact" w:val="283"/>
          <w:jc w:val="center"/>
        </w:trPr>
        <w:tc>
          <w:tcPr>
            <w:tcW w:w="2088" w:type="dxa"/>
            <w:shd w:val="clear" w:color="auto" w:fill="FFFFFF"/>
            <w:vAlign w:val="bottom"/>
          </w:tcPr>
          <w:p w14:paraId="22165F1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BCG</w:t>
            </w:r>
          </w:p>
        </w:tc>
        <w:tc>
          <w:tcPr>
            <w:tcW w:w="2875" w:type="dxa"/>
            <w:shd w:val="clear" w:color="auto" w:fill="FFFFFF"/>
            <w:vAlign w:val="bottom"/>
          </w:tcPr>
          <w:p w14:paraId="4F4B15B4"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Bacterias vivas</w:t>
            </w:r>
          </w:p>
        </w:tc>
        <w:tc>
          <w:tcPr>
            <w:tcW w:w="1882" w:type="dxa"/>
            <w:shd w:val="clear" w:color="auto" w:fill="FFFFFF"/>
            <w:vAlign w:val="bottom"/>
          </w:tcPr>
          <w:p w14:paraId="0E8C6925"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ID (preferida) o SC</w:t>
            </w:r>
          </w:p>
        </w:tc>
      </w:tr>
      <w:tr w:rsidR="0072615D" w14:paraId="1ABA357A" w14:textId="77777777">
        <w:tblPrEx>
          <w:tblCellMar>
            <w:top w:w="0" w:type="dxa"/>
            <w:bottom w:w="0" w:type="dxa"/>
          </w:tblCellMar>
        </w:tblPrEx>
        <w:trPr>
          <w:trHeight w:hRule="exact" w:val="202"/>
          <w:jc w:val="center"/>
        </w:trPr>
        <w:tc>
          <w:tcPr>
            <w:tcW w:w="2088" w:type="dxa"/>
            <w:shd w:val="clear" w:color="auto" w:fill="FFFFFF"/>
          </w:tcPr>
          <w:p w14:paraId="123B266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Amarilla, fiebre</w:t>
            </w:r>
          </w:p>
        </w:tc>
        <w:tc>
          <w:tcPr>
            <w:tcW w:w="2875" w:type="dxa"/>
            <w:shd w:val="clear" w:color="auto" w:fill="FFFFFF"/>
          </w:tcPr>
          <w:p w14:paraId="023C3ABF"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vivo</w:t>
            </w:r>
          </w:p>
        </w:tc>
        <w:tc>
          <w:tcPr>
            <w:tcW w:w="1882" w:type="dxa"/>
            <w:shd w:val="clear" w:color="auto" w:fill="FFFFFF"/>
          </w:tcPr>
          <w:p w14:paraId="5BA66D41"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SC</w:t>
            </w:r>
          </w:p>
        </w:tc>
      </w:tr>
      <w:tr w:rsidR="0072615D" w14:paraId="34F3F53F" w14:textId="77777777">
        <w:tblPrEx>
          <w:tblCellMar>
            <w:top w:w="0" w:type="dxa"/>
            <w:bottom w:w="0" w:type="dxa"/>
          </w:tblCellMar>
        </w:tblPrEx>
        <w:trPr>
          <w:trHeight w:hRule="exact" w:val="221"/>
          <w:jc w:val="center"/>
        </w:trPr>
        <w:tc>
          <w:tcPr>
            <w:tcW w:w="2088" w:type="dxa"/>
            <w:shd w:val="clear" w:color="auto" w:fill="FFFFFF"/>
            <w:vAlign w:val="bottom"/>
          </w:tcPr>
          <w:p w14:paraId="74A2522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Difteria-tétanos (DT, Td)</w:t>
            </w:r>
          </w:p>
        </w:tc>
        <w:tc>
          <w:tcPr>
            <w:tcW w:w="2875" w:type="dxa"/>
            <w:shd w:val="clear" w:color="auto" w:fill="FFFFFF"/>
            <w:vAlign w:val="bottom"/>
          </w:tcPr>
          <w:p w14:paraId="12366AED"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Toxoides</w:t>
            </w:r>
          </w:p>
        </w:tc>
        <w:tc>
          <w:tcPr>
            <w:tcW w:w="1882" w:type="dxa"/>
            <w:shd w:val="clear" w:color="auto" w:fill="FFFFFF"/>
            <w:vAlign w:val="bottom"/>
          </w:tcPr>
          <w:p w14:paraId="4CB0C7F6"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66DBE421" w14:textId="77777777">
        <w:tblPrEx>
          <w:tblCellMar>
            <w:top w:w="0" w:type="dxa"/>
            <w:bottom w:w="0" w:type="dxa"/>
          </w:tblCellMar>
        </w:tblPrEx>
        <w:trPr>
          <w:trHeight w:hRule="exact" w:val="432"/>
          <w:jc w:val="center"/>
        </w:trPr>
        <w:tc>
          <w:tcPr>
            <w:tcW w:w="2088" w:type="dxa"/>
            <w:shd w:val="clear" w:color="auto" w:fill="FFFFFF"/>
          </w:tcPr>
          <w:p w14:paraId="0E14334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DTaP</w:t>
            </w:r>
          </w:p>
        </w:tc>
        <w:tc>
          <w:tcPr>
            <w:tcW w:w="2875" w:type="dxa"/>
            <w:shd w:val="clear" w:color="auto" w:fill="FFFFFF"/>
          </w:tcPr>
          <w:p w14:paraId="3800DA67" w14:textId="77777777" w:rsidR="0072615D" w:rsidRDefault="0072615D">
            <w:pPr>
              <w:pStyle w:val="Other0"/>
              <w:spacing w:line="283" w:lineRule="auto"/>
              <w:ind w:left="280" w:hanging="100"/>
              <w:rPr>
                <w:sz w:val="16"/>
                <w:szCs w:val="16"/>
              </w:rPr>
            </w:pPr>
            <w:r>
              <w:rPr>
                <w:rFonts w:ascii="Times New Roman" w:eastAsia="Times New Roman" w:hAnsi="Times New Roman" w:cs="Times New Roman"/>
                <w:sz w:val="16"/>
                <w:szCs w:val="16"/>
              </w:rPr>
              <w:t>Toxoides y componentes bacterianos inactivados</w:t>
            </w:r>
          </w:p>
        </w:tc>
        <w:tc>
          <w:tcPr>
            <w:tcW w:w="1882" w:type="dxa"/>
            <w:shd w:val="clear" w:color="auto" w:fill="FFFFFF"/>
          </w:tcPr>
          <w:p w14:paraId="13C77B8F"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560294BB" w14:textId="77777777">
        <w:tblPrEx>
          <w:tblCellMar>
            <w:top w:w="0" w:type="dxa"/>
            <w:bottom w:w="0" w:type="dxa"/>
          </w:tblCellMar>
        </w:tblPrEx>
        <w:trPr>
          <w:trHeight w:hRule="exact" w:val="648"/>
          <w:jc w:val="center"/>
        </w:trPr>
        <w:tc>
          <w:tcPr>
            <w:tcW w:w="2088" w:type="dxa"/>
            <w:shd w:val="clear" w:color="auto" w:fill="FFFFFF"/>
          </w:tcPr>
          <w:p w14:paraId="1CCBB542" w14:textId="77777777" w:rsidR="0072615D" w:rsidRDefault="0072615D">
            <w:pPr>
              <w:pStyle w:val="Other0"/>
              <w:spacing w:line="283" w:lineRule="auto"/>
              <w:ind w:left="160" w:hanging="160"/>
              <w:rPr>
                <w:sz w:val="16"/>
                <w:szCs w:val="16"/>
              </w:rPr>
            </w:pPr>
            <w:r>
              <w:rPr>
                <w:rFonts w:ascii="Times New Roman" w:eastAsia="Times New Roman" w:hAnsi="Times New Roman" w:cs="Times New Roman"/>
                <w:sz w:val="16"/>
                <w:szCs w:val="16"/>
              </w:rPr>
              <w:t>DTaP, hepatitis B y virus poliomielítico inactivada</w:t>
            </w:r>
          </w:p>
        </w:tc>
        <w:tc>
          <w:tcPr>
            <w:tcW w:w="2875" w:type="dxa"/>
            <w:shd w:val="clear" w:color="auto" w:fill="FFFFFF"/>
            <w:vAlign w:val="bottom"/>
          </w:tcPr>
          <w:p w14:paraId="4DF574B3" w14:textId="77777777" w:rsidR="0072615D" w:rsidRDefault="0072615D">
            <w:pPr>
              <w:pStyle w:val="Other0"/>
              <w:spacing w:line="283" w:lineRule="auto"/>
              <w:ind w:left="280" w:hanging="100"/>
              <w:rPr>
                <w:sz w:val="16"/>
                <w:szCs w:val="16"/>
              </w:rPr>
            </w:pPr>
            <w:r>
              <w:rPr>
                <w:rFonts w:ascii="Times New Roman" w:eastAsia="Times New Roman" w:hAnsi="Times New Roman" w:cs="Times New Roman"/>
                <w:sz w:val="16"/>
                <w:szCs w:val="16"/>
              </w:rPr>
              <w:t>Toxoides y componentes bacterianos inactivados, antígeno vírico recombinante, virus inactivado</w:t>
            </w:r>
          </w:p>
        </w:tc>
        <w:tc>
          <w:tcPr>
            <w:tcW w:w="1882" w:type="dxa"/>
            <w:shd w:val="clear" w:color="auto" w:fill="FFFFFF"/>
          </w:tcPr>
          <w:p w14:paraId="5C8ADB0E"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4679E5CE" w14:textId="77777777">
        <w:tblPrEx>
          <w:tblCellMar>
            <w:top w:w="0" w:type="dxa"/>
            <w:bottom w:w="0" w:type="dxa"/>
          </w:tblCellMar>
        </w:tblPrEx>
        <w:trPr>
          <w:trHeight w:hRule="exact" w:val="230"/>
          <w:jc w:val="center"/>
        </w:trPr>
        <w:tc>
          <w:tcPr>
            <w:tcW w:w="2088" w:type="dxa"/>
            <w:shd w:val="clear" w:color="auto" w:fill="FFFFFF"/>
            <w:vAlign w:val="bottom"/>
          </w:tcPr>
          <w:p w14:paraId="3C10B24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Hepatitis A</w:t>
            </w:r>
          </w:p>
        </w:tc>
        <w:tc>
          <w:tcPr>
            <w:tcW w:w="2875" w:type="dxa"/>
            <w:shd w:val="clear" w:color="auto" w:fill="FFFFFF"/>
            <w:vAlign w:val="bottom"/>
          </w:tcPr>
          <w:p w14:paraId="67955B83"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Antígeno vírico inactivado</w:t>
            </w:r>
          </w:p>
        </w:tc>
        <w:tc>
          <w:tcPr>
            <w:tcW w:w="1882" w:type="dxa"/>
            <w:shd w:val="clear" w:color="auto" w:fill="FFFFFF"/>
            <w:vAlign w:val="bottom"/>
          </w:tcPr>
          <w:p w14:paraId="67E4901F"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64B8C1BA" w14:textId="77777777">
        <w:tblPrEx>
          <w:tblCellMar>
            <w:top w:w="0" w:type="dxa"/>
            <w:bottom w:w="0" w:type="dxa"/>
          </w:tblCellMar>
        </w:tblPrEx>
        <w:trPr>
          <w:trHeight w:hRule="exact" w:val="216"/>
          <w:jc w:val="center"/>
        </w:trPr>
        <w:tc>
          <w:tcPr>
            <w:tcW w:w="2088" w:type="dxa"/>
            <w:shd w:val="clear" w:color="auto" w:fill="FFFFFF"/>
          </w:tcPr>
          <w:p w14:paraId="4D71E2E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Hepatitis B</w:t>
            </w:r>
          </w:p>
        </w:tc>
        <w:tc>
          <w:tcPr>
            <w:tcW w:w="2875" w:type="dxa"/>
            <w:shd w:val="clear" w:color="auto" w:fill="FFFFFF"/>
          </w:tcPr>
          <w:p w14:paraId="251BAF29"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Antígeno vírico recombinante</w:t>
            </w:r>
          </w:p>
        </w:tc>
        <w:tc>
          <w:tcPr>
            <w:tcW w:w="1882" w:type="dxa"/>
            <w:shd w:val="clear" w:color="auto" w:fill="FFFFFF"/>
          </w:tcPr>
          <w:p w14:paraId="321B848C"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0361F086" w14:textId="77777777">
        <w:tblPrEx>
          <w:tblCellMar>
            <w:top w:w="0" w:type="dxa"/>
            <w:bottom w:w="0" w:type="dxa"/>
          </w:tblCellMar>
        </w:tblPrEx>
        <w:trPr>
          <w:trHeight w:hRule="exact" w:val="422"/>
          <w:jc w:val="center"/>
        </w:trPr>
        <w:tc>
          <w:tcPr>
            <w:tcW w:w="2088" w:type="dxa"/>
            <w:shd w:val="clear" w:color="auto" w:fill="FFFFFF"/>
          </w:tcPr>
          <w:p w14:paraId="1EECF8B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Hepatitis A-hepatitis B</w:t>
            </w:r>
          </w:p>
        </w:tc>
        <w:tc>
          <w:tcPr>
            <w:tcW w:w="2875" w:type="dxa"/>
            <w:shd w:val="clear" w:color="auto" w:fill="FFFFFF"/>
            <w:vAlign w:val="bottom"/>
          </w:tcPr>
          <w:p w14:paraId="040ED097" w14:textId="77777777" w:rsidR="0072615D" w:rsidRDefault="0072615D">
            <w:pPr>
              <w:pStyle w:val="Other0"/>
              <w:spacing w:line="283" w:lineRule="auto"/>
              <w:ind w:left="280" w:hanging="100"/>
              <w:rPr>
                <w:sz w:val="16"/>
                <w:szCs w:val="16"/>
              </w:rPr>
            </w:pPr>
            <w:r>
              <w:rPr>
                <w:rFonts w:ascii="Times New Roman" w:eastAsia="Times New Roman" w:hAnsi="Times New Roman" w:cs="Times New Roman"/>
                <w:sz w:val="16"/>
                <w:szCs w:val="16"/>
              </w:rPr>
              <w:t>Antígenos víricos inactivados y recombinantes</w:t>
            </w:r>
          </w:p>
        </w:tc>
        <w:tc>
          <w:tcPr>
            <w:tcW w:w="1882" w:type="dxa"/>
            <w:shd w:val="clear" w:color="auto" w:fill="FFFFFF"/>
          </w:tcPr>
          <w:p w14:paraId="4764DC3D"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491389CD" w14:textId="77777777">
        <w:tblPrEx>
          <w:tblCellMar>
            <w:top w:w="0" w:type="dxa"/>
            <w:bottom w:w="0" w:type="dxa"/>
          </w:tblCellMar>
        </w:tblPrEx>
        <w:trPr>
          <w:trHeight w:hRule="exact" w:val="240"/>
          <w:jc w:val="center"/>
        </w:trPr>
        <w:tc>
          <w:tcPr>
            <w:tcW w:w="2088" w:type="dxa"/>
            <w:shd w:val="clear" w:color="auto" w:fill="FFFFFF"/>
            <w:vAlign w:val="bottom"/>
          </w:tcPr>
          <w:p w14:paraId="5F54E86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Hib</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conjugados de</w:t>
            </w:r>
          </w:p>
        </w:tc>
        <w:tc>
          <w:tcPr>
            <w:tcW w:w="2875" w:type="dxa"/>
            <w:shd w:val="clear" w:color="auto" w:fill="FFFFFF"/>
            <w:vAlign w:val="bottom"/>
          </w:tcPr>
          <w:p w14:paraId="5765435C"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Conjugado de polisacárido-proteína</w:t>
            </w:r>
          </w:p>
        </w:tc>
        <w:tc>
          <w:tcPr>
            <w:tcW w:w="1882" w:type="dxa"/>
            <w:shd w:val="clear" w:color="auto" w:fill="FFFFFF"/>
            <w:vAlign w:val="bottom"/>
          </w:tcPr>
          <w:p w14:paraId="62D60F3D"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4DA106E9" w14:textId="77777777">
        <w:tblPrEx>
          <w:tblCellMar>
            <w:top w:w="0" w:type="dxa"/>
            <w:bottom w:w="0" w:type="dxa"/>
          </w:tblCellMar>
        </w:tblPrEx>
        <w:trPr>
          <w:trHeight w:hRule="exact" w:val="638"/>
          <w:jc w:val="center"/>
        </w:trPr>
        <w:tc>
          <w:tcPr>
            <w:tcW w:w="2088" w:type="dxa"/>
            <w:shd w:val="clear" w:color="auto" w:fill="FFFFFF"/>
          </w:tcPr>
          <w:p w14:paraId="0D9A53DE" w14:textId="77777777" w:rsidR="0072615D" w:rsidRDefault="0072615D">
            <w:pPr>
              <w:pStyle w:val="Other0"/>
              <w:spacing w:line="288" w:lineRule="auto"/>
              <w:ind w:left="160" w:hanging="160"/>
              <w:rPr>
                <w:sz w:val="16"/>
                <w:szCs w:val="16"/>
              </w:rPr>
            </w:pPr>
            <w:r>
              <w:rPr>
                <w:rFonts w:ascii="Times New Roman" w:eastAsia="Times New Roman" w:hAnsi="Times New Roman" w:cs="Times New Roman"/>
                <w:sz w:val="16"/>
                <w:szCs w:val="16"/>
              </w:rPr>
              <w:t>Hib-DTaP, conjugado de, (PRP-T</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xml:space="preserve"> reconstituido con DTaP)</w:t>
            </w:r>
          </w:p>
        </w:tc>
        <w:tc>
          <w:tcPr>
            <w:tcW w:w="2875" w:type="dxa"/>
            <w:shd w:val="clear" w:color="auto" w:fill="FFFFFF"/>
          </w:tcPr>
          <w:p w14:paraId="74902FAE" w14:textId="77777777" w:rsidR="0072615D" w:rsidRDefault="0072615D">
            <w:pPr>
              <w:pStyle w:val="Other0"/>
              <w:spacing w:line="288" w:lineRule="auto"/>
              <w:ind w:left="280" w:hanging="100"/>
              <w:rPr>
                <w:sz w:val="16"/>
                <w:szCs w:val="16"/>
              </w:rPr>
            </w:pPr>
            <w:r>
              <w:rPr>
                <w:rFonts w:ascii="Times New Roman" w:eastAsia="Times New Roman" w:hAnsi="Times New Roman" w:cs="Times New Roman"/>
                <w:sz w:val="16"/>
                <w:szCs w:val="16"/>
              </w:rPr>
              <w:t>Conjugado de polisacárido-proteína con toxoides y componentes bacterianos inactivados</w:t>
            </w:r>
          </w:p>
        </w:tc>
        <w:tc>
          <w:tcPr>
            <w:tcW w:w="1882" w:type="dxa"/>
            <w:shd w:val="clear" w:color="auto" w:fill="FFFFFF"/>
          </w:tcPr>
          <w:p w14:paraId="5A8223B7"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284C25F2" w14:textId="77777777">
        <w:tblPrEx>
          <w:tblCellMar>
            <w:top w:w="0" w:type="dxa"/>
            <w:bottom w:w="0" w:type="dxa"/>
          </w:tblCellMar>
        </w:tblPrEx>
        <w:trPr>
          <w:trHeight w:hRule="exact" w:val="451"/>
          <w:jc w:val="center"/>
        </w:trPr>
        <w:tc>
          <w:tcPr>
            <w:tcW w:w="2088" w:type="dxa"/>
            <w:shd w:val="clear" w:color="auto" w:fill="FFFFFF"/>
            <w:vAlign w:val="bottom"/>
          </w:tcPr>
          <w:p w14:paraId="3592F3E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Hib, conjugado de,</w:t>
            </w:r>
          </w:p>
          <w:p w14:paraId="61A3EE43"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(PRP-OMP</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)-hepatitis B</w:t>
            </w:r>
          </w:p>
        </w:tc>
        <w:tc>
          <w:tcPr>
            <w:tcW w:w="2875" w:type="dxa"/>
            <w:shd w:val="clear" w:color="auto" w:fill="FFFFFF"/>
            <w:vAlign w:val="bottom"/>
          </w:tcPr>
          <w:p w14:paraId="68F85827" w14:textId="77777777" w:rsidR="0072615D" w:rsidRDefault="0072615D">
            <w:pPr>
              <w:pStyle w:val="Other0"/>
              <w:spacing w:line="288" w:lineRule="auto"/>
              <w:ind w:left="280" w:hanging="100"/>
              <w:rPr>
                <w:sz w:val="16"/>
                <w:szCs w:val="16"/>
              </w:rPr>
            </w:pPr>
            <w:r>
              <w:rPr>
                <w:rFonts w:ascii="Times New Roman" w:eastAsia="Times New Roman" w:hAnsi="Times New Roman" w:cs="Times New Roman"/>
                <w:sz w:val="16"/>
                <w:szCs w:val="16"/>
              </w:rPr>
              <w:t>Conjugado de polisacárido-proteína con antígeno vírico recombinante</w:t>
            </w:r>
          </w:p>
        </w:tc>
        <w:tc>
          <w:tcPr>
            <w:tcW w:w="1882" w:type="dxa"/>
            <w:shd w:val="clear" w:color="auto" w:fill="FFFFFF"/>
          </w:tcPr>
          <w:p w14:paraId="1A5ACBE1"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3C0EF291" w14:textId="77777777">
        <w:tblPrEx>
          <w:tblCellMar>
            <w:top w:w="0" w:type="dxa"/>
            <w:bottom w:w="0" w:type="dxa"/>
          </w:tblCellMar>
        </w:tblPrEx>
        <w:trPr>
          <w:trHeight w:hRule="exact" w:val="211"/>
          <w:jc w:val="center"/>
        </w:trPr>
        <w:tc>
          <w:tcPr>
            <w:tcW w:w="2088" w:type="dxa"/>
            <w:shd w:val="clear" w:color="auto" w:fill="FFFFFF"/>
          </w:tcPr>
          <w:p w14:paraId="0C58790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Influenza</w:t>
            </w:r>
          </w:p>
        </w:tc>
        <w:tc>
          <w:tcPr>
            <w:tcW w:w="2875" w:type="dxa"/>
            <w:shd w:val="clear" w:color="auto" w:fill="FFFFFF"/>
          </w:tcPr>
          <w:p w14:paraId="3927B94A"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Componentes víricos inactivados</w:t>
            </w:r>
          </w:p>
        </w:tc>
        <w:tc>
          <w:tcPr>
            <w:tcW w:w="1882" w:type="dxa"/>
            <w:shd w:val="clear" w:color="auto" w:fill="FFFFFF"/>
          </w:tcPr>
          <w:p w14:paraId="43FC2B1E"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72FF8E89" w14:textId="77777777">
        <w:tblPrEx>
          <w:tblCellMar>
            <w:top w:w="0" w:type="dxa"/>
            <w:bottom w:w="0" w:type="dxa"/>
          </w:tblCellMar>
        </w:tblPrEx>
        <w:trPr>
          <w:trHeight w:hRule="exact" w:val="206"/>
          <w:jc w:val="center"/>
        </w:trPr>
        <w:tc>
          <w:tcPr>
            <w:tcW w:w="2088" w:type="dxa"/>
            <w:shd w:val="clear" w:color="auto" w:fill="FFFFFF"/>
            <w:vAlign w:val="bottom"/>
          </w:tcPr>
          <w:p w14:paraId="247C884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Japonesa, encefalitis</w:t>
            </w:r>
          </w:p>
        </w:tc>
        <w:tc>
          <w:tcPr>
            <w:tcW w:w="2875" w:type="dxa"/>
            <w:shd w:val="clear" w:color="auto" w:fill="FFFFFF"/>
            <w:vAlign w:val="bottom"/>
          </w:tcPr>
          <w:p w14:paraId="58840ED0"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inactivado</w:t>
            </w:r>
          </w:p>
        </w:tc>
        <w:tc>
          <w:tcPr>
            <w:tcW w:w="1882" w:type="dxa"/>
            <w:shd w:val="clear" w:color="auto" w:fill="FFFFFF"/>
            <w:vAlign w:val="bottom"/>
          </w:tcPr>
          <w:p w14:paraId="5D391C4D"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SC</w:t>
            </w:r>
          </w:p>
        </w:tc>
      </w:tr>
      <w:tr w:rsidR="0072615D" w14:paraId="356D8421" w14:textId="77777777">
        <w:tblPrEx>
          <w:tblCellMar>
            <w:top w:w="0" w:type="dxa"/>
            <w:bottom w:w="0" w:type="dxa"/>
          </w:tblCellMar>
        </w:tblPrEx>
        <w:trPr>
          <w:trHeight w:hRule="exact" w:val="226"/>
          <w:jc w:val="center"/>
        </w:trPr>
        <w:tc>
          <w:tcPr>
            <w:tcW w:w="2088" w:type="dxa"/>
            <w:shd w:val="clear" w:color="auto" w:fill="FFFFFF"/>
            <w:vAlign w:val="bottom"/>
          </w:tcPr>
          <w:p w14:paraId="510C126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Meningocócica</w:t>
            </w:r>
          </w:p>
        </w:tc>
        <w:tc>
          <w:tcPr>
            <w:tcW w:w="2875" w:type="dxa"/>
            <w:shd w:val="clear" w:color="auto" w:fill="FFFFFF"/>
            <w:vAlign w:val="bottom"/>
          </w:tcPr>
          <w:p w14:paraId="572BFF1E"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Polisacárido</w:t>
            </w:r>
          </w:p>
        </w:tc>
        <w:tc>
          <w:tcPr>
            <w:tcW w:w="1882" w:type="dxa"/>
            <w:shd w:val="clear" w:color="auto" w:fill="FFFFFF"/>
            <w:vAlign w:val="bottom"/>
          </w:tcPr>
          <w:p w14:paraId="4DE71716"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SC</w:t>
            </w:r>
          </w:p>
        </w:tc>
      </w:tr>
      <w:tr w:rsidR="0072615D" w14:paraId="6E5533D3" w14:textId="77777777">
        <w:tblPrEx>
          <w:tblCellMar>
            <w:top w:w="0" w:type="dxa"/>
            <w:bottom w:w="0" w:type="dxa"/>
          </w:tblCellMar>
        </w:tblPrEx>
        <w:trPr>
          <w:trHeight w:hRule="exact" w:val="202"/>
          <w:jc w:val="center"/>
        </w:trPr>
        <w:tc>
          <w:tcPr>
            <w:tcW w:w="2088" w:type="dxa"/>
            <w:shd w:val="clear" w:color="auto" w:fill="FFFFFF"/>
          </w:tcPr>
          <w:p w14:paraId="4572B75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MMR</w:t>
            </w:r>
          </w:p>
        </w:tc>
        <w:tc>
          <w:tcPr>
            <w:tcW w:w="2875" w:type="dxa"/>
            <w:shd w:val="clear" w:color="auto" w:fill="FFFFFF"/>
          </w:tcPr>
          <w:p w14:paraId="5CF1284D"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vivo atenuado</w:t>
            </w:r>
          </w:p>
        </w:tc>
        <w:tc>
          <w:tcPr>
            <w:tcW w:w="1882" w:type="dxa"/>
            <w:shd w:val="clear" w:color="auto" w:fill="FFFFFF"/>
          </w:tcPr>
          <w:p w14:paraId="2AA3F0AF"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SC</w:t>
            </w:r>
          </w:p>
        </w:tc>
      </w:tr>
      <w:tr w:rsidR="0072615D" w14:paraId="0E2DD545" w14:textId="77777777">
        <w:tblPrEx>
          <w:tblCellMar>
            <w:top w:w="0" w:type="dxa"/>
            <w:bottom w:w="0" w:type="dxa"/>
          </w:tblCellMar>
        </w:tblPrEx>
        <w:trPr>
          <w:trHeight w:hRule="exact" w:val="221"/>
          <w:jc w:val="center"/>
        </w:trPr>
        <w:tc>
          <w:tcPr>
            <w:tcW w:w="2088" w:type="dxa"/>
            <w:shd w:val="clear" w:color="auto" w:fill="FFFFFF"/>
          </w:tcPr>
          <w:p w14:paraId="55B2261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Neumocócica</w:t>
            </w:r>
          </w:p>
        </w:tc>
        <w:tc>
          <w:tcPr>
            <w:tcW w:w="2875" w:type="dxa"/>
            <w:shd w:val="clear" w:color="auto" w:fill="FFFFFF"/>
          </w:tcPr>
          <w:p w14:paraId="2E6BB3FE"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Polisacáridos</w:t>
            </w:r>
          </w:p>
        </w:tc>
        <w:tc>
          <w:tcPr>
            <w:tcW w:w="1882" w:type="dxa"/>
            <w:shd w:val="clear" w:color="auto" w:fill="FFFFFF"/>
          </w:tcPr>
          <w:p w14:paraId="74E4F23C"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 o SC</w:t>
            </w:r>
          </w:p>
        </w:tc>
      </w:tr>
      <w:tr w:rsidR="0072615D" w14:paraId="3660B4A7" w14:textId="77777777">
        <w:tblPrEx>
          <w:tblCellMar>
            <w:top w:w="0" w:type="dxa"/>
            <w:bottom w:w="0" w:type="dxa"/>
          </w:tblCellMar>
        </w:tblPrEx>
        <w:trPr>
          <w:trHeight w:hRule="exact" w:val="230"/>
          <w:jc w:val="center"/>
        </w:trPr>
        <w:tc>
          <w:tcPr>
            <w:tcW w:w="2088" w:type="dxa"/>
            <w:shd w:val="clear" w:color="auto" w:fill="FFFFFF"/>
          </w:tcPr>
          <w:p w14:paraId="0F5B7A1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Neumocócica</w:t>
            </w:r>
          </w:p>
        </w:tc>
        <w:tc>
          <w:tcPr>
            <w:tcW w:w="2875" w:type="dxa"/>
            <w:shd w:val="clear" w:color="auto" w:fill="FFFFFF"/>
          </w:tcPr>
          <w:p w14:paraId="43672C14"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Conjugado de polisacárido-proteína</w:t>
            </w:r>
          </w:p>
        </w:tc>
        <w:tc>
          <w:tcPr>
            <w:tcW w:w="1882" w:type="dxa"/>
            <w:shd w:val="clear" w:color="auto" w:fill="FFFFFF"/>
          </w:tcPr>
          <w:p w14:paraId="6812DACC"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3D00EFF7" w14:textId="77777777">
        <w:tblPrEx>
          <w:tblCellMar>
            <w:top w:w="0" w:type="dxa"/>
            <w:bottom w:w="0" w:type="dxa"/>
          </w:tblCellMar>
        </w:tblPrEx>
        <w:trPr>
          <w:trHeight w:hRule="exact" w:val="202"/>
          <w:jc w:val="center"/>
        </w:trPr>
        <w:tc>
          <w:tcPr>
            <w:tcW w:w="2088" w:type="dxa"/>
            <w:shd w:val="clear" w:color="auto" w:fill="FFFFFF"/>
          </w:tcPr>
          <w:p w14:paraId="36FF3DC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Parotiditis</w:t>
            </w:r>
          </w:p>
        </w:tc>
        <w:tc>
          <w:tcPr>
            <w:tcW w:w="2875" w:type="dxa"/>
            <w:shd w:val="clear" w:color="auto" w:fill="FFFFFF"/>
          </w:tcPr>
          <w:p w14:paraId="78F14C89"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vivos atenuados</w:t>
            </w:r>
          </w:p>
        </w:tc>
        <w:tc>
          <w:tcPr>
            <w:tcW w:w="1882" w:type="dxa"/>
            <w:shd w:val="clear" w:color="auto" w:fill="FFFFFF"/>
          </w:tcPr>
          <w:p w14:paraId="5C1216C8"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SC</w:t>
            </w:r>
          </w:p>
        </w:tc>
      </w:tr>
      <w:tr w:rsidR="0072615D" w14:paraId="5922F65C" w14:textId="77777777">
        <w:tblPrEx>
          <w:tblCellMar>
            <w:top w:w="0" w:type="dxa"/>
            <w:bottom w:w="0" w:type="dxa"/>
          </w:tblCellMar>
        </w:tblPrEx>
        <w:trPr>
          <w:trHeight w:hRule="exact" w:val="211"/>
          <w:jc w:val="center"/>
        </w:trPr>
        <w:tc>
          <w:tcPr>
            <w:tcW w:w="2088" w:type="dxa"/>
            <w:shd w:val="clear" w:color="auto" w:fill="FFFFFF"/>
            <w:vAlign w:val="bottom"/>
          </w:tcPr>
          <w:p w14:paraId="6802B37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Poliomielítico, virus</w:t>
            </w:r>
          </w:p>
        </w:tc>
        <w:tc>
          <w:tcPr>
            <w:tcW w:w="2875" w:type="dxa"/>
            <w:shd w:val="clear" w:color="auto" w:fill="FFFFFF"/>
            <w:vAlign w:val="bottom"/>
          </w:tcPr>
          <w:p w14:paraId="4AACBDAB"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inactivado</w:t>
            </w:r>
          </w:p>
        </w:tc>
        <w:tc>
          <w:tcPr>
            <w:tcW w:w="1882" w:type="dxa"/>
            <w:shd w:val="clear" w:color="auto" w:fill="FFFFFF"/>
            <w:vAlign w:val="bottom"/>
          </w:tcPr>
          <w:p w14:paraId="5FF51B3E"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SC o IM</w:t>
            </w:r>
          </w:p>
        </w:tc>
      </w:tr>
      <w:tr w:rsidR="0072615D" w14:paraId="51090F62" w14:textId="77777777">
        <w:tblPrEx>
          <w:tblCellMar>
            <w:top w:w="0" w:type="dxa"/>
            <w:bottom w:w="0" w:type="dxa"/>
          </w:tblCellMar>
        </w:tblPrEx>
        <w:trPr>
          <w:trHeight w:hRule="exact" w:val="216"/>
          <w:jc w:val="center"/>
        </w:trPr>
        <w:tc>
          <w:tcPr>
            <w:tcW w:w="2088" w:type="dxa"/>
            <w:shd w:val="clear" w:color="auto" w:fill="FFFFFF"/>
            <w:vAlign w:val="bottom"/>
          </w:tcPr>
          <w:p w14:paraId="2D52034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Rabia</w:t>
            </w:r>
          </w:p>
        </w:tc>
        <w:tc>
          <w:tcPr>
            <w:tcW w:w="2875" w:type="dxa"/>
            <w:shd w:val="clear" w:color="auto" w:fill="FFFFFF"/>
            <w:vAlign w:val="bottom"/>
          </w:tcPr>
          <w:p w14:paraId="3E54D585"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inactivado</w:t>
            </w:r>
          </w:p>
        </w:tc>
        <w:tc>
          <w:tcPr>
            <w:tcW w:w="1882" w:type="dxa"/>
            <w:shd w:val="clear" w:color="auto" w:fill="FFFFFF"/>
            <w:vAlign w:val="bottom"/>
          </w:tcPr>
          <w:p w14:paraId="57902C87"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273531D4" w14:textId="77777777">
        <w:tblPrEx>
          <w:tblCellMar>
            <w:top w:w="0" w:type="dxa"/>
            <w:bottom w:w="0" w:type="dxa"/>
          </w:tblCellMar>
        </w:tblPrEx>
        <w:trPr>
          <w:trHeight w:hRule="exact" w:val="221"/>
          <w:jc w:val="center"/>
        </w:trPr>
        <w:tc>
          <w:tcPr>
            <w:tcW w:w="2088" w:type="dxa"/>
            <w:shd w:val="clear" w:color="auto" w:fill="FFFFFF"/>
          </w:tcPr>
          <w:p w14:paraId="63A0025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Rubéola</w:t>
            </w:r>
          </w:p>
        </w:tc>
        <w:tc>
          <w:tcPr>
            <w:tcW w:w="2875" w:type="dxa"/>
            <w:shd w:val="clear" w:color="auto" w:fill="FFFFFF"/>
          </w:tcPr>
          <w:p w14:paraId="0C876282"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vivo atenuado</w:t>
            </w:r>
          </w:p>
        </w:tc>
        <w:tc>
          <w:tcPr>
            <w:tcW w:w="1882" w:type="dxa"/>
            <w:shd w:val="clear" w:color="auto" w:fill="FFFFFF"/>
          </w:tcPr>
          <w:p w14:paraId="40DADBF6"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SC</w:t>
            </w:r>
          </w:p>
        </w:tc>
      </w:tr>
      <w:tr w:rsidR="0072615D" w14:paraId="604D1E99" w14:textId="77777777">
        <w:tblPrEx>
          <w:tblCellMar>
            <w:top w:w="0" w:type="dxa"/>
            <w:bottom w:w="0" w:type="dxa"/>
          </w:tblCellMar>
        </w:tblPrEx>
        <w:trPr>
          <w:trHeight w:hRule="exact" w:val="226"/>
          <w:jc w:val="center"/>
        </w:trPr>
        <w:tc>
          <w:tcPr>
            <w:tcW w:w="2088" w:type="dxa"/>
            <w:shd w:val="clear" w:color="auto" w:fill="FFFFFF"/>
            <w:vAlign w:val="bottom"/>
          </w:tcPr>
          <w:p w14:paraId="3EC5541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Sarampión</w:t>
            </w:r>
          </w:p>
        </w:tc>
        <w:tc>
          <w:tcPr>
            <w:tcW w:w="2875" w:type="dxa"/>
            <w:shd w:val="clear" w:color="auto" w:fill="FFFFFF"/>
            <w:vAlign w:val="bottom"/>
          </w:tcPr>
          <w:p w14:paraId="33384B3A"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vivo atenuado</w:t>
            </w:r>
          </w:p>
        </w:tc>
        <w:tc>
          <w:tcPr>
            <w:tcW w:w="1882" w:type="dxa"/>
            <w:shd w:val="clear" w:color="auto" w:fill="FFFFFF"/>
            <w:vAlign w:val="bottom"/>
          </w:tcPr>
          <w:p w14:paraId="11AACB7C"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SC</w:t>
            </w:r>
          </w:p>
        </w:tc>
      </w:tr>
      <w:tr w:rsidR="0072615D" w14:paraId="7A817ABE" w14:textId="77777777">
        <w:tblPrEx>
          <w:tblCellMar>
            <w:top w:w="0" w:type="dxa"/>
            <w:bottom w:w="0" w:type="dxa"/>
          </w:tblCellMar>
        </w:tblPrEx>
        <w:trPr>
          <w:trHeight w:hRule="exact" w:val="418"/>
          <w:jc w:val="center"/>
        </w:trPr>
        <w:tc>
          <w:tcPr>
            <w:tcW w:w="2088" w:type="dxa"/>
            <w:shd w:val="clear" w:color="auto" w:fill="FFFFFF"/>
          </w:tcPr>
          <w:p w14:paraId="099BC986" w14:textId="77777777" w:rsidR="0072615D" w:rsidRDefault="0072615D">
            <w:pPr>
              <w:pStyle w:val="Other0"/>
              <w:spacing w:line="283" w:lineRule="auto"/>
              <w:ind w:firstLine="0"/>
              <w:rPr>
                <w:sz w:val="16"/>
                <w:szCs w:val="16"/>
              </w:rPr>
            </w:pPr>
            <w:r>
              <w:rPr>
                <w:rFonts w:ascii="Times New Roman" w:eastAsia="Times New Roman" w:hAnsi="Times New Roman" w:cs="Times New Roman"/>
                <w:sz w:val="16"/>
                <w:szCs w:val="16"/>
              </w:rPr>
              <w:t>Tétanos Tifoidea</w:t>
            </w:r>
          </w:p>
        </w:tc>
        <w:tc>
          <w:tcPr>
            <w:tcW w:w="2875" w:type="dxa"/>
            <w:shd w:val="clear" w:color="auto" w:fill="FFFFFF"/>
          </w:tcPr>
          <w:p w14:paraId="388EC969"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Toxoide</w:t>
            </w:r>
          </w:p>
        </w:tc>
        <w:tc>
          <w:tcPr>
            <w:tcW w:w="1882" w:type="dxa"/>
            <w:shd w:val="clear" w:color="auto" w:fill="FFFFFF"/>
          </w:tcPr>
          <w:p w14:paraId="58D18FAB"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00BCDD5D" w14:textId="77777777">
        <w:tblPrEx>
          <w:tblCellMar>
            <w:top w:w="0" w:type="dxa"/>
            <w:bottom w:w="0" w:type="dxa"/>
          </w:tblCellMar>
        </w:tblPrEx>
        <w:trPr>
          <w:trHeight w:hRule="exact" w:val="221"/>
          <w:jc w:val="center"/>
        </w:trPr>
        <w:tc>
          <w:tcPr>
            <w:tcW w:w="2088" w:type="dxa"/>
            <w:shd w:val="clear" w:color="auto" w:fill="FFFFFF"/>
            <w:vAlign w:val="bottom"/>
          </w:tcPr>
          <w:p w14:paraId="544ED33E"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Parenteral</w:t>
            </w:r>
          </w:p>
        </w:tc>
        <w:tc>
          <w:tcPr>
            <w:tcW w:w="2875" w:type="dxa"/>
            <w:shd w:val="clear" w:color="auto" w:fill="FFFFFF"/>
            <w:vAlign w:val="bottom"/>
          </w:tcPr>
          <w:p w14:paraId="6F0AD40D"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Polisacárido capsular</w:t>
            </w:r>
          </w:p>
        </w:tc>
        <w:tc>
          <w:tcPr>
            <w:tcW w:w="1882" w:type="dxa"/>
            <w:shd w:val="clear" w:color="auto" w:fill="FFFFFF"/>
            <w:vAlign w:val="bottom"/>
          </w:tcPr>
          <w:p w14:paraId="0D75F175"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IM</w:t>
            </w:r>
          </w:p>
        </w:tc>
      </w:tr>
      <w:tr w:rsidR="0072615D" w14:paraId="60CE0132" w14:textId="77777777">
        <w:tblPrEx>
          <w:tblCellMar>
            <w:top w:w="0" w:type="dxa"/>
            <w:bottom w:w="0" w:type="dxa"/>
          </w:tblCellMar>
        </w:tblPrEx>
        <w:trPr>
          <w:trHeight w:hRule="exact" w:val="211"/>
          <w:jc w:val="center"/>
        </w:trPr>
        <w:tc>
          <w:tcPr>
            <w:tcW w:w="2088" w:type="dxa"/>
            <w:shd w:val="clear" w:color="auto" w:fill="FFFFFF"/>
          </w:tcPr>
          <w:p w14:paraId="6884F3AD"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Oral</w:t>
            </w:r>
          </w:p>
        </w:tc>
        <w:tc>
          <w:tcPr>
            <w:tcW w:w="2875" w:type="dxa"/>
            <w:shd w:val="clear" w:color="auto" w:fill="FFFFFF"/>
          </w:tcPr>
          <w:p w14:paraId="4F852B35"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Bacterias vivas atenuadas</w:t>
            </w:r>
          </w:p>
        </w:tc>
        <w:tc>
          <w:tcPr>
            <w:tcW w:w="1882" w:type="dxa"/>
            <w:shd w:val="clear" w:color="auto" w:fill="FFFFFF"/>
          </w:tcPr>
          <w:p w14:paraId="42D7831E"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Oral</w:t>
            </w:r>
          </w:p>
        </w:tc>
      </w:tr>
      <w:tr w:rsidR="0072615D" w14:paraId="1A6E17FA" w14:textId="77777777">
        <w:tblPrEx>
          <w:tblCellMar>
            <w:top w:w="0" w:type="dxa"/>
            <w:bottom w:w="0" w:type="dxa"/>
          </w:tblCellMar>
        </w:tblPrEx>
        <w:trPr>
          <w:trHeight w:hRule="exact" w:val="216"/>
          <w:jc w:val="center"/>
        </w:trPr>
        <w:tc>
          <w:tcPr>
            <w:tcW w:w="2088" w:type="dxa"/>
            <w:shd w:val="clear" w:color="auto" w:fill="FFFFFF"/>
            <w:vAlign w:val="bottom"/>
          </w:tcPr>
          <w:p w14:paraId="5A10B93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Varicela</w:t>
            </w:r>
          </w:p>
        </w:tc>
        <w:tc>
          <w:tcPr>
            <w:tcW w:w="2875" w:type="dxa"/>
            <w:shd w:val="clear" w:color="auto" w:fill="FFFFFF"/>
            <w:vAlign w:val="bottom"/>
          </w:tcPr>
          <w:p w14:paraId="4E9DB1CB"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vivo</w:t>
            </w:r>
          </w:p>
        </w:tc>
        <w:tc>
          <w:tcPr>
            <w:tcW w:w="1882" w:type="dxa"/>
            <w:shd w:val="clear" w:color="auto" w:fill="FFFFFF"/>
            <w:vAlign w:val="bottom"/>
          </w:tcPr>
          <w:p w14:paraId="12BA918A"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SC</w:t>
            </w:r>
          </w:p>
        </w:tc>
      </w:tr>
      <w:tr w:rsidR="0072615D" w14:paraId="7A18292E" w14:textId="77777777">
        <w:tblPrEx>
          <w:tblCellMar>
            <w:top w:w="0" w:type="dxa"/>
            <w:bottom w:w="0" w:type="dxa"/>
          </w:tblCellMar>
        </w:tblPrEx>
        <w:trPr>
          <w:trHeight w:hRule="exact" w:val="202"/>
          <w:jc w:val="center"/>
        </w:trPr>
        <w:tc>
          <w:tcPr>
            <w:tcW w:w="2088" w:type="dxa"/>
            <w:shd w:val="clear" w:color="auto" w:fill="FFFFFF"/>
            <w:vAlign w:val="bottom"/>
          </w:tcPr>
          <w:p w14:paraId="0C9A982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Viruela</w:t>
            </w:r>
          </w:p>
        </w:tc>
        <w:tc>
          <w:tcPr>
            <w:tcW w:w="2875" w:type="dxa"/>
            <w:shd w:val="clear" w:color="auto" w:fill="FFFFFF"/>
            <w:vAlign w:val="bottom"/>
          </w:tcPr>
          <w:p w14:paraId="21CCE5B1"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Virus vivo</w:t>
            </w:r>
          </w:p>
        </w:tc>
        <w:tc>
          <w:tcPr>
            <w:tcW w:w="1882" w:type="dxa"/>
            <w:shd w:val="clear" w:color="auto" w:fill="FFFFFF"/>
            <w:vAlign w:val="bottom"/>
          </w:tcPr>
          <w:p w14:paraId="4C948DFE"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Escarificación solamente</w:t>
            </w:r>
          </w:p>
        </w:tc>
      </w:tr>
    </w:tbl>
    <w:p w14:paraId="0BF0B6BC" w14:textId="77777777" w:rsidR="0072615D" w:rsidRDefault="0072615D">
      <w:pPr>
        <w:pStyle w:val="Tablecaption0"/>
        <w:ind w:left="48"/>
      </w:pPr>
      <w:r>
        <w:t xml:space="preserve">BCG, bacilo de Calmette-Guérin; ID, intradèrmico; SC, subcutáneo, IM, intramuscular; DTaP, toxoide diftérico y tetánico y tos ferina acelular, adsorbidas </w:t>
      </w:r>
      <w:r>
        <w:rPr>
          <w:i/>
          <w:iCs/>
        </w:rPr>
        <w:t xml:space="preserve">(diphtheria and tetanus toxoids and acellular pertussis)'; </w:t>
      </w:r>
      <w:r>
        <w:t xml:space="preserve">PRP-T, toxoide tetánico-fosfato de polirribosilribitol </w:t>
      </w:r>
      <w:r>
        <w:rPr>
          <w:i/>
          <w:iCs/>
        </w:rPr>
        <w:t>(polyribosylribitolphosphate-tetanus toxoid)';</w:t>
      </w:r>
      <w:r>
        <w:t xml:space="preserve"> PRP-OMP fosfato de polirribosilribitol-proteína de la membrana externa meningocócica </w:t>
      </w:r>
      <w:r>
        <w:rPr>
          <w:i/>
          <w:iCs/>
        </w:rPr>
        <w:t>(polyribosylribitol phosphate-meningococcal outer membrane protein)';</w:t>
      </w:r>
      <w:r>
        <w:t xml:space="preserve"> Hib, </w:t>
      </w:r>
      <w:r>
        <w:rPr>
          <w:i/>
          <w:iCs/>
        </w:rPr>
        <w:t>Haemophilus influenzae</w:t>
      </w:r>
      <w:r>
        <w:t xml:space="preserve"> tipo b; MMR, virus vivos de sarampión-parotiditis-rubéola </w:t>
      </w:r>
      <w:r>
        <w:rPr>
          <w:i/>
          <w:iCs/>
        </w:rPr>
        <w:t>(measles-mumps-rubella);</w:t>
      </w:r>
      <w:r>
        <w:t xml:space="preserve"> IPV, virus de poliomielitis inactivados </w:t>
      </w:r>
      <w:r>
        <w:rPr>
          <w:i/>
          <w:iCs/>
        </w:rPr>
        <w:t>(inactivatedpoliovirus);</w:t>
      </w:r>
      <w:r>
        <w:t xml:space="preserve"> Td, toxoides diftérico y tetánico (para niños de siete años y mayores y adultos); DT, toxoide diftérico y tetánico (para niños menores de siete años); OPV, virus poliomielítico por vía oral (</w:t>
      </w:r>
      <w:r>
        <w:rPr>
          <w:i/>
          <w:iCs/>
        </w:rPr>
        <w:t>oral poliovirus</w:t>
      </w:r>
      <w:r>
        <w:t>).</w:t>
      </w:r>
    </w:p>
    <w:p w14:paraId="2C9F08DD" w14:textId="77777777" w:rsidR="0072615D" w:rsidRDefault="0072615D">
      <w:pPr>
        <w:pStyle w:val="Tablecaption0"/>
        <w:numPr>
          <w:ilvl w:val="0"/>
          <w:numId w:val="19"/>
        </w:numPr>
        <w:tabs>
          <w:tab w:val="left" w:pos="51"/>
        </w:tabs>
        <w:spacing w:line="283" w:lineRule="auto"/>
        <w:ind w:left="48"/>
      </w:pPr>
      <w:r>
        <w:t>Otras vacunas aprobadas en Estados Unidos, pero que no se distribuyen a nivel poblacional incluyen la del carbunco, la vacuna OPV, la vacuna contra la enfermedad de Lyme y la tetravalente de rotavirus. La FDA conserva una página Web que señala las vacunas aprobadas en Estados Unidos (</w:t>
      </w:r>
      <w:hyperlink r:id="rId49" w:history="1">
        <w:r>
          <w:t>www.fda.gov/cber/vaccine/licvacc.htm</w:t>
        </w:r>
      </w:hyperlink>
      <w:r>
        <w:t>).</w:t>
      </w:r>
    </w:p>
    <w:p w14:paraId="6C23D375" w14:textId="77777777" w:rsidR="0072615D" w:rsidRDefault="0072615D">
      <w:pPr>
        <w:pStyle w:val="Tablecaption0"/>
        <w:numPr>
          <w:ilvl w:val="0"/>
          <w:numId w:val="19"/>
        </w:numPr>
        <w:tabs>
          <w:tab w:val="left" w:pos="206"/>
        </w:tabs>
        <w:spacing w:line="470" w:lineRule="auto"/>
        <w:ind w:left="48"/>
      </w:pPr>
      <w:r>
        <w:t>Véase el cuadro 3-19.</w:t>
      </w:r>
    </w:p>
    <w:p w14:paraId="35743327" w14:textId="77777777" w:rsidR="0072615D" w:rsidRDefault="0072615D">
      <w:pPr>
        <w:pStyle w:val="Other0"/>
        <w:spacing w:after="240" w:line="240" w:lineRule="auto"/>
        <w:ind w:firstLine="0"/>
        <w:rPr>
          <w:sz w:val="32"/>
          <w:szCs w:val="32"/>
        </w:rPr>
      </w:pPr>
      <w:r>
        <w:rPr>
          <w:rFonts w:ascii="Arial" w:eastAsia="Arial" w:hAnsi="Arial" w:cs="Arial"/>
          <w:b/>
          <w:bCs/>
          <w:w w:val="70"/>
          <w:sz w:val="32"/>
          <w:szCs w:val="32"/>
        </w:rPr>
        <w:t>Antígenos inmunizantes</w:t>
      </w:r>
    </w:p>
    <w:p w14:paraId="45DB3E8D" w14:textId="77777777" w:rsidR="0072615D" w:rsidRDefault="0072615D">
      <w:pPr>
        <w:pStyle w:val="BodyText"/>
        <w:ind w:firstLine="0"/>
      </w:pPr>
      <w:r>
        <w:t>Los médicos deben conocer en detalle los principales constituyentes de los productos que usen. Tales elementos son señalados en la información que suministra el fabricante. Si la vacuna es producida por distintos fabricantes pudiera haber algunas diferencias en los ingredientes activos y los inertes y también las cantidades relativas que están presentes en los diversos productos. Los principales constituyentes de las vacunas son:</w:t>
      </w:r>
    </w:p>
    <w:p w14:paraId="06FB89D5" w14:textId="77777777" w:rsidR="0072615D" w:rsidRDefault="0072615D">
      <w:pPr>
        <w:pStyle w:val="BodyText"/>
        <w:numPr>
          <w:ilvl w:val="0"/>
          <w:numId w:val="15"/>
        </w:numPr>
        <w:tabs>
          <w:tab w:val="left" w:pos="326"/>
        </w:tabs>
        <w:ind w:left="340" w:hanging="340"/>
      </w:pPr>
      <w:bookmarkStart w:id="82" w:name="bookmark82"/>
      <w:bookmarkEnd w:id="82"/>
      <w:r>
        <w:rPr>
          <w:rFonts w:ascii="Times New Roman" w:eastAsia="Times New Roman" w:hAnsi="Times New Roman" w:cs="Times New Roman"/>
          <w:b/>
          <w:bCs/>
          <w:i/>
          <w:iCs/>
          <w:sz w:val="16"/>
          <w:szCs w:val="16"/>
        </w:rPr>
        <w:t>Antígenos inmunizantes activos.</w:t>
      </w:r>
      <w:r>
        <w:t xml:space="preserve"> Algunas vacunas consisten en un solo antígeno que es un constituyente altamente definido (como sería el toxoide tetánico o el diftérico). En otras vacunas, los antígenos que generan las respuestas inmunitarias protectoras varían mucho en cuanto a su composición química y número (como los componentes acelulares de tos ferina, los productos de </w:t>
      </w:r>
      <w:r>
        <w:rPr>
          <w:rFonts w:ascii="Times New Roman" w:eastAsia="Times New Roman" w:hAnsi="Times New Roman" w:cs="Times New Roman"/>
          <w:i/>
          <w:iCs/>
          <w:sz w:val="16"/>
          <w:szCs w:val="16"/>
        </w:rPr>
        <w:t xml:space="preserve">Haemophilus influenzae </w:t>
      </w:r>
      <w:r>
        <w:t xml:space="preserve">tipo b y los neumocócicos y meningocócicos). Las vacunas que contienen virus vivos atenuados (debilitados) (como la de sarampión-parotiditis-rubéola </w:t>
      </w:r>
      <w:r>
        <w:rPr>
          <w:i/>
          <w:iCs/>
        </w:rPr>
        <w:t>[</w:t>
      </w:r>
      <w:r>
        <w:rPr>
          <w:rFonts w:ascii="Times New Roman" w:eastAsia="Times New Roman" w:hAnsi="Times New Roman" w:cs="Times New Roman"/>
          <w:i/>
          <w:iCs/>
          <w:sz w:val="16"/>
          <w:szCs w:val="16"/>
        </w:rPr>
        <w:t>measles-mumps-rubella</w:t>
      </w:r>
      <w:r>
        <w:rPr>
          <w:i/>
          <w:iCs/>
        </w:rPr>
        <w:t>,</w:t>
      </w:r>
      <w:r>
        <w:t xml:space="preserve"> MMR], varicela, virus poliomielíticos ingeribles </w:t>
      </w:r>
      <w:r>
        <w:rPr>
          <w:i/>
          <w:iCs/>
        </w:rPr>
        <w:t>[</w:t>
      </w:r>
      <w:r>
        <w:rPr>
          <w:rFonts w:ascii="Times New Roman" w:eastAsia="Times New Roman" w:hAnsi="Times New Roman" w:cs="Times New Roman"/>
          <w:i/>
          <w:iCs/>
          <w:sz w:val="16"/>
          <w:szCs w:val="16"/>
        </w:rPr>
        <w:t>oral poliovirus</w:t>
      </w:r>
      <w:r>
        <w:rPr>
          <w:i/>
          <w:iCs/>
        </w:rPr>
        <w:t>,</w:t>
      </w:r>
      <w:r>
        <w:t xml:space="preserve"> OPV]); virus muertos o fracciones de ellos (como sería el virus poliomielítico inactivado y “reforzado” </w:t>
      </w:r>
      <w:r>
        <w:rPr>
          <w:i/>
          <w:iCs/>
        </w:rPr>
        <w:t>[</w:t>
      </w:r>
      <w:r>
        <w:rPr>
          <w:rFonts w:ascii="Times New Roman" w:eastAsia="Times New Roman" w:hAnsi="Times New Roman" w:cs="Times New Roman"/>
          <w:i/>
          <w:iCs/>
          <w:sz w:val="16"/>
          <w:szCs w:val="16"/>
        </w:rPr>
        <w:t>inactivated poliovirus</w:t>
      </w:r>
      <w:r>
        <w:rPr>
          <w:i/>
          <w:iCs/>
        </w:rPr>
        <w:t>,</w:t>
      </w:r>
      <w:r>
        <w:t xml:space="preserve"> IPV] y vacunas</w:t>
      </w:r>
    </w:p>
    <w:p w14:paraId="7AE3655A" w14:textId="77777777" w:rsidR="0072615D" w:rsidRDefault="0072615D">
      <w:pPr>
        <w:pStyle w:val="BodyText"/>
        <w:ind w:left="340"/>
      </w:pPr>
      <w:r>
        <w:t>de influenza a base de microorganismos inactivados) y fragmentos víricos inmunológicamente activos, incorporados en la vacuna por tecnología recombinante (como la vacuna contra hepatitis B) producen respuestas de tipo humoral y celular para asegurar la protección por largo tiempo (quizá permanente).</w:t>
      </w:r>
    </w:p>
    <w:p w14:paraId="00B417A6" w14:textId="77777777" w:rsidR="0072615D" w:rsidRDefault="0072615D">
      <w:pPr>
        <w:pStyle w:val="BodyText"/>
        <w:numPr>
          <w:ilvl w:val="0"/>
          <w:numId w:val="15"/>
        </w:numPr>
        <w:tabs>
          <w:tab w:val="left" w:pos="326"/>
        </w:tabs>
        <w:ind w:left="340" w:hanging="340"/>
      </w:pPr>
      <w:bookmarkStart w:id="83" w:name="bookmark83"/>
      <w:bookmarkEnd w:id="83"/>
      <w:r>
        <w:rPr>
          <w:rFonts w:ascii="Times New Roman" w:eastAsia="Times New Roman" w:hAnsi="Times New Roman" w:cs="Times New Roman"/>
          <w:b/>
          <w:bCs/>
          <w:i/>
          <w:iCs/>
          <w:sz w:val="16"/>
          <w:szCs w:val="16"/>
        </w:rPr>
        <w:t>Agentes de conjugación.</w:t>
      </w:r>
      <w:r>
        <w:t xml:space="preserve"> Cuando las proteínas portadoras con capacidad inmunológica probada (como el toxoide tetánico o diftérico, la proteína de la membrana externa de meningococos) se combinan químicamente con antígenos polisacáridos menos inmunógenos (como los polisacáridos de </w:t>
      </w:r>
      <w:r>
        <w:rPr>
          <w:rFonts w:ascii="Times New Roman" w:eastAsia="Times New Roman" w:hAnsi="Times New Roman" w:cs="Times New Roman"/>
          <w:i/>
          <w:iCs/>
          <w:sz w:val="16"/>
          <w:szCs w:val="16"/>
        </w:rPr>
        <w:t>H. influenzae</w:t>
      </w:r>
      <w:r>
        <w:t xml:space="preserve"> tipo b, meningococos y neumococos), refuerzan el tipo y la magnitud de las respuestas inmunitarias en personas con sistemas inmunitarios y maduros, en particular niños menores de dos años de vida.</w:t>
      </w:r>
    </w:p>
    <w:p w14:paraId="17FBE8CA" w14:textId="77777777" w:rsidR="0072615D" w:rsidRDefault="0072615D">
      <w:pPr>
        <w:pStyle w:val="BodyText"/>
        <w:numPr>
          <w:ilvl w:val="0"/>
          <w:numId w:val="15"/>
        </w:numPr>
        <w:tabs>
          <w:tab w:val="left" w:pos="326"/>
        </w:tabs>
        <w:ind w:left="340" w:hanging="340"/>
      </w:pPr>
      <w:bookmarkStart w:id="84" w:name="bookmark84"/>
      <w:bookmarkEnd w:id="84"/>
      <w:r>
        <w:rPr>
          <w:rFonts w:ascii="Times New Roman" w:eastAsia="Times New Roman" w:hAnsi="Times New Roman" w:cs="Times New Roman"/>
          <w:b/>
          <w:bCs/>
          <w:i/>
          <w:iCs/>
          <w:sz w:val="16"/>
          <w:szCs w:val="16"/>
        </w:rPr>
        <w:t>Liquido de suspensión.</w:t>
      </w:r>
      <w:r>
        <w:t xml:space="preserve"> Este líquido suele ser agua estéril inyectable o solución salina, pero también puede ser un líquido complejo de cultivo tisular. Dicho componente puede incluir proteínas u otros constituyentes derivados del medio de suspensión y el sistema biológico en el cual se produce la vacuna (como antígenos de huevo, gelatina y antígenos derivados de cultivos tisulares).</w:t>
      </w:r>
    </w:p>
    <w:p w14:paraId="361E4AAD" w14:textId="77777777" w:rsidR="0072615D" w:rsidRDefault="0072615D">
      <w:pPr>
        <w:pStyle w:val="BodyText"/>
        <w:numPr>
          <w:ilvl w:val="0"/>
          <w:numId w:val="15"/>
        </w:numPr>
        <w:tabs>
          <w:tab w:val="left" w:pos="326"/>
        </w:tabs>
        <w:ind w:left="340" w:hanging="340"/>
      </w:pPr>
      <w:bookmarkStart w:id="85" w:name="bookmark85"/>
      <w:bookmarkEnd w:id="85"/>
      <w:r>
        <w:rPr>
          <w:rFonts w:ascii="Times New Roman" w:eastAsia="Times New Roman" w:hAnsi="Times New Roman" w:cs="Times New Roman"/>
          <w:b/>
          <w:bCs/>
          <w:i/>
          <w:iCs/>
          <w:sz w:val="16"/>
          <w:szCs w:val="16"/>
        </w:rPr>
        <w:t>Conservadores, estabilizantes y agentes antimicrobianos.</w:t>
      </w:r>
      <w:r>
        <w:t xml:space="preserve"> Por lo común se incluyen cantidades pequeñísimas de sustancias químicas (p. ej., mercuriales como timerosal [véase más adelante en esta sección “Contenido de timerosal de algunas vacunas y concentrados inmunoglobulínicos” en Reacciones de hipersensibilidad</w:t>
      </w:r>
    </w:p>
    <w:p w14:paraId="4323A427" w14:textId="77777777" w:rsidR="0072615D" w:rsidRDefault="0072615D">
      <w:pPr>
        <w:pStyle w:val="BodyText"/>
        <w:ind w:left="340"/>
      </w:pPr>
      <w:r>
        <w:t>a los constituyentes de la vacuna]), y algunos agentes antimicrobianos (como el sulfato de neomicina o de estreptomicina) para así evitar la proliferación bacteriana o estabilizar un antígeno. Pueden surgir reacciones alérgicas si el receptor es sensible a uno o más de tales aditivos. En la medida de lo posible, tales reacciones deben ser previstas si se identifica de antemano la hipersensibilidad del hospedador a componentes específicos de la vacuna.</w:t>
      </w:r>
    </w:p>
    <w:p w14:paraId="495D5179" w14:textId="77777777" w:rsidR="0072615D" w:rsidRDefault="0072615D">
      <w:pPr>
        <w:pStyle w:val="BodyText"/>
        <w:numPr>
          <w:ilvl w:val="0"/>
          <w:numId w:val="15"/>
        </w:numPr>
        <w:tabs>
          <w:tab w:val="left" w:pos="326"/>
        </w:tabs>
        <w:ind w:left="340" w:hanging="340"/>
      </w:pPr>
      <w:bookmarkStart w:id="86" w:name="bookmark86"/>
      <w:bookmarkEnd w:id="86"/>
      <w:r>
        <w:rPr>
          <w:rFonts w:ascii="Times New Roman" w:eastAsia="Times New Roman" w:hAnsi="Times New Roman" w:cs="Times New Roman"/>
          <w:b/>
          <w:bCs/>
          <w:i/>
          <w:iCs/>
          <w:sz w:val="16"/>
          <w:szCs w:val="16"/>
        </w:rPr>
        <w:t>Aditivos.</w:t>
      </w:r>
      <w:r>
        <w:t xml:space="preserve"> Por lo regular se utiliza en cantidades variables alguna sal de aluminio para intensificar la capacidad inmunógena y prolongar el efecto estimulante, sobre todo en vacunas hechas con microorganismos inactivados, o sus productos (como la de hepatitis B y los toxoides diftérico y tetánico).</w:t>
      </w:r>
    </w:p>
    <w:p w14:paraId="1C0B589D" w14:textId="77777777" w:rsidR="0072615D" w:rsidRDefault="0072615D">
      <w:pPr>
        <w:pStyle w:val="Other0"/>
        <w:spacing w:after="220" w:line="240" w:lineRule="auto"/>
        <w:ind w:firstLine="0"/>
        <w:rPr>
          <w:sz w:val="32"/>
          <w:szCs w:val="32"/>
        </w:rPr>
      </w:pPr>
      <w:r>
        <w:rPr>
          <w:rFonts w:ascii="Arial" w:eastAsia="Arial" w:hAnsi="Arial" w:cs="Arial"/>
          <w:b/>
          <w:bCs/>
          <w:w w:val="70"/>
          <w:sz w:val="32"/>
          <w:szCs w:val="32"/>
        </w:rPr>
        <w:t>Manejo y almacenamiento de vacunas</w:t>
      </w:r>
    </w:p>
    <w:p w14:paraId="7A5347B6" w14:textId="77777777" w:rsidR="0072615D" w:rsidRDefault="0072615D">
      <w:pPr>
        <w:pStyle w:val="BodyText"/>
        <w:spacing w:line="271" w:lineRule="auto"/>
        <w:ind w:firstLine="0"/>
      </w:pPr>
      <w:r>
        <w:t xml:space="preserve">El descuido del entorno en que se almacenan las vacunas puede contribuir a su ineficacia. Algunas de ellas, como las de sarampión, varicela, fiebre amarilla y OPV son sensibles al calor. Otras son alteradas por la congelación; entre ellas están las de difteria, tétanos y tos ferina (toxoides diftérico y tetánico y la variante acelular de tos ferina </w:t>
      </w:r>
      <w:r>
        <w:rPr>
          <w:i/>
          <w:iCs/>
        </w:rPr>
        <w:t>[</w:t>
      </w:r>
      <w:r>
        <w:rPr>
          <w:rFonts w:ascii="Times New Roman" w:eastAsia="Times New Roman" w:hAnsi="Times New Roman" w:cs="Times New Roman"/>
          <w:i/>
          <w:iCs/>
          <w:sz w:val="16"/>
          <w:szCs w:val="16"/>
        </w:rPr>
        <w:t>diphteria and tetanus toxoids and acellular pertussis</w:t>
      </w:r>
      <w:r>
        <w:rPr>
          <w:i/>
          <w:iCs/>
        </w:rPr>
        <w:t>,</w:t>
      </w:r>
      <w:r>
        <w:t xml:space="preserve"> DTaP]); vacuna IPV, la de </w:t>
      </w:r>
      <w:r>
        <w:rPr>
          <w:rFonts w:ascii="Times New Roman" w:eastAsia="Times New Roman" w:hAnsi="Times New Roman" w:cs="Times New Roman"/>
          <w:i/>
          <w:iCs/>
          <w:sz w:val="16"/>
          <w:szCs w:val="16"/>
        </w:rPr>
        <w:t>H. influenzae</w:t>
      </w:r>
      <w:r>
        <w:t xml:space="preserve"> tipo b (Hib), las hechas de polisacáridos de neumococos y también las conjugadas, las elaboradas contra hepatitis A y B, la inactivada contra influenza y las vacunas meningocócicas. Algunos productos pueden mostrar signos físicos de alteración de su integridad, en tanto que otros a veces conservan su aspecto normal a pesar de haber perdido potencia. Por todo lo comentado, el personal encargado de manejar las vacuna en un consultorio o clínica debe conocer en detalle los métodos habituales destinados a llevar al mínimo el peligro de ineficacia de la vacuna. En el cuadro 1-4 están las recomendaciones para el entorno de almacenamiento de las vacunas de uso más frecuente; vacunas y presentaciones nuevas de productos disponibles en la actualidad quizá requieran condiciones de almacenamiento distintas de las señaladas. Además, el fabricante puede corregir las recomendaciones de almacenamiento; dichas correcciones necesitan la aprobación de la FDA en Estados Unidos.</w:t>
      </w:r>
    </w:p>
    <w:p w14:paraId="67F318A9" w14:textId="77777777" w:rsidR="0072615D" w:rsidRDefault="0072615D">
      <w:pPr>
        <w:pStyle w:val="BodyText"/>
        <w:spacing w:after="220"/>
        <w:ind w:firstLine="360"/>
      </w:pPr>
      <w:r>
        <w:t xml:space="preserve">Las recomendaciones para el manejo y almacenamiento de productos biológicos escogidos se resumen en la información que el fabricante coloca en cada producto y en una publicación, </w:t>
      </w:r>
      <w:r>
        <w:rPr>
          <w:rFonts w:ascii="Times New Roman" w:eastAsia="Times New Roman" w:hAnsi="Times New Roman" w:cs="Times New Roman"/>
          <w:i/>
          <w:iCs/>
          <w:sz w:val="16"/>
          <w:szCs w:val="16"/>
        </w:rPr>
        <w:t>Vaccine Management</w:t>
      </w:r>
      <w:r>
        <w:rPr>
          <w:i/>
          <w:iCs/>
        </w:rPr>
        <w:t>,</w:t>
      </w:r>
      <w:r>
        <w:t xml:space="preserve"> que distribuyen los </w:t>
      </w:r>
      <w:r>
        <w:rPr>
          <w:rFonts w:ascii="Times New Roman" w:eastAsia="Times New Roman" w:hAnsi="Times New Roman" w:cs="Times New Roman"/>
          <w:i/>
          <w:iCs/>
          <w:sz w:val="16"/>
          <w:szCs w:val="16"/>
        </w:rPr>
        <w:t>Centers for Disease Control and Prevention</w:t>
      </w:r>
      <w:r>
        <w:t xml:space="preserve"> (CDC).</w:t>
      </w:r>
      <w:r>
        <w:footnoteReference w:id="10"/>
      </w:r>
      <w:r>
        <w:t xml:space="preserve"> Se puede obtener directamente de los fabricantes la información más reciente sobre las condiciones de almacenamiento recomendado y las instrucciones de manejo; los números telefónicos están incluidos en el envase o las etiquetas de los productos y también en </w:t>
      </w:r>
      <w:r>
        <w:rPr>
          <w:rFonts w:ascii="Times New Roman" w:eastAsia="Times New Roman" w:hAnsi="Times New Roman" w:cs="Times New Roman"/>
          <w:i/>
          <w:iCs/>
          <w:sz w:val="16"/>
          <w:szCs w:val="16"/>
        </w:rPr>
        <w:t>Physicians’ Desk Reference</w:t>
      </w:r>
      <w:r>
        <w:rPr>
          <w:i/>
          <w:iCs/>
        </w:rPr>
        <w:t>,</w:t>
      </w:r>
      <w:r>
        <w:t xml:space="preserve"> en Estados Unidos, que es una publicación anual. Se sugieren las directrices siguientes como parte de un sistema de control de calidad para el manejo y almacenamiento seguro de vacunas en el consultorio o en el medio clínico.</w:t>
      </w:r>
    </w:p>
    <w:p w14:paraId="7405FBDC" w14:textId="77777777" w:rsidR="0072615D" w:rsidRDefault="0072615D">
      <w:pPr>
        <w:pStyle w:val="BodyText"/>
        <w:spacing w:after="220"/>
        <w:ind w:firstLine="0"/>
      </w:pPr>
      <w:r>
        <w:t>PERSONAL</w:t>
      </w:r>
    </w:p>
    <w:p w14:paraId="249C196A" w14:textId="77777777" w:rsidR="0072615D" w:rsidRDefault="0072615D">
      <w:pPr>
        <w:pStyle w:val="BodyText"/>
        <w:numPr>
          <w:ilvl w:val="0"/>
          <w:numId w:val="15"/>
        </w:numPr>
        <w:tabs>
          <w:tab w:val="left" w:pos="341"/>
        </w:tabs>
        <w:ind w:left="360" w:hanging="360"/>
      </w:pPr>
      <w:bookmarkStart w:id="87" w:name="bookmark87"/>
      <w:bookmarkEnd w:id="87"/>
      <w:r>
        <w:t>Se designará a una persona como coordinador de vacunas y se le asignará la responsabilidad de asegurar que las vacunas y otros agentes y productos biológicos sean manejados y almacenados de una forma cuidadosa, segura y conforme a las recomendaciones y que esto pueda corroborarse. También se nombrará a personal suplente que se ocupe de tales tareas y responsabilidades en periodos de enfermedad o vacaciones.</w:t>
      </w:r>
    </w:p>
    <w:p w14:paraId="1387BFF7" w14:textId="77777777" w:rsidR="0072615D" w:rsidRDefault="0072615D">
      <w:pPr>
        <w:pStyle w:val="BodyText"/>
        <w:numPr>
          <w:ilvl w:val="0"/>
          <w:numId w:val="15"/>
        </w:numPr>
        <w:tabs>
          <w:tab w:val="left" w:pos="341"/>
        </w:tabs>
        <w:spacing w:after="220"/>
        <w:ind w:left="360" w:hanging="360"/>
        <w:sectPr w:rsidR="0072615D" w:rsidSect="0072615D">
          <w:headerReference w:type="even" r:id="rId50"/>
          <w:headerReference w:type="default" r:id="rId51"/>
          <w:footnotePr>
            <w:numFmt w:val="chicago"/>
          </w:footnotePr>
          <w:type w:val="continuous"/>
          <w:pgSz w:w="8501" w:h="13022"/>
          <w:pgMar w:top="902" w:right="774" w:bottom="532" w:left="848" w:header="0" w:footer="3" w:gutter="0"/>
          <w:cols w:space="720"/>
          <w:noEndnote/>
          <w:docGrid w:linePitch="360"/>
          <w15:footnoteColumns w:val="1"/>
        </w:sectPr>
      </w:pPr>
      <w:bookmarkStart w:id="88" w:name="bookmark88"/>
      <w:bookmarkEnd w:id="88"/>
      <w:r>
        <w:t>Se dará información a toda persona que maneje las vacunas, de las exigencias específicas de almacenamiento y limitaciones de la estabilidad de los productos que cuidarán (cuadro 1-4). Se colocarán carteles con todos los detalles de las condiciones adecuadas de almacenamiento en el refrigerador o congelador utilizados para el almacenamiento de vacunas, o cerca de ellos, o bien se procurará su difusión accesible y fácil.</w:t>
      </w:r>
    </w:p>
    <w:p w14:paraId="59DC3302" w14:textId="77777777" w:rsidR="0072615D" w:rsidRDefault="0072615D">
      <w:pPr>
        <w:pStyle w:val="Heading31"/>
        <w:keepNext/>
        <w:keepLines/>
        <w:framePr w:w="6778" w:h="322" w:wrap="none" w:hAnchor="page" w:x="2958" w:y="1"/>
      </w:pPr>
      <w:bookmarkStart w:id="89" w:name="bookmark89"/>
      <w:bookmarkStart w:id="90" w:name="bookmark90"/>
      <w:bookmarkStart w:id="91" w:name="bookmark91"/>
      <w:r>
        <w:rPr>
          <w:b w:val="0"/>
          <w:bCs w:val="0"/>
        </w:rPr>
        <w:t xml:space="preserve">Cuadro 1- 4. </w:t>
      </w:r>
      <w:r>
        <w:t>Almacenamiento recomendado de las vacunas de uso común</w:t>
      </w:r>
      <w:r>
        <w:rPr>
          <w:vertAlign w:val="superscript"/>
        </w:rPr>
        <w:t>1</w:t>
      </w:r>
      <w:bookmarkEnd w:id="89"/>
      <w:bookmarkEnd w:id="90"/>
      <w:bookmarkEnd w:id="91"/>
    </w:p>
    <w:p w14:paraId="6F9DAA1E" w14:textId="77777777" w:rsidR="0072615D" w:rsidRDefault="0072615D">
      <w:pPr>
        <w:pStyle w:val="Heading41"/>
        <w:keepNext/>
        <w:keepLines/>
        <w:framePr w:w="9542" w:h="298" w:wrap="none" w:hAnchor="page" w:x="654" w:y="337"/>
        <w:pBdr>
          <w:top w:val="single" w:sz="0" w:space="0" w:color="231F20"/>
          <w:left w:val="single" w:sz="0" w:space="0" w:color="231F20"/>
          <w:bottom w:val="single" w:sz="0" w:space="0" w:color="231F20"/>
          <w:right w:val="single" w:sz="0" w:space="0" w:color="231F20"/>
        </w:pBdr>
        <w:shd w:val="clear" w:color="auto" w:fill="231F20"/>
        <w:tabs>
          <w:tab w:val="left" w:pos="2544"/>
          <w:tab w:val="left" w:pos="5674"/>
        </w:tabs>
      </w:pPr>
      <w:bookmarkStart w:id="92" w:name="bookmark92"/>
      <w:bookmarkStart w:id="93" w:name="bookmark93"/>
      <w:bookmarkStart w:id="94" w:name="bookmark94"/>
      <w:r>
        <w:rPr>
          <w:color w:val="FFFFFF"/>
        </w:rPr>
        <w:t>Vacuna</w:t>
      </w:r>
      <w:r>
        <w:rPr>
          <w:color w:val="FFFFFF"/>
        </w:rPr>
        <w:tab/>
        <w:t>Temperatura recomendada</w:t>
      </w:r>
      <w:r>
        <w:rPr>
          <w:color w:val="FFFFFF"/>
        </w:rPr>
        <w:tab/>
        <w:t>Duración de la estabilidad Aspecto normal</w:t>
      </w:r>
      <w:bookmarkEnd w:id="92"/>
      <w:bookmarkEnd w:id="93"/>
      <w:bookmarkEnd w:id="94"/>
    </w:p>
    <w:p w14:paraId="0E942B4D" w14:textId="77777777" w:rsidR="0072615D" w:rsidRDefault="0072615D">
      <w:pPr>
        <w:pStyle w:val="Bodytext20"/>
        <w:framePr w:w="2390" w:h="677" w:wrap="none" w:hAnchor="page" w:x="678" w:y="707"/>
      </w:pPr>
      <w:r>
        <w:t>Diftérico y tetánico, toxoides, y vacuna acelular contra tos ferina (DTaP), adsorbida</w:t>
      </w:r>
    </w:p>
    <w:p w14:paraId="654DD9C0" w14:textId="77777777" w:rsidR="0072615D" w:rsidRDefault="0072615D">
      <w:pPr>
        <w:pStyle w:val="Bodytext20"/>
        <w:framePr w:w="2870" w:h="1109" w:wrap="none" w:hAnchor="page" w:x="3212" w:y="707"/>
      </w:pPr>
      <w:r>
        <w:t>2-8°C. No congelar. Un lapso de apenas</w:t>
      </w:r>
    </w:p>
    <w:p w14:paraId="76A77E1A" w14:textId="77777777" w:rsidR="0072615D" w:rsidRDefault="0072615D">
      <w:pPr>
        <w:pStyle w:val="Bodytext20"/>
        <w:framePr w:w="2870" w:h="1109" w:wrap="none" w:hAnchor="page" w:x="3212" w:y="707"/>
      </w:pPr>
      <w:r>
        <w:t>24 h a &lt;2°C o mayor de 25°C puede hacer que los antígenos se depositen en el fondo del recipiente y sea difícil suspenderlos de nuevo</w:t>
      </w:r>
    </w:p>
    <w:p w14:paraId="129DA61B" w14:textId="77777777" w:rsidR="0072615D" w:rsidRDefault="0072615D">
      <w:pPr>
        <w:pStyle w:val="Bodytext20"/>
        <w:framePr w:w="2506" w:h="677" w:wrap="none" w:hAnchor="page" w:x="6313" w:y="707"/>
      </w:pPr>
      <w:r>
        <w:t>No más de 18 meses desde la fecha de salida del almacenamiento en frío del fabricante</w:t>
      </w:r>
    </w:p>
    <w:p w14:paraId="44FA1A9F" w14:textId="77777777" w:rsidR="0072615D" w:rsidRDefault="0072615D">
      <w:pPr>
        <w:pStyle w:val="Bodytext20"/>
        <w:framePr w:w="3134" w:h="1109" w:wrap="none" w:hAnchor="page" w:x="8867" w:y="707"/>
      </w:pPr>
      <w:r>
        <w:t>Suspensión muy turbia y blanquecina.</w:t>
      </w:r>
    </w:p>
    <w:p w14:paraId="49DC242C" w14:textId="77777777" w:rsidR="0072615D" w:rsidRDefault="0072615D">
      <w:pPr>
        <w:pStyle w:val="Bodytext20"/>
        <w:framePr w:w="3134" w:h="1109" w:wrap="none" w:hAnchor="page" w:x="8867" w:y="707"/>
      </w:pPr>
      <w:r>
        <w:t>Si contiene grumos o cúmulos de material que no pueden ser devueltos a la suspensión con agitación vigorosa, será mejor NO usarla</w:t>
      </w:r>
    </w:p>
    <w:p w14:paraId="1D6480BB" w14:textId="77777777" w:rsidR="0072615D" w:rsidRDefault="0072615D">
      <w:pPr>
        <w:pStyle w:val="Bodytext20"/>
        <w:framePr w:w="2059" w:h="226" w:wrap="none" w:hAnchor="page" w:x="678" w:y="2003"/>
        <w:spacing w:line="240" w:lineRule="auto"/>
      </w:pPr>
      <w:r>
        <w:t>Diftérico, toxoide, adsorbido</w:t>
      </w:r>
    </w:p>
    <w:p w14:paraId="33AB4A1F" w14:textId="77777777" w:rsidR="0072615D" w:rsidRDefault="0072615D">
      <w:pPr>
        <w:pStyle w:val="Bodytext20"/>
        <w:framePr w:w="1426" w:h="235" w:wrap="none" w:hAnchor="page" w:x="3212" w:y="2003"/>
        <w:spacing w:line="240" w:lineRule="auto"/>
      </w:pPr>
      <w:r>
        <w:t>2-8°C, No congelar</w:t>
      </w:r>
    </w:p>
    <w:p w14:paraId="4D4745FA" w14:textId="77777777" w:rsidR="0072615D" w:rsidRDefault="0072615D">
      <w:pPr>
        <w:pStyle w:val="Bodytext20"/>
        <w:framePr w:w="2472" w:h="677" w:wrap="none" w:hAnchor="page" w:x="6313" w:y="2003"/>
      </w:pPr>
      <w:r>
        <w:t>No más de dos años desde la fecha de salida del almacenamiento en frío del fabricante</w:t>
      </w:r>
    </w:p>
    <w:p w14:paraId="425462EF" w14:textId="77777777" w:rsidR="0072615D" w:rsidRDefault="0072615D">
      <w:pPr>
        <w:pStyle w:val="Bodytext20"/>
        <w:framePr w:w="2995" w:h="442" w:wrap="none" w:hAnchor="page" w:x="8867" w:y="2003"/>
        <w:spacing w:line="240" w:lineRule="auto"/>
      </w:pPr>
      <w:r>
        <w:t>Suspensión turbia y blanca, levemente gris</w:t>
      </w:r>
    </w:p>
    <w:p w14:paraId="3A643FDE" w14:textId="77777777" w:rsidR="0072615D" w:rsidRDefault="0072615D">
      <w:pPr>
        <w:pStyle w:val="Bodytext20"/>
        <w:framePr w:w="2995" w:h="442" w:wrap="none" w:hAnchor="page" w:x="8867" w:y="2003"/>
        <w:spacing w:line="240" w:lineRule="auto"/>
      </w:pPr>
      <w:r>
        <w:t>o rosa</w:t>
      </w:r>
    </w:p>
    <w:p w14:paraId="32F307B5" w14:textId="77777777" w:rsidR="0072615D" w:rsidRDefault="0072615D">
      <w:pPr>
        <w:pStyle w:val="Bodytext20"/>
        <w:framePr w:w="3005" w:h="893" w:wrap="none" w:hAnchor="page" w:x="678" w:y="2867"/>
      </w:pPr>
      <w:r>
        <w:t>DTaP, vacuna del virus de hepatitis 2-8°C B inactivado (recombinante) y vacuna de virus poliomielítico inactivado</w:t>
      </w:r>
    </w:p>
    <w:p w14:paraId="307B7F59" w14:textId="77777777" w:rsidR="0072615D" w:rsidRDefault="0072615D">
      <w:pPr>
        <w:pStyle w:val="Bodytext20"/>
        <w:framePr w:w="2347" w:h="461" w:wrap="none" w:hAnchor="page" w:x="6323" w:y="2867"/>
      </w:pPr>
      <w:r>
        <w:t>Consúltese la fecha de caducidad en el frasco</w:t>
      </w:r>
    </w:p>
    <w:p w14:paraId="0CD155F2" w14:textId="77777777" w:rsidR="0072615D" w:rsidRDefault="0072615D">
      <w:pPr>
        <w:pStyle w:val="Bodytext20"/>
        <w:framePr w:w="1786" w:h="235" w:wrap="none" w:hAnchor="page" w:x="8867" w:y="2867"/>
        <w:spacing w:line="240" w:lineRule="auto"/>
      </w:pPr>
      <w:r>
        <w:t>Suspensión turbia blanca</w:t>
      </w:r>
    </w:p>
    <w:p w14:paraId="55DAEBDF" w14:textId="77777777" w:rsidR="0072615D" w:rsidRDefault="0072615D">
      <w:pPr>
        <w:pStyle w:val="Bodytext20"/>
        <w:framePr w:w="2270" w:h="461" w:wrap="none" w:hAnchor="page" w:x="678" w:y="3947"/>
      </w:pPr>
      <w:r>
        <w:t>Hepatitis A, vacuna de virus de, inactivado</w:t>
      </w:r>
    </w:p>
    <w:p w14:paraId="4A97A460" w14:textId="77777777" w:rsidR="0072615D" w:rsidRDefault="0072615D">
      <w:pPr>
        <w:pStyle w:val="Bodytext20"/>
        <w:framePr w:w="2947" w:h="461" w:wrap="none" w:hAnchor="page" w:x="3212" w:y="3947"/>
      </w:pPr>
      <w:r>
        <w:t>2-8°C. No congelar. No usar si el producto ha sido congelado</w:t>
      </w:r>
    </w:p>
    <w:p w14:paraId="3689D2F6" w14:textId="77777777" w:rsidR="0072615D" w:rsidRDefault="0072615D">
      <w:pPr>
        <w:pStyle w:val="Bodytext20"/>
        <w:framePr w:w="1834" w:h="235" w:wrap="none" w:hAnchor="page" w:x="6318" w:y="3947"/>
        <w:spacing w:line="240" w:lineRule="auto"/>
      </w:pPr>
      <w:r>
        <w:t>Tres años en refrigeración</w:t>
      </w:r>
    </w:p>
    <w:p w14:paraId="606F0A45" w14:textId="77777777" w:rsidR="0072615D" w:rsidRDefault="0072615D">
      <w:pPr>
        <w:pStyle w:val="Bodytext20"/>
        <w:framePr w:w="1766" w:h="235" w:wrap="none" w:hAnchor="page" w:x="8867" w:y="3947"/>
        <w:spacing w:line="240" w:lineRule="auto"/>
      </w:pPr>
      <w:r>
        <w:t>Suspensión opaca blanca</w:t>
      </w:r>
    </w:p>
    <w:p w14:paraId="1EE9F048" w14:textId="77777777" w:rsidR="0072615D" w:rsidRDefault="0072615D">
      <w:pPr>
        <w:pStyle w:val="Other0"/>
        <w:framePr w:w="192" w:h="4224" w:hRule="exact" w:wrap="none" w:hAnchor="page" w:x="12390" w:y="63"/>
        <w:tabs>
          <w:tab w:val="left" w:pos="2626"/>
        </w:tabs>
        <w:spacing w:line="240" w:lineRule="auto"/>
        <w:ind w:firstLine="0"/>
        <w:textDirection w:val="tbRl"/>
        <w:rPr>
          <w:sz w:val="14"/>
          <w:szCs w:val="14"/>
        </w:rPr>
      </w:pPr>
      <w:r>
        <w:rPr>
          <w:rFonts w:ascii="Arial" w:eastAsia="Arial" w:hAnsi="Arial" w:cs="Arial"/>
          <w:sz w:val="16"/>
          <w:szCs w:val="16"/>
        </w:rPr>
        <w:t>12</w:t>
      </w:r>
      <w:r>
        <w:rPr>
          <w:rFonts w:ascii="Arial" w:eastAsia="Arial" w:hAnsi="Arial" w:cs="Arial"/>
          <w:sz w:val="16"/>
          <w:szCs w:val="16"/>
        </w:rPr>
        <w:tab/>
      </w:r>
      <w:r>
        <w:rPr>
          <w:rFonts w:ascii="Arial" w:eastAsia="Arial" w:hAnsi="Arial" w:cs="Arial"/>
          <w:sz w:val="14"/>
          <w:szCs w:val="14"/>
        </w:rPr>
        <w:t>INMUNIZACIÓN ACTIVA</w:t>
      </w:r>
    </w:p>
    <w:p w14:paraId="0FB3AD43" w14:textId="77777777" w:rsidR="0072615D" w:rsidRDefault="0072615D">
      <w:pPr>
        <w:pStyle w:val="Bodytext20"/>
        <w:framePr w:w="2266" w:h="461" w:wrap="none" w:hAnchor="page" w:x="678" w:y="4595"/>
      </w:pPr>
      <w:r>
        <w:t>Hepatitis B, vacuna de virus de, inactivado (recombinante)</w:t>
      </w:r>
    </w:p>
    <w:p w14:paraId="7B0A922B" w14:textId="77777777" w:rsidR="0072615D" w:rsidRDefault="0072615D">
      <w:pPr>
        <w:pStyle w:val="Bodytext20"/>
        <w:framePr w:w="2909" w:h="893" w:wrap="none" w:hAnchor="page" w:x="3212" w:y="4595"/>
      </w:pPr>
      <w:r>
        <w:t>2-8°C. El almacenamiento fuera de estos límites de temperatura puede disminuir la potencia. La congelación disminuye sustancialmente la potencia</w:t>
      </w:r>
    </w:p>
    <w:p w14:paraId="5F96699D" w14:textId="77777777" w:rsidR="0072615D" w:rsidRDefault="0072615D">
      <w:pPr>
        <w:pStyle w:val="Bodytext20"/>
        <w:framePr w:w="2357" w:h="677" w:wrap="none" w:hAnchor="page" w:x="6318" w:y="4595"/>
      </w:pPr>
      <w:r>
        <w:t>Tres años desde la fecha de salida del almacenamiento en frío del fabricante</w:t>
      </w:r>
    </w:p>
    <w:p w14:paraId="285E9EC1" w14:textId="77777777" w:rsidR="0072615D" w:rsidRDefault="0072615D">
      <w:pPr>
        <w:pStyle w:val="Bodytext20"/>
        <w:framePr w:w="2822" w:h="461" w:wrap="none" w:hAnchor="page" w:x="8867" w:y="4595"/>
        <w:jc w:val="center"/>
      </w:pPr>
      <w:r>
        <w:t>Después de agitación intensa y perfecta,</w:t>
      </w:r>
      <w:r>
        <w:br/>
        <w:t>suspensión levemente opaca y blanca</w:t>
      </w:r>
    </w:p>
    <w:p w14:paraId="50FD091C" w14:textId="77777777" w:rsidR="0072615D" w:rsidRDefault="0072615D">
      <w:pPr>
        <w:pStyle w:val="Bodytext20"/>
        <w:framePr w:w="3960" w:h="461" w:wrap="none" w:hAnchor="page" w:x="678" w:y="5675"/>
      </w:pPr>
      <w:r>
        <w:t>Hepatitis A-hepatitis B, vacuna 2-8°C. No congelar de combinación de</w:t>
      </w:r>
    </w:p>
    <w:p w14:paraId="16535D74" w14:textId="77777777" w:rsidR="0072615D" w:rsidRDefault="0072615D">
      <w:pPr>
        <w:pStyle w:val="Bodytext20"/>
        <w:framePr w:w="691" w:h="221" w:wrap="none" w:hAnchor="page" w:x="6323" w:y="5679"/>
        <w:spacing w:line="240" w:lineRule="auto"/>
      </w:pPr>
      <w:r>
        <w:t>Dos años</w:t>
      </w:r>
    </w:p>
    <w:p w14:paraId="1734DC4C" w14:textId="77777777" w:rsidR="0072615D" w:rsidRDefault="0072615D">
      <w:pPr>
        <w:pStyle w:val="Bodytext20"/>
        <w:framePr w:w="2635" w:h="235" w:wrap="none" w:hAnchor="page" w:x="8867" w:y="5675"/>
        <w:spacing w:line="240" w:lineRule="auto"/>
      </w:pPr>
      <w:r>
        <w:t>Suspensión blanca turbia homogénea</w:t>
      </w:r>
    </w:p>
    <w:p w14:paraId="61F40914" w14:textId="77777777" w:rsidR="0072615D" w:rsidRDefault="0072615D">
      <w:pPr>
        <w:pStyle w:val="Bodytext20"/>
        <w:framePr w:w="2318" w:h="677" w:wrap="none" w:hAnchor="page" w:x="678" w:y="6323"/>
      </w:pPr>
      <w:r>
        <w:t>Hib, vacuna con conjugado de: HbOC (conjugado de proteína CRM197 de difteria)</w:t>
      </w:r>
    </w:p>
    <w:p w14:paraId="6A0D2A51" w14:textId="77777777" w:rsidR="0072615D" w:rsidRDefault="0072615D">
      <w:pPr>
        <w:pStyle w:val="Bodytext20"/>
        <w:framePr w:w="1450" w:h="235" w:wrap="none" w:hAnchor="page" w:x="3212" w:y="6323"/>
        <w:spacing w:line="240" w:lineRule="auto"/>
      </w:pPr>
      <w:r>
        <w:t>2-8°C. No congelar.</w:t>
      </w:r>
    </w:p>
    <w:p w14:paraId="161D4E67" w14:textId="77777777" w:rsidR="0072615D" w:rsidRDefault="0072615D">
      <w:pPr>
        <w:pStyle w:val="Bodytext20"/>
        <w:framePr w:w="4162" w:h="677" w:wrap="none" w:hAnchor="page" w:x="6313" w:y="6323"/>
      </w:pPr>
      <w:r>
        <w:t>No más de dos años desde la fecha Líquido claro incoloro de salida del almacenamiento</w:t>
      </w:r>
    </w:p>
    <w:p w14:paraId="7D558B3F" w14:textId="77777777" w:rsidR="0072615D" w:rsidRDefault="0072615D">
      <w:pPr>
        <w:pStyle w:val="Bodytext20"/>
        <w:framePr w:w="4162" w:h="677" w:wrap="none" w:hAnchor="page" w:x="6313" w:y="6323"/>
      </w:pPr>
      <w:r>
        <w:t>en frío del fabricante</w:t>
      </w:r>
    </w:p>
    <w:p w14:paraId="55CBFB2D" w14:textId="77777777" w:rsidR="0072615D" w:rsidRDefault="0072615D">
      <w:pPr>
        <w:spacing w:line="360" w:lineRule="exact"/>
      </w:pPr>
    </w:p>
    <w:p w14:paraId="0D6FE0F7" w14:textId="77777777" w:rsidR="0072615D" w:rsidRDefault="0072615D">
      <w:pPr>
        <w:spacing w:line="360" w:lineRule="exact"/>
      </w:pPr>
    </w:p>
    <w:p w14:paraId="181621A0" w14:textId="77777777" w:rsidR="0072615D" w:rsidRDefault="0072615D">
      <w:pPr>
        <w:spacing w:line="360" w:lineRule="exact"/>
      </w:pPr>
    </w:p>
    <w:p w14:paraId="2414ABF4" w14:textId="77777777" w:rsidR="0072615D" w:rsidRDefault="0072615D">
      <w:pPr>
        <w:spacing w:line="360" w:lineRule="exact"/>
      </w:pPr>
    </w:p>
    <w:p w14:paraId="4815654A" w14:textId="77777777" w:rsidR="0072615D" w:rsidRDefault="0072615D">
      <w:pPr>
        <w:spacing w:line="360" w:lineRule="exact"/>
      </w:pPr>
    </w:p>
    <w:p w14:paraId="77DBA3D1" w14:textId="77777777" w:rsidR="0072615D" w:rsidRDefault="0072615D">
      <w:pPr>
        <w:spacing w:line="360" w:lineRule="exact"/>
      </w:pPr>
    </w:p>
    <w:p w14:paraId="40288442" w14:textId="77777777" w:rsidR="0072615D" w:rsidRDefault="0072615D">
      <w:pPr>
        <w:spacing w:line="360" w:lineRule="exact"/>
      </w:pPr>
    </w:p>
    <w:p w14:paraId="6D66B137" w14:textId="77777777" w:rsidR="0072615D" w:rsidRDefault="0072615D">
      <w:pPr>
        <w:spacing w:line="360" w:lineRule="exact"/>
      </w:pPr>
    </w:p>
    <w:p w14:paraId="17A971A3" w14:textId="77777777" w:rsidR="0072615D" w:rsidRDefault="0072615D">
      <w:pPr>
        <w:spacing w:line="360" w:lineRule="exact"/>
      </w:pPr>
    </w:p>
    <w:p w14:paraId="5A7927FF" w14:textId="77777777" w:rsidR="0072615D" w:rsidRDefault="0072615D">
      <w:pPr>
        <w:spacing w:line="360" w:lineRule="exact"/>
      </w:pPr>
    </w:p>
    <w:p w14:paraId="75003ACC" w14:textId="77777777" w:rsidR="0072615D" w:rsidRDefault="0072615D">
      <w:pPr>
        <w:spacing w:line="360" w:lineRule="exact"/>
      </w:pPr>
    </w:p>
    <w:p w14:paraId="24DCAA28" w14:textId="77777777" w:rsidR="0072615D" w:rsidRDefault="0072615D">
      <w:pPr>
        <w:spacing w:line="360" w:lineRule="exact"/>
      </w:pPr>
    </w:p>
    <w:p w14:paraId="407898B9" w14:textId="77777777" w:rsidR="0072615D" w:rsidRDefault="0072615D">
      <w:pPr>
        <w:spacing w:line="360" w:lineRule="exact"/>
      </w:pPr>
    </w:p>
    <w:p w14:paraId="6D87C307" w14:textId="77777777" w:rsidR="0072615D" w:rsidRDefault="0072615D">
      <w:pPr>
        <w:spacing w:line="360" w:lineRule="exact"/>
      </w:pPr>
    </w:p>
    <w:p w14:paraId="0C51CADF" w14:textId="77777777" w:rsidR="0072615D" w:rsidRDefault="0072615D">
      <w:pPr>
        <w:spacing w:line="360" w:lineRule="exact"/>
      </w:pPr>
    </w:p>
    <w:p w14:paraId="38E09312" w14:textId="77777777" w:rsidR="0072615D" w:rsidRDefault="0072615D">
      <w:pPr>
        <w:spacing w:line="360" w:lineRule="exact"/>
      </w:pPr>
    </w:p>
    <w:p w14:paraId="1A76ED03" w14:textId="77777777" w:rsidR="0072615D" w:rsidRDefault="0072615D">
      <w:pPr>
        <w:spacing w:line="360" w:lineRule="exact"/>
      </w:pPr>
    </w:p>
    <w:p w14:paraId="5F6F4CE7" w14:textId="77777777" w:rsidR="0072615D" w:rsidRDefault="0072615D">
      <w:pPr>
        <w:spacing w:line="360" w:lineRule="exact"/>
      </w:pPr>
    </w:p>
    <w:p w14:paraId="4BE61854" w14:textId="77777777" w:rsidR="0072615D" w:rsidRDefault="0072615D">
      <w:pPr>
        <w:spacing w:after="517" w:line="1" w:lineRule="exact"/>
      </w:pPr>
    </w:p>
    <w:p w14:paraId="55402342" w14:textId="77777777" w:rsidR="0072615D" w:rsidRDefault="0072615D">
      <w:pPr>
        <w:spacing w:line="1" w:lineRule="exact"/>
        <w:sectPr w:rsidR="0072615D" w:rsidSect="0072615D">
          <w:headerReference w:type="even" r:id="rId52"/>
          <w:headerReference w:type="default" r:id="rId53"/>
          <w:footerReference w:type="even" r:id="rId54"/>
          <w:footerReference w:type="default" r:id="rId55"/>
          <w:footnotePr>
            <w:numFmt w:val="chicago"/>
          </w:footnotePr>
          <w:pgSz w:w="13022" w:h="8501" w:orient="landscape"/>
          <w:pgMar w:top="456" w:right="442" w:bottom="994" w:left="653" w:header="28" w:footer="3" w:gutter="0"/>
          <w:cols w:space="720"/>
          <w:noEndnote/>
          <w:docGrid w:linePitch="360"/>
          <w15:footnoteColumns w:val="1"/>
        </w:sectPr>
      </w:pPr>
    </w:p>
    <w:p w14:paraId="18958587" w14:textId="77777777" w:rsidR="0072615D" w:rsidRDefault="0072615D">
      <w:pPr>
        <w:pStyle w:val="Heading41"/>
        <w:keepNext/>
        <w:keepLines/>
        <w:framePr w:w="624" w:h="298" w:wrap="none" w:hAnchor="page" w:x="683" w:y="356"/>
        <w:pBdr>
          <w:top w:val="single" w:sz="0" w:space="0" w:color="231F20"/>
          <w:left w:val="single" w:sz="0" w:space="0" w:color="231F20"/>
          <w:bottom w:val="single" w:sz="0" w:space="0" w:color="231F20"/>
          <w:right w:val="single" w:sz="0" w:space="0" w:color="231F20"/>
        </w:pBdr>
        <w:shd w:val="clear" w:color="auto" w:fill="231F20"/>
      </w:pPr>
      <w:bookmarkStart w:id="95" w:name="bookmark95"/>
      <w:bookmarkStart w:id="96" w:name="bookmark96"/>
      <w:bookmarkStart w:id="97" w:name="bookmark97"/>
      <w:r>
        <w:rPr>
          <w:color w:val="FFFFFF"/>
        </w:rPr>
        <w:t>Vacuna</w:t>
      </w:r>
      <w:bookmarkEnd w:id="95"/>
      <w:bookmarkEnd w:id="96"/>
      <w:bookmarkEnd w:id="97"/>
    </w:p>
    <w:p w14:paraId="3B304AC2" w14:textId="77777777" w:rsidR="0072615D" w:rsidRDefault="0072615D">
      <w:pPr>
        <w:pStyle w:val="Heading31"/>
        <w:keepNext/>
        <w:keepLines/>
        <w:framePr w:w="7843" w:h="322" w:wrap="none" w:hAnchor="page" w:x="2425" w:y="1"/>
        <w:rPr>
          <w:sz w:val="16"/>
          <w:szCs w:val="16"/>
        </w:rPr>
      </w:pPr>
      <w:bookmarkStart w:id="98" w:name="bookmark100"/>
      <w:bookmarkStart w:id="99" w:name="bookmark98"/>
      <w:bookmarkStart w:id="100" w:name="bookmark99"/>
      <w:r>
        <w:rPr>
          <w:b w:val="0"/>
          <w:bCs w:val="0"/>
        </w:rPr>
        <w:t xml:space="preserve">Cuadro 1- 4. </w:t>
      </w:r>
      <w:r>
        <w:t>Almacenamiento recomendado de las vacunas de uso común,</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98"/>
      <w:bookmarkEnd w:id="99"/>
      <w:bookmarkEnd w:id="100"/>
    </w:p>
    <w:p w14:paraId="46B0CF97" w14:textId="77777777" w:rsidR="0072615D" w:rsidRDefault="0072615D">
      <w:pPr>
        <w:pStyle w:val="Heading41"/>
        <w:keepNext/>
        <w:keepLines/>
        <w:framePr w:w="2242" w:h="298" w:wrap="none" w:hAnchor="page" w:x="3212" w:y="356"/>
        <w:pBdr>
          <w:top w:val="single" w:sz="0" w:space="0" w:color="231F20"/>
          <w:left w:val="single" w:sz="0" w:space="0" w:color="231F20"/>
          <w:bottom w:val="single" w:sz="0" w:space="0" w:color="231F20"/>
          <w:right w:val="single" w:sz="0" w:space="0" w:color="231F20"/>
        </w:pBdr>
        <w:shd w:val="clear" w:color="auto" w:fill="231F20"/>
        <w:jc w:val="center"/>
      </w:pPr>
      <w:bookmarkStart w:id="101" w:name="bookmark101"/>
      <w:bookmarkStart w:id="102" w:name="bookmark102"/>
      <w:bookmarkStart w:id="103" w:name="bookmark103"/>
      <w:r>
        <w:rPr>
          <w:color w:val="FFFFFF"/>
        </w:rPr>
        <w:t>Temperatura recomendada</w:t>
      </w:r>
      <w:bookmarkEnd w:id="101"/>
      <w:bookmarkEnd w:id="102"/>
      <w:bookmarkEnd w:id="103"/>
    </w:p>
    <w:p w14:paraId="0818A8E7" w14:textId="77777777" w:rsidR="0072615D" w:rsidRDefault="0072615D">
      <w:pPr>
        <w:pStyle w:val="Heading41"/>
        <w:keepNext/>
        <w:keepLines/>
        <w:framePr w:w="3864" w:h="298" w:wrap="none" w:hAnchor="page" w:x="6342" w:y="351"/>
        <w:pBdr>
          <w:top w:val="single" w:sz="0" w:space="0" w:color="231F20"/>
          <w:left w:val="single" w:sz="0" w:space="0" w:color="231F20"/>
          <w:bottom w:val="single" w:sz="0" w:space="0" w:color="231F20"/>
          <w:right w:val="single" w:sz="0" w:space="0" w:color="231F20"/>
        </w:pBdr>
        <w:shd w:val="clear" w:color="auto" w:fill="231F20"/>
      </w:pPr>
      <w:bookmarkStart w:id="104" w:name="bookmark104"/>
      <w:bookmarkStart w:id="105" w:name="bookmark105"/>
      <w:bookmarkStart w:id="106" w:name="bookmark106"/>
      <w:r>
        <w:rPr>
          <w:color w:val="FFFFFF"/>
        </w:rPr>
        <w:t>Duración de la estabilidad Aspecto normal</w:t>
      </w:r>
      <w:bookmarkEnd w:id="104"/>
      <w:bookmarkEnd w:id="105"/>
      <w:bookmarkEnd w:id="106"/>
    </w:p>
    <w:p w14:paraId="35145F9D" w14:textId="77777777" w:rsidR="0072615D" w:rsidRDefault="0072615D">
      <w:pPr>
        <w:pStyle w:val="Bodytext20"/>
        <w:framePr w:w="1963" w:h="677" w:wrap="none" w:hAnchor="page" w:x="683" w:y="716"/>
        <w:jc w:val="center"/>
      </w:pPr>
      <w:r>
        <w:t>Hib, vacuna de conjugado:</w:t>
      </w:r>
      <w:r>
        <w:br/>
        <w:t>PRP-OMP (conjugado de</w:t>
      </w:r>
      <w:r>
        <w:br/>
        <w:t>proteína meningocócica)</w:t>
      </w:r>
    </w:p>
    <w:p w14:paraId="69A4DEA1" w14:textId="77777777" w:rsidR="0072615D" w:rsidRDefault="0072615D">
      <w:pPr>
        <w:pStyle w:val="Bodytext20"/>
        <w:framePr w:w="2203" w:h="451" w:wrap="none" w:hAnchor="page" w:x="3217" w:y="716"/>
        <w:spacing w:line="240" w:lineRule="auto"/>
      </w:pPr>
      <w:r>
        <w:t>Presentación liofilizada: 2-8°C.</w:t>
      </w:r>
    </w:p>
    <w:p w14:paraId="74FDA319" w14:textId="77777777" w:rsidR="0072615D" w:rsidRDefault="0072615D">
      <w:pPr>
        <w:pStyle w:val="Bodytext20"/>
        <w:framePr w:w="2203" w:h="451" w:wrap="none" w:hAnchor="page" w:x="3217" w:y="716"/>
        <w:spacing w:line="240" w:lineRule="auto"/>
      </w:pPr>
      <w:r>
        <w:t>No congelar</w:t>
      </w:r>
    </w:p>
    <w:p w14:paraId="4166E367" w14:textId="77777777" w:rsidR="0072615D" w:rsidRDefault="0072615D">
      <w:pPr>
        <w:pStyle w:val="Bodytext20"/>
        <w:framePr w:w="2256" w:h="677" w:wrap="none" w:hAnchor="page" w:x="6318" w:y="716"/>
      </w:pPr>
      <w:r>
        <w:t>No más de dos años de la fecha de salida del almacenamiento en frío del fabricante</w:t>
      </w:r>
    </w:p>
    <w:p w14:paraId="232EC0DC" w14:textId="77777777" w:rsidR="0072615D" w:rsidRDefault="0072615D">
      <w:pPr>
        <w:pStyle w:val="Bodytext20"/>
        <w:framePr w:w="2558" w:h="235" w:wrap="none" w:hAnchor="page" w:x="8871" w:y="716"/>
        <w:spacing w:line="240" w:lineRule="auto"/>
      </w:pPr>
      <w:r>
        <w:t>Suspensión levemente opaca, blanca</w:t>
      </w:r>
    </w:p>
    <w:p w14:paraId="53A9749D" w14:textId="77777777" w:rsidR="0072615D" w:rsidRDefault="0072615D">
      <w:pPr>
        <w:pStyle w:val="Bodytext20"/>
        <w:framePr w:w="2242" w:h="648" w:wrap="none" w:hAnchor="page" w:x="683" w:y="1580"/>
      </w:pPr>
      <w:r>
        <w:t>Hib, vacuna de conjugado de: PRP-T (conjugado de toxoide tetánico)</w:t>
      </w:r>
    </w:p>
    <w:p w14:paraId="26EB89D2" w14:textId="77777777" w:rsidR="0072615D" w:rsidRDefault="0072615D">
      <w:pPr>
        <w:pStyle w:val="Bodytext20"/>
        <w:framePr w:w="2506" w:h="1325" w:wrap="none" w:hAnchor="page" w:x="3217" w:y="1580"/>
        <w:spacing w:after="200"/>
        <w:jc w:val="center"/>
      </w:pPr>
      <w:r>
        <w:t>Presentación liofilizada: 2-8°C</w:t>
      </w:r>
      <w:r>
        <w:br/>
        <w:t>no congelar la presentación</w:t>
      </w:r>
    </w:p>
    <w:p w14:paraId="35130E83" w14:textId="77777777" w:rsidR="0072615D" w:rsidRDefault="0072615D">
      <w:pPr>
        <w:pStyle w:val="Bodytext20"/>
        <w:framePr w:w="2506" w:h="1325" w:wrap="none" w:hAnchor="page" w:x="3217" w:y="1580"/>
      </w:pPr>
      <w:r>
        <w:t>Presentación reconstituida:</w:t>
      </w:r>
    </w:p>
    <w:p w14:paraId="37208D89" w14:textId="77777777" w:rsidR="0072615D" w:rsidRDefault="0072615D">
      <w:pPr>
        <w:pStyle w:val="Bodytext20"/>
        <w:framePr w:w="2506" w:h="1325" w:wrap="none" w:hAnchor="page" w:x="3217" w:y="1580"/>
      </w:pPr>
      <w:r>
        <w:t>2-8°C. No congelar. Almacenar el diluyente con el producto</w:t>
      </w:r>
    </w:p>
    <w:p w14:paraId="76E2815B" w14:textId="77777777" w:rsidR="0072615D" w:rsidRDefault="0072615D">
      <w:pPr>
        <w:pStyle w:val="Bodytext20"/>
        <w:framePr w:w="2266" w:h="1109" w:wrap="none" w:hAnchor="page" w:x="6318" w:y="1580"/>
      </w:pPr>
      <w:r>
        <w:t>No más de dos años de la fecha de salida del almacenamiento en frío del fabricante</w:t>
      </w:r>
    </w:p>
    <w:p w14:paraId="6A896FED" w14:textId="77777777" w:rsidR="0072615D" w:rsidRDefault="0072615D">
      <w:pPr>
        <w:pStyle w:val="Bodytext20"/>
        <w:framePr w:w="2266" w:h="1109" w:wrap="none" w:hAnchor="page" w:x="6318" w:y="1580"/>
      </w:pPr>
      <w:r>
        <w:t>Una vez reconstituida la vacuna debe usarse inmediatamente</w:t>
      </w:r>
    </w:p>
    <w:p w14:paraId="3597B848" w14:textId="77777777" w:rsidR="0072615D" w:rsidRDefault="0072615D">
      <w:pPr>
        <w:pStyle w:val="Bodytext20"/>
        <w:framePr w:w="2842" w:h="235" w:wrap="none" w:hAnchor="page" w:x="8871" w:y="1580"/>
        <w:spacing w:line="240" w:lineRule="auto"/>
      </w:pPr>
      <w:r>
        <w:t>Liofilizado: “depósito” blanco liofilizado</w:t>
      </w:r>
    </w:p>
    <w:p w14:paraId="18856C30" w14:textId="77777777" w:rsidR="0072615D" w:rsidRDefault="0072615D">
      <w:pPr>
        <w:pStyle w:val="Bodytext20"/>
        <w:framePr w:w="2155" w:h="226" w:wrap="none" w:hAnchor="page" w:x="8871" w:y="2228"/>
        <w:spacing w:line="240" w:lineRule="auto"/>
      </w:pPr>
      <w:r>
        <w:t>Reconstituida: clara e incolora</w:t>
      </w:r>
    </w:p>
    <w:tbl>
      <w:tblPr>
        <w:tblOverlap w:val="never"/>
        <w:tblW w:w="0" w:type="auto"/>
        <w:tblLayout w:type="fixed"/>
        <w:tblCellMar>
          <w:left w:w="10" w:type="dxa"/>
          <w:right w:w="10" w:type="dxa"/>
        </w:tblCellMar>
        <w:tblLook w:val="04A0" w:firstRow="1" w:lastRow="0" w:firstColumn="1" w:lastColumn="0" w:noHBand="0" w:noVBand="1"/>
      </w:tblPr>
      <w:tblGrid>
        <w:gridCol w:w="2309"/>
        <w:gridCol w:w="2890"/>
        <w:gridCol w:w="4598"/>
      </w:tblGrid>
      <w:tr w:rsidR="0072615D" w14:paraId="4B00A006" w14:textId="77777777">
        <w:tblPrEx>
          <w:tblCellMar>
            <w:top w:w="0" w:type="dxa"/>
            <w:bottom w:w="0" w:type="dxa"/>
          </w:tblCellMar>
        </w:tblPrEx>
        <w:trPr>
          <w:trHeight w:hRule="exact" w:val="206"/>
        </w:trPr>
        <w:tc>
          <w:tcPr>
            <w:tcW w:w="2309" w:type="dxa"/>
            <w:shd w:val="clear" w:color="auto" w:fill="FFFFFF"/>
            <w:vAlign w:val="bottom"/>
          </w:tcPr>
          <w:p w14:paraId="51943298" w14:textId="77777777" w:rsidR="0072615D" w:rsidRDefault="0072615D">
            <w:pPr>
              <w:pStyle w:val="Other0"/>
              <w:framePr w:w="9797" w:h="883" w:hSpace="5" w:vSpace="432" w:wrap="none" w:hAnchor="page" w:x="683" w:y="3092"/>
              <w:spacing w:line="240" w:lineRule="auto"/>
              <w:ind w:firstLine="0"/>
              <w:rPr>
                <w:sz w:val="16"/>
                <w:szCs w:val="16"/>
              </w:rPr>
            </w:pPr>
            <w:r>
              <w:rPr>
                <w:rFonts w:ascii="Times New Roman" w:eastAsia="Times New Roman" w:hAnsi="Times New Roman" w:cs="Times New Roman"/>
                <w:sz w:val="16"/>
                <w:szCs w:val="16"/>
              </w:rPr>
              <w:t>Influenza, vacuna de virus de</w:t>
            </w:r>
          </w:p>
        </w:tc>
        <w:tc>
          <w:tcPr>
            <w:tcW w:w="2890" w:type="dxa"/>
            <w:shd w:val="clear" w:color="auto" w:fill="FFFFFF"/>
            <w:vAlign w:val="bottom"/>
          </w:tcPr>
          <w:p w14:paraId="3D65E429" w14:textId="77777777" w:rsidR="0072615D" w:rsidRDefault="0072615D">
            <w:pPr>
              <w:pStyle w:val="Other0"/>
              <w:framePr w:w="9797" w:h="883" w:hSpace="5" w:vSpace="432" w:wrap="none" w:hAnchor="page" w:x="683" w:y="3092"/>
              <w:spacing w:line="240" w:lineRule="auto"/>
              <w:ind w:firstLine="240"/>
              <w:rPr>
                <w:sz w:val="16"/>
                <w:szCs w:val="16"/>
              </w:rPr>
            </w:pPr>
            <w:r>
              <w:rPr>
                <w:rFonts w:ascii="Times New Roman" w:eastAsia="Times New Roman" w:hAnsi="Times New Roman" w:cs="Times New Roman"/>
                <w:sz w:val="16"/>
                <w:szCs w:val="16"/>
              </w:rPr>
              <w:t>2-8°C. La congelación destruye</w:t>
            </w:r>
          </w:p>
        </w:tc>
        <w:tc>
          <w:tcPr>
            <w:tcW w:w="4598" w:type="dxa"/>
            <w:shd w:val="clear" w:color="auto" w:fill="FFFFFF"/>
            <w:vAlign w:val="bottom"/>
          </w:tcPr>
          <w:p w14:paraId="08EEC4CD" w14:textId="77777777" w:rsidR="0072615D" w:rsidRDefault="0072615D">
            <w:pPr>
              <w:pStyle w:val="Other0"/>
              <w:framePr w:w="9797" w:h="883" w:hSpace="5" w:vSpace="432" w:wrap="none" w:hAnchor="page" w:x="683" w:y="3092"/>
              <w:spacing w:line="240" w:lineRule="auto"/>
              <w:ind w:firstLine="460"/>
              <w:jc w:val="both"/>
              <w:rPr>
                <w:sz w:val="16"/>
                <w:szCs w:val="16"/>
              </w:rPr>
            </w:pPr>
            <w:r>
              <w:rPr>
                <w:rFonts w:ascii="Times New Roman" w:eastAsia="Times New Roman" w:hAnsi="Times New Roman" w:cs="Times New Roman"/>
                <w:sz w:val="16"/>
                <w:szCs w:val="16"/>
              </w:rPr>
              <w:t>Se recomienda utilizar la vacuna Líquido claro incoloro</w:t>
            </w:r>
          </w:p>
        </w:tc>
      </w:tr>
      <w:tr w:rsidR="0072615D" w14:paraId="62B84031" w14:textId="77777777">
        <w:tblPrEx>
          <w:tblCellMar>
            <w:top w:w="0" w:type="dxa"/>
            <w:bottom w:w="0" w:type="dxa"/>
          </w:tblCellMar>
        </w:tblPrEx>
        <w:trPr>
          <w:trHeight w:hRule="exact" w:val="677"/>
        </w:trPr>
        <w:tc>
          <w:tcPr>
            <w:tcW w:w="2309" w:type="dxa"/>
            <w:shd w:val="clear" w:color="auto" w:fill="FFFFFF"/>
          </w:tcPr>
          <w:p w14:paraId="7207DED1" w14:textId="77777777" w:rsidR="0072615D" w:rsidRDefault="0072615D">
            <w:pPr>
              <w:pStyle w:val="Other0"/>
              <w:framePr w:w="9797" w:h="883" w:hSpace="5" w:vSpace="432" w:wrap="none" w:hAnchor="page" w:x="683" w:y="3092"/>
              <w:spacing w:line="240" w:lineRule="auto"/>
              <w:ind w:firstLine="0"/>
              <w:rPr>
                <w:sz w:val="16"/>
                <w:szCs w:val="16"/>
              </w:rPr>
            </w:pPr>
            <w:r>
              <w:rPr>
                <w:rFonts w:ascii="Times New Roman" w:eastAsia="Times New Roman" w:hAnsi="Times New Roman" w:cs="Times New Roman"/>
                <w:sz w:val="16"/>
                <w:szCs w:val="16"/>
              </w:rPr>
              <w:t>(subvirion)</w:t>
            </w:r>
          </w:p>
        </w:tc>
        <w:tc>
          <w:tcPr>
            <w:tcW w:w="2890" w:type="dxa"/>
            <w:shd w:val="clear" w:color="auto" w:fill="FFFFFF"/>
          </w:tcPr>
          <w:p w14:paraId="32FBF38F" w14:textId="77777777" w:rsidR="0072615D" w:rsidRDefault="0072615D">
            <w:pPr>
              <w:pStyle w:val="Other0"/>
              <w:framePr w:w="9797" w:h="883" w:hSpace="5" w:vSpace="432" w:wrap="none" w:hAnchor="page" w:x="683" w:y="3092"/>
              <w:spacing w:line="240" w:lineRule="auto"/>
              <w:ind w:firstLine="340"/>
              <w:rPr>
                <w:sz w:val="16"/>
                <w:szCs w:val="16"/>
              </w:rPr>
            </w:pPr>
            <w:r>
              <w:rPr>
                <w:rFonts w:ascii="Times New Roman" w:eastAsia="Times New Roman" w:hAnsi="Times New Roman" w:cs="Times New Roman"/>
                <w:sz w:val="16"/>
                <w:szCs w:val="16"/>
              </w:rPr>
              <w:t>la potencia</w:t>
            </w:r>
          </w:p>
        </w:tc>
        <w:tc>
          <w:tcPr>
            <w:tcW w:w="4598" w:type="dxa"/>
            <w:shd w:val="clear" w:color="auto" w:fill="FFFFFF"/>
            <w:vAlign w:val="bottom"/>
          </w:tcPr>
          <w:p w14:paraId="06BB83B4" w14:textId="77777777" w:rsidR="0072615D" w:rsidRDefault="0072615D">
            <w:pPr>
              <w:pStyle w:val="Other0"/>
              <w:framePr w:w="9797" w:h="883" w:hSpace="5" w:vSpace="432" w:wrap="none" w:hAnchor="page" w:x="683" w:y="3092"/>
              <w:spacing w:line="283" w:lineRule="auto"/>
              <w:ind w:left="560" w:firstLine="0"/>
              <w:rPr>
                <w:sz w:val="16"/>
                <w:szCs w:val="16"/>
              </w:rPr>
            </w:pPr>
            <w:r>
              <w:rPr>
                <w:rFonts w:ascii="Times New Roman" w:eastAsia="Times New Roman" w:hAnsi="Times New Roman" w:cs="Times New Roman"/>
                <w:sz w:val="16"/>
                <w:szCs w:val="16"/>
              </w:rPr>
              <w:t>sólo durante el año en que fue elaborada; cada año difiere la composición de los antígenos</w:t>
            </w:r>
          </w:p>
        </w:tc>
      </w:tr>
    </w:tbl>
    <w:p w14:paraId="518393A8" w14:textId="77777777" w:rsidR="0072615D" w:rsidRDefault="0072615D">
      <w:pPr>
        <w:framePr w:w="9797" w:h="883" w:hSpace="5" w:vSpace="432" w:wrap="none" w:hAnchor="page" w:x="683" w:y="3092"/>
        <w:spacing w:line="1" w:lineRule="exact"/>
      </w:pPr>
    </w:p>
    <w:p w14:paraId="3FC47789" w14:textId="77777777" w:rsidR="0072615D" w:rsidRDefault="0072615D">
      <w:pPr>
        <w:pStyle w:val="Tablecaption0"/>
        <w:framePr w:w="1685" w:h="230" w:wrap="none" w:hAnchor="page" w:x="678" w:y="4177"/>
        <w:spacing w:line="240" w:lineRule="auto"/>
        <w:ind w:left="0"/>
        <w:rPr>
          <w:sz w:val="16"/>
          <w:szCs w:val="16"/>
        </w:rPr>
      </w:pPr>
      <w:r>
        <w:rPr>
          <w:sz w:val="16"/>
          <w:szCs w:val="16"/>
        </w:rPr>
        <w:t>Meningocócica, vacuna</w:t>
      </w:r>
    </w:p>
    <w:p w14:paraId="6F2AA4FF" w14:textId="77777777" w:rsidR="0072615D" w:rsidRDefault="0072615D">
      <w:pPr>
        <w:pStyle w:val="Bodytext20"/>
        <w:framePr w:w="2770" w:h="1109" w:wrap="none" w:hAnchor="page" w:x="3217" w:y="4172"/>
      </w:pPr>
      <w:r>
        <w:t>Presentación liofilizada o reconstituida:</w:t>
      </w:r>
    </w:p>
    <w:p w14:paraId="5208CFDC" w14:textId="77777777" w:rsidR="0072615D" w:rsidRDefault="0072615D">
      <w:pPr>
        <w:pStyle w:val="Bodytext20"/>
        <w:framePr w:w="2770" w:h="1109" w:wrap="none" w:hAnchor="page" w:x="3217" w:y="4172"/>
        <w:spacing w:after="200"/>
      </w:pPr>
      <w:r>
        <w:t>2-8°C</w:t>
      </w:r>
    </w:p>
    <w:p w14:paraId="371B0343" w14:textId="77777777" w:rsidR="0072615D" w:rsidRDefault="0072615D">
      <w:pPr>
        <w:pStyle w:val="Bodytext20"/>
        <w:framePr w:w="2770" w:h="1109" w:wrap="none" w:hAnchor="page" w:x="3217" w:y="4172"/>
      </w:pPr>
      <w:r>
        <w:t>Diluyente: almacenar con el producto. No congelar</w:t>
      </w:r>
    </w:p>
    <w:p w14:paraId="2259011A" w14:textId="77777777" w:rsidR="0072615D" w:rsidRDefault="0072615D">
      <w:pPr>
        <w:pStyle w:val="Bodytext20"/>
        <w:framePr w:w="2294" w:h="1109" w:wrap="none" w:hAnchor="page" w:x="6327" w:y="4172"/>
      </w:pPr>
      <w:r>
        <w:t>Incluso dos años después de la fecha de salida. Descartar después de 10 días; utilizar los frascos con una sola dosis, en término de 30 min</w:t>
      </w:r>
    </w:p>
    <w:p w14:paraId="4B8BFB2A" w14:textId="77777777" w:rsidR="0072615D" w:rsidRDefault="0072615D">
      <w:pPr>
        <w:pStyle w:val="Bodytext20"/>
        <w:framePr w:w="2256" w:h="893" w:wrap="none" w:hAnchor="page" w:x="8871" w:y="4172"/>
      </w:pPr>
      <w:r>
        <w:t>Liofilizado: semiesfera blanco. Reconstituido: claro incoloro los frascos con el producto reconstituido (múltiples dosis)</w:t>
      </w:r>
    </w:p>
    <w:p w14:paraId="542F675A" w14:textId="77777777" w:rsidR="0072615D" w:rsidRDefault="0072615D">
      <w:pPr>
        <w:pStyle w:val="Bodytext20"/>
        <w:framePr w:w="1598" w:h="456" w:wrap="none" w:hAnchor="page" w:x="673" w:y="5473"/>
      </w:pPr>
      <w:r>
        <w:t>Neumocócico, vacuna de polisacárido</w:t>
      </w:r>
    </w:p>
    <w:p w14:paraId="399CD385" w14:textId="77777777" w:rsidR="0072615D" w:rsidRDefault="0072615D">
      <w:pPr>
        <w:pStyle w:val="Bodytext20"/>
        <w:framePr w:w="2237" w:h="461" w:wrap="none" w:hAnchor="page" w:x="3217" w:y="5468"/>
      </w:pPr>
      <w:r>
        <w:t>2-8°C. La congelación destruye la potencia</w:t>
      </w:r>
    </w:p>
    <w:p w14:paraId="506B5767" w14:textId="77777777" w:rsidR="0072615D" w:rsidRDefault="0072615D">
      <w:pPr>
        <w:pStyle w:val="Bodytext20"/>
        <w:framePr w:w="2347" w:h="461" w:wrap="none" w:hAnchor="page" w:x="6327" w:y="5468"/>
      </w:pPr>
      <w:r>
        <w:t>Consúltese la fecha de caducidad en el frasco</w:t>
      </w:r>
    </w:p>
    <w:p w14:paraId="4104EC33" w14:textId="77777777" w:rsidR="0072615D" w:rsidRDefault="0072615D">
      <w:pPr>
        <w:pStyle w:val="Bodytext20"/>
        <w:framePr w:w="2539" w:h="461" w:wrap="none" w:hAnchor="page" w:x="8871" w:y="5468"/>
      </w:pPr>
      <w:r>
        <w:t>Líquido claro, incoloro o levemente opalino</w:t>
      </w:r>
    </w:p>
    <w:p w14:paraId="74E63BF0" w14:textId="77777777" w:rsidR="0072615D" w:rsidRDefault="0072615D">
      <w:pPr>
        <w:pStyle w:val="Bodytext20"/>
        <w:framePr w:w="1805" w:h="461" w:wrap="none" w:hAnchor="page" w:x="673" w:y="6116"/>
      </w:pPr>
      <w:r>
        <w:t>Neumocócico, vacuna de conjugado</w:t>
      </w:r>
    </w:p>
    <w:p w14:paraId="3F96571B" w14:textId="77777777" w:rsidR="0072615D" w:rsidRDefault="0072615D">
      <w:pPr>
        <w:pStyle w:val="Bodytext20"/>
        <w:framePr w:w="1426" w:h="235" w:wrap="none" w:hAnchor="page" w:x="3217" w:y="6116"/>
        <w:spacing w:line="240" w:lineRule="auto"/>
      </w:pPr>
      <w:r>
        <w:t>2-8°C. No congelar</w:t>
      </w:r>
    </w:p>
    <w:p w14:paraId="05987676" w14:textId="77777777" w:rsidR="0072615D" w:rsidRDefault="0072615D">
      <w:pPr>
        <w:pStyle w:val="Bodytext20"/>
        <w:framePr w:w="2347" w:h="461" w:wrap="none" w:hAnchor="page" w:x="6327" w:y="6116"/>
      </w:pPr>
      <w:r>
        <w:t>Consúltese la fecha de caducidad en el frasco</w:t>
      </w:r>
    </w:p>
    <w:p w14:paraId="45054391" w14:textId="77777777" w:rsidR="0072615D" w:rsidRDefault="0072615D">
      <w:pPr>
        <w:pStyle w:val="Bodytext20"/>
        <w:framePr w:w="2746" w:h="461" w:wrap="none" w:hAnchor="page" w:x="8871" w:y="6116"/>
      </w:pPr>
      <w:r>
        <w:t>Suspensión blanca homogénea después de agitar vigorosamente</w:t>
      </w:r>
    </w:p>
    <w:p w14:paraId="75FDDC14" w14:textId="77777777" w:rsidR="0072615D" w:rsidRDefault="0072615D">
      <w:pPr>
        <w:pStyle w:val="Other0"/>
        <w:framePr w:w="192" w:h="4219" w:hRule="exact" w:wrap="none" w:hAnchor="page" w:x="12390" w:y="2694"/>
        <w:tabs>
          <w:tab w:val="left" w:pos="4008"/>
        </w:tabs>
        <w:spacing w:line="240" w:lineRule="auto"/>
        <w:ind w:firstLine="0"/>
        <w:textDirection w:val="tbRl"/>
        <w:rPr>
          <w:sz w:val="16"/>
          <w:szCs w:val="16"/>
        </w:rPr>
      </w:pPr>
      <w:r>
        <w:rPr>
          <w:rFonts w:ascii="Arial" w:eastAsia="Arial" w:hAnsi="Arial" w:cs="Arial"/>
          <w:sz w:val="14"/>
          <w:szCs w:val="14"/>
        </w:rPr>
        <w:t>INMUNIZACIÓN ACTIVA</w:t>
      </w:r>
      <w:r>
        <w:rPr>
          <w:rFonts w:ascii="Arial" w:eastAsia="Arial" w:hAnsi="Arial" w:cs="Arial"/>
          <w:sz w:val="14"/>
          <w:szCs w:val="14"/>
        </w:rPr>
        <w:tab/>
      </w:r>
      <w:r>
        <w:rPr>
          <w:rFonts w:ascii="Arial" w:eastAsia="Arial" w:hAnsi="Arial" w:cs="Arial"/>
          <w:sz w:val="16"/>
          <w:szCs w:val="16"/>
        </w:rPr>
        <w:t>13</w:t>
      </w:r>
    </w:p>
    <w:p w14:paraId="26F0D345" w14:textId="77777777" w:rsidR="0072615D" w:rsidRDefault="0072615D">
      <w:pPr>
        <w:spacing w:line="360" w:lineRule="exact"/>
      </w:pPr>
    </w:p>
    <w:p w14:paraId="7FE5B609" w14:textId="77777777" w:rsidR="0072615D" w:rsidRDefault="0072615D">
      <w:pPr>
        <w:spacing w:line="360" w:lineRule="exact"/>
      </w:pPr>
    </w:p>
    <w:p w14:paraId="2A856B69" w14:textId="77777777" w:rsidR="0072615D" w:rsidRDefault="0072615D">
      <w:pPr>
        <w:spacing w:line="360" w:lineRule="exact"/>
      </w:pPr>
    </w:p>
    <w:p w14:paraId="5B766399" w14:textId="77777777" w:rsidR="0072615D" w:rsidRDefault="0072615D">
      <w:pPr>
        <w:spacing w:line="360" w:lineRule="exact"/>
      </w:pPr>
    </w:p>
    <w:p w14:paraId="67D7D738" w14:textId="77777777" w:rsidR="0072615D" w:rsidRDefault="0072615D">
      <w:pPr>
        <w:spacing w:line="360" w:lineRule="exact"/>
      </w:pPr>
    </w:p>
    <w:p w14:paraId="5E687C19" w14:textId="77777777" w:rsidR="0072615D" w:rsidRDefault="0072615D">
      <w:pPr>
        <w:spacing w:line="360" w:lineRule="exact"/>
      </w:pPr>
    </w:p>
    <w:p w14:paraId="696DB57A" w14:textId="77777777" w:rsidR="0072615D" w:rsidRDefault="0072615D">
      <w:pPr>
        <w:spacing w:line="360" w:lineRule="exact"/>
      </w:pPr>
    </w:p>
    <w:p w14:paraId="30D806D4" w14:textId="77777777" w:rsidR="0072615D" w:rsidRDefault="0072615D">
      <w:pPr>
        <w:spacing w:line="360" w:lineRule="exact"/>
      </w:pPr>
    </w:p>
    <w:p w14:paraId="6A8AB001" w14:textId="77777777" w:rsidR="0072615D" w:rsidRDefault="0072615D">
      <w:pPr>
        <w:spacing w:line="360" w:lineRule="exact"/>
      </w:pPr>
    </w:p>
    <w:p w14:paraId="658F1105" w14:textId="77777777" w:rsidR="0072615D" w:rsidRDefault="0072615D">
      <w:pPr>
        <w:spacing w:line="360" w:lineRule="exact"/>
      </w:pPr>
    </w:p>
    <w:p w14:paraId="3C8CD3EB" w14:textId="77777777" w:rsidR="0072615D" w:rsidRDefault="0072615D">
      <w:pPr>
        <w:spacing w:line="360" w:lineRule="exact"/>
      </w:pPr>
    </w:p>
    <w:p w14:paraId="01AAB5D1" w14:textId="77777777" w:rsidR="0072615D" w:rsidRDefault="0072615D">
      <w:pPr>
        <w:spacing w:line="360" w:lineRule="exact"/>
      </w:pPr>
    </w:p>
    <w:p w14:paraId="0D0DC56E" w14:textId="77777777" w:rsidR="0072615D" w:rsidRDefault="0072615D">
      <w:pPr>
        <w:spacing w:line="360" w:lineRule="exact"/>
      </w:pPr>
    </w:p>
    <w:p w14:paraId="645BD0C6" w14:textId="77777777" w:rsidR="0072615D" w:rsidRDefault="0072615D">
      <w:pPr>
        <w:spacing w:line="360" w:lineRule="exact"/>
      </w:pPr>
    </w:p>
    <w:p w14:paraId="31651529" w14:textId="77777777" w:rsidR="0072615D" w:rsidRDefault="0072615D">
      <w:pPr>
        <w:spacing w:line="360" w:lineRule="exact"/>
      </w:pPr>
    </w:p>
    <w:p w14:paraId="0DE99D44" w14:textId="77777777" w:rsidR="0072615D" w:rsidRDefault="0072615D">
      <w:pPr>
        <w:spacing w:line="360" w:lineRule="exact"/>
      </w:pPr>
    </w:p>
    <w:p w14:paraId="5642E53C" w14:textId="77777777" w:rsidR="0072615D" w:rsidRDefault="0072615D">
      <w:pPr>
        <w:spacing w:line="360" w:lineRule="exact"/>
      </w:pPr>
    </w:p>
    <w:p w14:paraId="5F611D17" w14:textId="77777777" w:rsidR="0072615D" w:rsidRDefault="0072615D">
      <w:pPr>
        <w:spacing w:line="360" w:lineRule="exact"/>
      </w:pPr>
    </w:p>
    <w:p w14:paraId="2BA5E395" w14:textId="77777777" w:rsidR="0072615D" w:rsidRDefault="0072615D">
      <w:pPr>
        <w:spacing w:after="431" w:line="1" w:lineRule="exact"/>
      </w:pPr>
    </w:p>
    <w:p w14:paraId="16189802" w14:textId="77777777" w:rsidR="0072615D" w:rsidRDefault="0072615D">
      <w:pPr>
        <w:spacing w:line="1" w:lineRule="exact"/>
        <w:sectPr w:rsidR="0072615D" w:rsidSect="0072615D">
          <w:footnotePr>
            <w:numFmt w:val="chicago"/>
          </w:footnotePr>
          <w:pgSz w:w="13022" w:h="8501" w:orient="landscape"/>
          <w:pgMar w:top="1085" w:right="441" w:bottom="371" w:left="662" w:header="657" w:footer="3" w:gutter="0"/>
          <w:cols w:space="720"/>
          <w:noEndnote/>
          <w:docGrid w:linePitch="360"/>
          <w15:footnoteColumns w:val="1"/>
        </w:sectPr>
      </w:pPr>
    </w:p>
    <w:p w14:paraId="488C4624" w14:textId="77777777" w:rsidR="0072615D" w:rsidRDefault="0072615D">
      <w:pPr>
        <w:pStyle w:val="Heading41"/>
        <w:keepNext/>
        <w:keepLines/>
        <w:framePr w:w="619" w:h="298" w:wrap="none" w:hAnchor="page" w:x="683" w:y="356"/>
        <w:pBdr>
          <w:top w:val="single" w:sz="0" w:space="0" w:color="231F20"/>
          <w:left w:val="single" w:sz="0" w:space="0" w:color="231F20"/>
          <w:bottom w:val="single" w:sz="0" w:space="0" w:color="231F20"/>
          <w:right w:val="single" w:sz="0" w:space="0" w:color="231F20"/>
        </w:pBdr>
        <w:shd w:val="clear" w:color="auto" w:fill="231F20"/>
      </w:pPr>
      <w:bookmarkStart w:id="107" w:name="bookmark107"/>
      <w:bookmarkStart w:id="108" w:name="bookmark108"/>
      <w:bookmarkStart w:id="109" w:name="bookmark109"/>
      <w:r>
        <w:rPr>
          <w:color w:val="FFFFFF"/>
        </w:rPr>
        <w:t>Vacuna</w:t>
      </w:r>
      <w:bookmarkEnd w:id="107"/>
      <w:bookmarkEnd w:id="108"/>
      <w:bookmarkEnd w:id="109"/>
    </w:p>
    <w:p w14:paraId="486B9C82" w14:textId="77777777" w:rsidR="0072615D" w:rsidRDefault="0072615D">
      <w:pPr>
        <w:pStyle w:val="Heading31"/>
        <w:keepNext/>
        <w:keepLines/>
        <w:framePr w:w="7843" w:h="322" w:wrap="none" w:hAnchor="page" w:x="2425" w:y="1"/>
        <w:rPr>
          <w:sz w:val="16"/>
          <w:szCs w:val="16"/>
        </w:rPr>
      </w:pPr>
      <w:bookmarkStart w:id="110" w:name="bookmark110"/>
      <w:bookmarkStart w:id="111" w:name="bookmark111"/>
      <w:bookmarkStart w:id="112" w:name="bookmark112"/>
      <w:r>
        <w:rPr>
          <w:b w:val="0"/>
          <w:bCs w:val="0"/>
        </w:rPr>
        <w:t xml:space="preserve">Cuadro 1- 4. </w:t>
      </w:r>
      <w:r>
        <w:t>Almacenamiento recomendado de las vacunas de uso común,</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110"/>
      <w:bookmarkEnd w:id="111"/>
      <w:bookmarkEnd w:id="112"/>
    </w:p>
    <w:p w14:paraId="6360015D" w14:textId="77777777" w:rsidR="0072615D" w:rsidRDefault="0072615D">
      <w:pPr>
        <w:pStyle w:val="Heading41"/>
        <w:keepNext/>
        <w:keepLines/>
        <w:framePr w:w="2246" w:h="298" w:wrap="none" w:hAnchor="page" w:x="3207" w:y="356"/>
        <w:pBdr>
          <w:top w:val="single" w:sz="0" w:space="0" w:color="231F20"/>
          <w:left w:val="single" w:sz="0" w:space="0" w:color="231F20"/>
          <w:bottom w:val="single" w:sz="0" w:space="0" w:color="231F20"/>
          <w:right w:val="single" w:sz="0" w:space="0" w:color="231F20"/>
        </w:pBdr>
        <w:shd w:val="clear" w:color="auto" w:fill="231F20"/>
      </w:pPr>
      <w:bookmarkStart w:id="113" w:name="bookmark113"/>
      <w:bookmarkStart w:id="114" w:name="bookmark114"/>
      <w:bookmarkStart w:id="115" w:name="bookmark115"/>
      <w:r>
        <w:rPr>
          <w:color w:val="FFFFFF"/>
        </w:rPr>
        <w:t>Temperatura recomendada</w:t>
      </w:r>
      <w:bookmarkEnd w:id="113"/>
      <w:bookmarkEnd w:id="114"/>
      <w:bookmarkEnd w:id="115"/>
    </w:p>
    <w:p w14:paraId="75213A54" w14:textId="77777777" w:rsidR="0072615D" w:rsidRDefault="0072615D">
      <w:pPr>
        <w:pStyle w:val="Heading41"/>
        <w:keepNext/>
        <w:keepLines/>
        <w:framePr w:w="3864" w:h="298" w:wrap="none" w:hAnchor="page" w:x="6342" w:y="351"/>
        <w:pBdr>
          <w:top w:val="single" w:sz="0" w:space="0" w:color="231F20"/>
          <w:left w:val="single" w:sz="0" w:space="0" w:color="231F20"/>
          <w:bottom w:val="single" w:sz="0" w:space="0" w:color="231F20"/>
          <w:right w:val="single" w:sz="0" w:space="0" w:color="231F20"/>
        </w:pBdr>
        <w:shd w:val="clear" w:color="auto" w:fill="231F20"/>
      </w:pPr>
      <w:bookmarkStart w:id="116" w:name="bookmark116"/>
      <w:bookmarkStart w:id="117" w:name="bookmark117"/>
      <w:bookmarkStart w:id="118" w:name="bookmark118"/>
      <w:r>
        <w:rPr>
          <w:color w:val="FFFFFF"/>
        </w:rPr>
        <w:t>Duración de la estabilidad Aspecto normal</w:t>
      </w:r>
      <w:bookmarkEnd w:id="116"/>
      <w:bookmarkEnd w:id="117"/>
      <w:bookmarkEnd w:id="118"/>
    </w:p>
    <w:p w14:paraId="16C797C9" w14:textId="77777777" w:rsidR="0072615D" w:rsidRDefault="0072615D">
      <w:pPr>
        <w:pStyle w:val="Bodytext20"/>
        <w:framePr w:w="3840" w:h="461" w:wrap="none" w:hAnchor="page" w:x="683" w:y="721"/>
      </w:pPr>
      <w:r>
        <w:t>Parotiditis, vacuna de virus de, Consúltese MMR vivo</w:t>
      </w:r>
    </w:p>
    <w:p w14:paraId="0216C9D3" w14:textId="77777777" w:rsidR="0072615D" w:rsidRDefault="0072615D">
      <w:pPr>
        <w:pStyle w:val="Bodytext20"/>
        <w:framePr w:w="1310" w:h="226" w:wrap="none" w:hAnchor="page" w:x="6327" w:y="721"/>
        <w:spacing w:line="240" w:lineRule="auto"/>
      </w:pPr>
      <w:r>
        <w:t>Consúltese MMR</w:t>
      </w:r>
    </w:p>
    <w:p w14:paraId="3F4941EC" w14:textId="77777777" w:rsidR="0072615D" w:rsidRDefault="0072615D">
      <w:pPr>
        <w:pStyle w:val="Bodytext20"/>
        <w:framePr w:w="1310" w:h="226" w:wrap="none" w:hAnchor="page" w:x="8871" w:y="721"/>
        <w:spacing w:line="240" w:lineRule="auto"/>
      </w:pPr>
      <w:r>
        <w:t>Consúltese MMR</w:t>
      </w:r>
    </w:p>
    <w:tbl>
      <w:tblPr>
        <w:tblOverlap w:val="never"/>
        <w:tblW w:w="0" w:type="auto"/>
        <w:tblLayout w:type="fixed"/>
        <w:tblCellMar>
          <w:left w:w="10" w:type="dxa"/>
          <w:right w:w="10" w:type="dxa"/>
        </w:tblCellMar>
        <w:tblLook w:val="04A0" w:firstRow="1" w:lastRow="0" w:firstColumn="1" w:lastColumn="0" w:noHBand="0" w:noVBand="1"/>
      </w:tblPr>
      <w:tblGrid>
        <w:gridCol w:w="2357"/>
        <w:gridCol w:w="3202"/>
      </w:tblGrid>
      <w:tr w:rsidR="0072615D" w14:paraId="18F6863D" w14:textId="77777777">
        <w:tblPrEx>
          <w:tblCellMar>
            <w:top w:w="0" w:type="dxa"/>
            <w:bottom w:w="0" w:type="dxa"/>
          </w:tblCellMar>
        </w:tblPrEx>
        <w:trPr>
          <w:trHeight w:hRule="exact" w:val="638"/>
        </w:trPr>
        <w:tc>
          <w:tcPr>
            <w:tcW w:w="2357" w:type="dxa"/>
            <w:shd w:val="clear" w:color="auto" w:fill="FFFFFF"/>
          </w:tcPr>
          <w:p w14:paraId="7872E342" w14:textId="77777777" w:rsidR="0072615D" w:rsidRDefault="0072615D">
            <w:pPr>
              <w:pStyle w:val="Other0"/>
              <w:framePr w:w="5558" w:h="3643" w:wrap="none" w:hAnchor="page" w:x="673" w:y="1369"/>
              <w:spacing w:line="283" w:lineRule="auto"/>
              <w:ind w:firstLine="0"/>
              <w:rPr>
                <w:sz w:val="16"/>
                <w:szCs w:val="16"/>
              </w:rPr>
            </w:pPr>
            <w:r>
              <w:rPr>
                <w:rFonts w:ascii="Times New Roman" w:eastAsia="Times New Roman" w:hAnsi="Times New Roman" w:cs="Times New Roman"/>
                <w:sz w:val="16"/>
                <w:szCs w:val="16"/>
              </w:rPr>
              <w:t>Poliomielítico, vacuna de virus, inactivado (IPV)</w:t>
            </w:r>
          </w:p>
        </w:tc>
        <w:tc>
          <w:tcPr>
            <w:tcW w:w="3202" w:type="dxa"/>
            <w:shd w:val="clear" w:color="auto" w:fill="FFFFFF"/>
          </w:tcPr>
          <w:p w14:paraId="6A855ABA" w14:textId="77777777" w:rsidR="0072615D" w:rsidRDefault="0072615D">
            <w:pPr>
              <w:pStyle w:val="Other0"/>
              <w:framePr w:w="5558" w:h="3643" w:wrap="none" w:hAnchor="page" w:x="673" w:y="1369"/>
              <w:spacing w:line="240" w:lineRule="auto"/>
              <w:ind w:firstLine="200"/>
              <w:rPr>
                <w:sz w:val="16"/>
                <w:szCs w:val="16"/>
              </w:rPr>
            </w:pPr>
            <w:r>
              <w:rPr>
                <w:rFonts w:ascii="Times New Roman" w:eastAsia="Times New Roman" w:hAnsi="Times New Roman" w:cs="Times New Roman"/>
                <w:sz w:val="16"/>
                <w:szCs w:val="16"/>
              </w:rPr>
              <w:t>2-8°C. No congelar</w:t>
            </w:r>
          </w:p>
        </w:tc>
      </w:tr>
      <w:tr w:rsidR="0072615D" w14:paraId="672A853D" w14:textId="77777777">
        <w:tblPrEx>
          <w:tblCellMar>
            <w:top w:w="0" w:type="dxa"/>
            <w:bottom w:w="0" w:type="dxa"/>
          </w:tblCellMar>
        </w:tblPrEx>
        <w:trPr>
          <w:trHeight w:hRule="exact" w:val="427"/>
        </w:trPr>
        <w:tc>
          <w:tcPr>
            <w:tcW w:w="2357" w:type="dxa"/>
            <w:shd w:val="clear" w:color="auto" w:fill="FFFFFF"/>
            <w:vAlign w:val="bottom"/>
          </w:tcPr>
          <w:p w14:paraId="44887E85" w14:textId="77777777" w:rsidR="0072615D" w:rsidRDefault="0072615D">
            <w:pPr>
              <w:pStyle w:val="Other0"/>
              <w:framePr w:w="5558" w:h="3643" w:wrap="none" w:hAnchor="page" w:x="673" w:y="1369"/>
              <w:spacing w:line="240" w:lineRule="auto"/>
              <w:ind w:firstLine="0"/>
              <w:rPr>
                <w:sz w:val="16"/>
                <w:szCs w:val="16"/>
              </w:rPr>
            </w:pPr>
            <w:r>
              <w:rPr>
                <w:rFonts w:ascii="Times New Roman" w:eastAsia="Times New Roman" w:hAnsi="Times New Roman" w:cs="Times New Roman"/>
                <w:sz w:val="16"/>
                <w:szCs w:val="16"/>
              </w:rPr>
              <w:t>Poliomielitis, vacuna de virus</w:t>
            </w:r>
          </w:p>
        </w:tc>
        <w:tc>
          <w:tcPr>
            <w:tcW w:w="3202" w:type="dxa"/>
            <w:shd w:val="clear" w:color="auto" w:fill="FFFFFF"/>
            <w:vAlign w:val="bottom"/>
          </w:tcPr>
          <w:p w14:paraId="436A7C2C" w14:textId="77777777" w:rsidR="0072615D" w:rsidRDefault="0072615D">
            <w:pPr>
              <w:pStyle w:val="Other0"/>
              <w:framePr w:w="5558" w:h="3643" w:wrap="none" w:hAnchor="page" w:x="673" w:y="1369"/>
              <w:spacing w:line="240" w:lineRule="auto"/>
              <w:ind w:firstLine="200"/>
              <w:rPr>
                <w:sz w:val="16"/>
                <w:szCs w:val="16"/>
              </w:rPr>
            </w:pPr>
            <w:r>
              <w:rPr>
                <w:rFonts w:ascii="Times New Roman" w:eastAsia="Times New Roman" w:hAnsi="Times New Roman" w:cs="Times New Roman"/>
                <w:sz w:val="16"/>
                <w:szCs w:val="16"/>
              </w:rPr>
              <w:t>La vacuna debe almacenarse a &lt;0°C.</w:t>
            </w:r>
          </w:p>
        </w:tc>
      </w:tr>
      <w:tr w:rsidR="0072615D" w14:paraId="6BBA8CCB" w14:textId="77777777">
        <w:tblPrEx>
          <w:tblCellMar>
            <w:top w:w="0" w:type="dxa"/>
            <w:bottom w:w="0" w:type="dxa"/>
          </w:tblCellMar>
        </w:tblPrEx>
        <w:trPr>
          <w:trHeight w:hRule="exact" w:val="2074"/>
        </w:trPr>
        <w:tc>
          <w:tcPr>
            <w:tcW w:w="2357" w:type="dxa"/>
            <w:shd w:val="clear" w:color="auto" w:fill="FFFFFF"/>
          </w:tcPr>
          <w:p w14:paraId="65466C85" w14:textId="77777777" w:rsidR="0072615D" w:rsidRDefault="0072615D">
            <w:pPr>
              <w:pStyle w:val="Other0"/>
              <w:framePr w:w="5558" w:h="3643" w:wrap="none" w:hAnchor="page" w:x="673" w:y="1369"/>
              <w:spacing w:line="240" w:lineRule="auto"/>
              <w:ind w:firstLine="0"/>
              <w:rPr>
                <w:sz w:val="16"/>
                <w:szCs w:val="16"/>
              </w:rPr>
            </w:pPr>
            <w:r>
              <w:rPr>
                <w:rFonts w:ascii="Times New Roman" w:eastAsia="Times New Roman" w:hAnsi="Times New Roman" w:cs="Times New Roman"/>
                <w:sz w:val="16"/>
                <w:szCs w:val="16"/>
              </w:rPr>
              <w:t>vivo de, oral (OPV)</w:t>
            </w:r>
          </w:p>
        </w:tc>
        <w:tc>
          <w:tcPr>
            <w:tcW w:w="3202" w:type="dxa"/>
            <w:shd w:val="clear" w:color="auto" w:fill="FFFFFF"/>
          </w:tcPr>
          <w:p w14:paraId="59BE11B7" w14:textId="77777777" w:rsidR="0072615D" w:rsidRDefault="0072615D">
            <w:pPr>
              <w:pStyle w:val="Other0"/>
              <w:framePr w:w="5558" w:h="3643" w:wrap="none" w:hAnchor="page" w:x="673" w:y="1369"/>
              <w:spacing w:line="283" w:lineRule="auto"/>
              <w:ind w:left="300" w:firstLine="0"/>
              <w:rPr>
                <w:sz w:val="16"/>
                <w:szCs w:val="16"/>
              </w:rPr>
            </w:pPr>
            <w:r>
              <w:rPr>
                <w:rFonts w:ascii="Times New Roman" w:eastAsia="Times New Roman" w:hAnsi="Times New Roman" w:cs="Times New Roman"/>
                <w:sz w:val="16"/>
                <w:szCs w:val="16"/>
              </w:rPr>
              <w:t>Dada la presencia de sorbitol en ella, permanecerá fluida a temperaturas mayores de —14°C. Es aceptable congelar de nuevo el producto descongelado (un máximo de 10 ciclos de descongelación-congelación). Si la temperatura nunca excede de 8°C y el lapso acumulativo de descongelamiento es menor de 24 h</w:t>
            </w:r>
          </w:p>
        </w:tc>
      </w:tr>
      <w:tr w:rsidR="0072615D" w14:paraId="60DFD0F5" w14:textId="77777777">
        <w:tblPrEx>
          <w:tblCellMar>
            <w:top w:w="0" w:type="dxa"/>
            <w:bottom w:w="0" w:type="dxa"/>
          </w:tblCellMar>
        </w:tblPrEx>
        <w:trPr>
          <w:trHeight w:hRule="exact" w:val="504"/>
        </w:trPr>
        <w:tc>
          <w:tcPr>
            <w:tcW w:w="2357" w:type="dxa"/>
            <w:shd w:val="clear" w:color="auto" w:fill="FFFFFF"/>
            <w:vAlign w:val="bottom"/>
          </w:tcPr>
          <w:p w14:paraId="6EB8367D" w14:textId="77777777" w:rsidR="0072615D" w:rsidRDefault="0072615D">
            <w:pPr>
              <w:pStyle w:val="Other0"/>
              <w:framePr w:w="5558" w:h="3643" w:wrap="none" w:hAnchor="page" w:x="673" w:y="1369"/>
              <w:spacing w:line="283" w:lineRule="auto"/>
              <w:ind w:firstLine="0"/>
              <w:rPr>
                <w:sz w:val="16"/>
                <w:szCs w:val="16"/>
              </w:rPr>
            </w:pPr>
            <w:r>
              <w:rPr>
                <w:rFonts w:ascii="Times New Roman" w:eastAsia="Times New Roman" w:hAnsi="Times New Roman" w:cs="Times New Roman"/>
                <w:sz w:val="16"/>
                <w:szCs w:val="16"/>
              </w:rPr>
              <w:t>Rubéola, vacuna de virus de, vivo</w:t>
            </w:r>
          </w:p>
        </w:tc>
        <w:tc>
          <w:tcPr>
            <w:tcW w:w="3202" w:type="dxa"/>
            <w:shd w:val="clear" w:color="auto" w:fill="FFFFFF"/>
            <w:vAlign w:val="center"/>
          </w:tcPr>
          <w:p w14:paraId="2C0F453C" w14:textId="77777777" w:rsidR="0072615D" w:rsidRDefault="0072615D">
            <w:pPr>
              <w:pStyle w:val="Other0"/>
              <w:framePr w:w="5558" w:h="3643" w:wrap="none" w:hAnchor="page" w:x="673" w:y="1369"/>
              <w:spacing w:line="240" w:lineRule="auto"/>
              <w:ind w:firstLine="200"/>
              <w:rPr>
                <w:sz w:val="16"/>
                <w:szCs w:val="16"/>
              </w:rPr>
            </w:pPr>
            <w:r>
              <w:rPr>
                <w:rFonts w:ascii="Times New Roman" w:eastAsia="Times New Roman" w:hAnsi="Times New Roman" w:cs="Times New Roman"/>
                <w:sz w:val="16"/>
                <w:szCs w:val="16"/>
              </w:rPr>
              <w:t>Consúltese MMR</w:t>
            </w:r>
          </w:p>
        </w:tc>
      </w:tr>
    </w:tbl>
    <w:p w14:paraId="05602FC2" w14:textId="77777777" w:rsidR="0072615D" w:rsidRDefault="0072615D">
      <w:pPr>
        <w:framePr w:w="5558" w:h="3643" w:wrap="none" w:hAnchor="page" w:x="673" w:y="1369"/>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2314"/>
        <w:gridCol w:w="3389"/>
      </w:tblGrid>
      <w:tr w:rsidR="0072615D" w14:paraId="4D10F82B" w14:textId="77777777">
        <w:tblPrEx>
          <w:tblCellMar>
            <w:top w:w="0" w:type="dxa"/>
            <w:bottom w:w="0" w:type="dxa"/>
          </w:tblCellMar>
        </w:tblPrEx>
        <w:trPr>
          <w:trHeight w:hRule="exact" w:val="749"/>
        </w:trPr>
        <w:tc>
          <w:tcPr>
            <w:tcW w:w="2314" w:type="dxa"/>
            <w:shd w:val="clear" w:color="auto" w:fill="FFFFFF"/>
          </w:tcPr>
          <w:p w14:paraId="5614D667" w14:textId="77777777" w:rsidR="0072615D" w:rsidRDefault="0072615D">
            <w:pPr>
              <w:pStyle w:val="Other0"/>
              <w:framePr w:w="5702" w:h="3427" w:wrap="none" w:hAnchor="page" w:x="6318" w:y="1369"/>
              <w:spacing w:line="283" w:lineRule="auto"/>
              <w:ind w:firstLine="0"/>
              <w:rPr>
                <w:sz w:val="16"/>
                <w:szCs w:val="16"/>
              </w:rPr>
            </w:pPr>
            <w:r>
              <w:rPr>
                <w:rFonts w:ascii="Times New Roman" w:eastAsia="Times New Roman" w:hAnsi="Times New Roman" w:cs="Times New Roman"/>
                <w:sz w:val="16"/>
                <w:szCs w:val="16"/>
              </w:rPr>
              <w:t>Incluso 18 meses. Consúltese la fecha de caducidad en el frasco-ámpula</w:t>
            </w:r>
          </w:p>
        </w:tc>
        <w:tc>
          <w:tcPr>
            <w:tcW w:w="3389" w:type="dxa"/>
            <w:shd w:val="clear" w:color="auto" w:fill="FFFFFF"/>
          </w:tcPr>
          <w:p w14:paraId="78721EB5" w14:textId="77777777" w:rsidR="0072615D" w:rsidRDefault="0072615D">
            <w:pPr>
              <w:pStyle w:val="Other0"/>
              <w:framePr w:w="5702" w:h="3427" w:wrap="none" w:hAnchor="page" w:x="6318" w:y="1369"/>
              <w:spacing w:line="283" w:lineRule="auto"/>
              <w:ind w:left="360" w:hanging="100"/>
              <w:rPr>
                <w:sz w:val="16"/>
                <w:szCs w:val="16"/>
              </w:rPr>
            </w:pPr>
            <w:r>
              <w:rPr>
                <w:rFonts w:ascii="Times New Roman" w:eastAsia="Times New Roman" w:hAnsi="Times New Roman" w:cs="Times New Roman"/>
                <w:sz w:val="16"/>
                <w:szCs w:val="16"/>
              </w:rPr>
              <w:t>Suspensión clara incolora. Es mejor NO usar la vacuna que contiene partículas, es turbia o muestra cambios de color</w:t>
            </w:r>
          </w:p>
        </w:tc>
      </w:tr>
      <w:tr w:rsidR="0072615D" w14:paraId="188585F8" w14:textId="77777777">
        <w:tblPrEx>
          <w:tblCellMar>
            <w:top w:w="0" w:type="dxa"/>
            <w:bottom w:w="0" w:type="dxa"/>
          </w:tblCellMar>
        </w:tblPrEx>
        <w:trPr>
          <w:trHeight w:hRule="exact" w:val="2059"/>
        </w:trPr>
        <w:tc>
          <w:tcPr>
            <w:tcW w:w="2314" w:type="dxa"/>
            <w:shd w:val="clear" w:color="auto" w:fill="FFFFFF"/>
          </w:tcPr>
          <w:p w14:paraId="1F0D718D" w14:textId="77777777" w:rsidR="0072615D" w:rsidRDefault="0072615D">
            <w:pPr>
              <w:pStyle w:val="Other0"/>
              <w:framePr w:w="5702" w:h="3427" w:wrap="none" w:hAnchor="page" w:x="6318" w:y="1369"/>
              <w:spacing w:before="120" w:line="283" w:lineRule="auto"/>
              <w:ind w:firstLine="0"/>
              <w:rPr>
                <w:sz w:val="16"/>
                <w:szCs w:val="16"/>
              </w:rPr>
            </w:pPr>
            <w:r>
              <w:rPr>
                <w:rFonts w:ascii="Times New Roman" w:eastAsia="Times New Roman" w:hAnsi="Times New Roman" w:cs="Times New Roman"/>
                <w:sz w:val="16"/>
                <w:szCs w:val="16"/>
              </w:rPr>
              <w:t>No más de un año a partir de la fecha de salida del almacenamiento en frío del fabricante</w:t>
            </w:r>
          </w:p>
        </w:tc>
        <w:tc>
          <w:tcPr>
            <w:tcW w:w="3389" w:type="dxa"/>
            <w:shd w:val="clear" w:color="auto" w:fill="FFFFFF"/>
          </w:tcPr>
          <w:p w14:paraId="61C9DF39" w14:textId="77777777" w:rsidR="0072615D" w:rsidRDefault="0072615D">
            <w:pPr>
              <w:pStyle w:val="Other0"/>
              <w:framePr w:w="5702" w:h="3427" w:wrap="none" w:hAnchor="page" w:x="6318" w:y="1369"/>
              <w:spacing w:before="120" w:line="283" w:lineRule="auto"/>
              <w:ind w:left="260" w:firstLine="0"/>
              <w:rPr>
                <w:sz w:val="16"/>
                <w:szCs w:val="16"/>
              </w:rPr>
            </w:pPr>
            <w:r>
              <w:rPr>
                <w:rFonts w:ascii="Times New Roman" w:eastAsia="Times New Roman" w:hAnsi="Times New Roman" w:cs="Times New Roman"/>
                <w:sz w:val="16"/>
                <w:szCs w:val="16"/>
              </w:rPr>
              <w:t>Solución clara, por lo común roja o rosa por el rojo fenol (indicador de pH) que contiene; si el lote fue empacado en hielo seco puede ser amarilla. No son importantes los cambios de color durante el almacenamiento o la descongelación siempre y cuando la solución sea clara</w:t>
            </w:r>
          </w:p>
        </w:tc>
      </w:tr>
      <w:tr w:rsidR="0072615D" w14:paraId="2D18D3A9" w14:textId="77777777">
        <w:tblPrEx>
          <w:tblCellMar>
            <w:top w:w="0" w:type="dxa"/>
            <w:bottom w:w="0" w:type="dxa"/>
          </w:tblCellMar>
        </w:tblPrEx>
        <w:trPr>
          <w:trHeight w:hRule="exact" w:val="619"/>
        </w:trPr>
        <w:tc>
          <w:tcPr>
            <w:tcW w:w="2314" w:type="dxa"/>
            <w:shd w:val="clear" w:color="auto" w:fill="FFFFFF"/>
            <w:vAlign w:val="bottom"/>
          </w:tcPr>
          <w:p w14:paraId="55714306" w14:textId="77777777" w:rsidR="0072615D" w:rsidRDefault="0072615D">
            <w:pPr>
              <w:pStyle w:val="Other0"/>
              <w:framePr w:w="5702" w:h="3427" w:wrap="none" w:hAnchor="page" w:x="6318" w:y="1369"/>
              <w:spacing w:line="240" w:lineRule="auto"/>
              <w:ind w:firstLine="0"/>
              <w:rPr>
                <w:sz w:val="16"/>
                <w:szCs w:val="16"/>
              </w:rPr>
            </w:pPr>
            <w:r>
              <w:rPr>
                <w:rFonts w:ascii="Times New Roman" w:eastAsia="Times New Roman" w:hAnsi="Times New Roman" w:cs="Times New Roman"/>
                <w:sz w:val="16"/>
                <w:szCs w:val="16"/>
              </w:rPr>
              <w:t>Consúltese MMR</w:t>
            </w:r>
          </w:p>
        </w:tc>
        <w:tc>
          <w:tcPr>
            <w:tcW w:w="3389" w:type="dxa"/>
            <w:shd w:val="clear" w:color="auto" w:fill="FFFFFF"/>
            <w:vAlign w:val="bottom"/>
          </w:tcPr>
          <w:p w14:paraId="75252567" w14:textId="77777777" w:rsidR="0072615D" w:rsidRDefault="0072615D">
            <w:pPr>
              <w:pStyle w:val="Other0"/>
              <w:framePr w:w="5702" w:h="3427" w:wrap="none" w:hAnchor="page" w:x="6318" w:y="1369"/>
              <w:spacing w:line="240" w:lineRule="auto"/>
              <w:ind w:firstLine="260"/>
              <w:rPr>
                <w:sz w:val="16"/>
                <w:szCs w:val="16"/>
              </w:rPr>
            </w:pPr>
            <w:r>
              <w:rPr>
                <w:rFonts w:ascii="Times New Roman" w:eastAsia="Times New Roman" w:hAnsi="Times New Roman" w:cs="Times New Roman"/>
                <w:sz w:val="16"/>
                <w:szCs w:val="16"/>
              </w:rPr>
              <w:t>Consúltese MMR</w:t>
            </w:r>
          </w:p>
        </w:tc>
      </w:tr>
    </w:tbl>
    <w:p w14:paraId="2C7CBBF5" w14:textId="77777777" w:rsidR="0072615D" w:rsidRDefault="0072615D">
      <w:pPr>
        <w:framePr w:w="5702" w:h="3427" w:wrap="none" w:hAnchor="page" w:x="6318" w:y="1369"/>
        <w:spacing w:line="1" w:lineRule="exact"/>
      </w:pPr>
    </w:p>
    <w:p w14:paraId="48437D5F" w14:textId="77777777" w:rsidR="0072615D" w:rsidRDefault="0072615D">
      <w:pPr>
        <w:pStyle w:val="Other0"/>
        <w:framePr w:w="192" w:h="4224" w:hRule="exact" w:wrap="none" w:hAnchor="page" w:x="12390" w:y="63"/>
        <w:tabs>
          <w:tab w:val="left" w:pos="2626"/>
        </w:tabs>
        <w:spacing w:line="240" w:lineRule="auto"/>
        <w:ind w:firstLine="0"/>
        <w:textDirection w:val="tbRl"/>
        <w:rPr>
          <w:sz w:val="14"/>
          <w:szCs w:val="14"/>
        </w:rPr>
      </w:pPr>
      <w:r>
        <w:rPr>
          <w:rFonts w:ascii="Arial" w:eastAsia="Arial" w:hAnsi="Arial" w:cs="Arial"/>
          <w:sz w:val="16"/>
          <w:szCs w:val="16"/>
        </w:rPr>
        <w:t>14</w:t>
      </w:r>
      <w:r>
        <w:rPr>
          <w:rFonts w:ascii="Arial" w:eastAsia="Arial" w:hAnsi="Arial" w:cs="Arial"/>
          <w:sz w:val="16"/>
          <w:szCs w:val="16"/>
        </w:rPr>
        <w:tab/>
      </w:r>
      <w:r>
        <w:rPr>
          <w:rFonts w:ascii="Arial" w:eastAsia="Arial" w:hAnsi="Arial" w:cs="Arial"/>
          <w:sz w:val="14"/>
          <w:szCs w:val="14"/>
        </w:rPr>
        <w:t>INMUNIZACIÓN ACTIVA</w:t>
      </w:r>
    </w:p>
    <w:p w14:paraId="602D7768" w14:textId="77777777" w:rsidR="0072615D" w:rsidRDefault="0072615D">
      <w:pPr>
        <w:pStyle w:val="Bodytext20"/>
        <w:framePr w:w="5323" w:h="1757" w:wrap="none" w:hAnchor="page" w:x="683" w:y="5257"/>
      </w:pPr>
      <w:r>
        <w:t>Sarampión-parotiditis-rubéola Presentación liofilizada: 2-8°C pero se</w:t>
      </w:r>
    </w:p>
    <w:p w14:paraId="4B4ABF13" w14:textId="77777777" w:rsidR="0072615D" w:rsidRDefault="0072615D">
      <w:pPr>
        <w:pStyle w:val="Bodytext20"/>
        <w:framePr w:w="5323" w:h="1757" w:wrap="none" w:hAnchor="page" w:x="683" w:y="5257"/>
        <w:ind w:left="2640" w:hanging="2640"/>
      </w:pPr>
      <w:r>
        <w:t>(MMR), vacuna de virus de, vivos puede congelar. Proteger de la luz que puede inactivar los virus.</w:t>
      </w:r>
    </w:p>
    <w:p w14:paraId="0D912422" w14:textId="77777777" w:rsidR="0072615D" w:rsidRDefault="0072615D">
      <w:pPr>
        <w:pStyle w:val="Bodytext20"/>
        <w:framePr w:w="5323" w:h="1757" w:wrap="none" w:hAnchor="page" w:x="683" w:y="5257"/>
        <w:ind w:left="2640" w:hanging="100"/>
      </w:pPr>
      <w:r>
        <w:t>Diluyente: almacenar a temperatura ambiente o refrigerar</w:t>
      </w:r>
    </w:p>
    <w:p w14:paraId="1423D2DE" w14:textId="77777777" w:rsidR="0072615D" w:rsidRDefault="0072615D">
      <w:pPr>
        <w:pStyle w:val="Bodytext20"/>
        <w:framePr w:w="5323" w:h="1757" w:wrap="none" w:hAnchor="page" w:x="683" w:y="5257"/>
        <w:ind w:left="2540"/>
      </w:pPr>
      <w:r>
        <w:t>Presentación reconstituida: 2-8°C.</w:t>
      </w:r>
    </w:p>
    <w:p w14:paraId="3D5D5010" w14:textId="77777777" w:rsidR="0072615D" w:rsidRDefault="0072615D">
      <w:pPr>
        <w:pStyle w:val="Bodytext20"/>
        <w:framePr w:w="5323" w:h="1757" w:wrap="none" w:hAnchor="page" w:x="683" w:y="5257"/>
        <w:ind w:left="2640"/>
      </w:pPr>
      <w:r>
        <w:t>Proteger de la luz que puede inactivar los virus</w:t>
      </w:r>
    </w:p>
    <w:p w14:paraId="3FD53F3E" w14:textId="77777777" w:rsidR="0072615D" w:rsidRDefault="0072615D">
      <w:pPr>
        <w:pStyle w:val="Bodytext20"/>
        <w:framePr w:w="5746" w:h="1718" w:wrap="none" w:hAnchor="page" w:x="6327" w:y="5257"/>
        <w:tabs>
          <w:tab w:val="left" w:pos="2539"/>
        </w:tabs>
        <w:spacing w:line="240" w:lineRule="auto"/>
      </w:pPr>
      <w:r>
        <w:t>Incluso dos años</w:t>
      </w:r>
      <w:r>
        <w:tab/>
        <w:t>Liofilizado: “tapón” cristalino compacto de</w:t>
      </w:r>
    </w:p>
    <w:p w14:paraId="72E807A9" w14:textId="77777777" w:rsidR="0072615D" w:rsidRDefault="0072615D">
      <w:pPr>
        <w:pStyle w:val="Bodytext20"/>
        <w:framePr w:w="5746" w:h="1718" w:wrap="none" w:hAnchor="page" w:x="6327" w:y="5257"/>
        <w:spacing w:after="220" w:line="240" w:lineRule="auto"/>
        <w:ind w:left="2660"/>
      </w:pPr>
      <w:r>
        <w:t>color amarillo claro</w:t>
      </w:r>
    </w:p>
    <w:p w14:paraId="4A7ACBF0" w14:textId="77777777" w:rsidR="0072615D" w:rsidRDefault="0072615D">
      <w:pPr>
        <w:pStyle w:val="Bodytext20"/>
        <w:framePr w:w="5746" w:h="1718" w:wrap="none" w:hAnchor="page" w:x="6327" w:y="5257"/>
        <w:tabs>
          <w:tab w:val="left" w:pos="2539"/>
        </w:tabs>
        <w:spacing w:after="220" w:line="240" w:lineRule="auto"/>
      </w:pPr>
      <w:r>
        <w:t>Revisar la fecha en el frasco</w:t>
      </w:r>
      <w:r>
        <w:tab/>
        <w:t>Diluyente: líquido claro, incoloro</w:t>
      </w:r>
    </w:p>
    <w:p w14:paraId="63EEA59B" w14:textId="77777777" w:rsidR="0072615D" w:rsidRDefault="0072615D">
      <w:pPr>
        <w:pStyle w:val="Bodytext20"/>
        <w:framePr w:w="5746" w:h="1718" w:wrap="none" w:hAnchor="page" w:x="6327" w:y="5257"/>
        <w:spacing w:line="240" w:lineRule="auto"/>
      </w:pPr>
      <w:r>
        <w:t>Desechar el contenido reconstituido Producto reconstituido: solución clara</w:t>
      </w:r>
    </w:p>
    <w:p w14:paraId="555408F8" w14:textId="77777777" w:rsidR="0072615D" w:rsidRDefault="0072615D">
      <w:pPr>
        <w:pStyle w:val="Bodytext20"/>
        <w:framePr w:w="5746" w:h="1718" w:wrap="none" w:hAnchor="page" w:x="6327" w:y="5257"/>
        <w:spacing w:line="240" w:lineRule="auto"/>
      </w:pPr>
      <w:r>
        <w:t>si no se utiliza en término de 8 h amarilla</w:t>
      </w:r>
    </w:p>
    <w:p w14:paraId="13E8EDE2" w14:textId="77777777" w:rsidR="0072615D" w:rsidRDefault="0072615D">
      <w:pPr>
        <w:pStyle w:val="Bodytext20"/>
        <w:framePr w:w="5746" w:h="1718" w:wrap="none" w:hAnchor="page" w:x="6327" w:y="5257"/>
        <w:spacing w:after="120" w:line="240" w:lineRule="auto"/>
      </w:pPr>
      <w:r>
        <w:t>(conservarlo en refrigeración)</w:t>
      </w:r>
    </w:p>
    <w:p w14:paraId="69FABE22" w14:textId="77777777" w:rsidR="0072615D" w:rsidRDefault="0072615D">
      <w:pPr>
        <w:spacing w:line="360" w:lineRule="exact"/>
      </w:pPr>
    </w:p>
    <w:p w14:paraId="535CFFAF" w14:textId="77777777" w:rsidR="0072615D" w:rsidRDefault="0072615D">
      <w:pPr>
        <w:spacing w:line="360" w:lineRule="exact"/>
      </w:pPr>
    </w:p>
    <w:p w14:paraId="31C9B48B" w14:textId="77777777" w:rsidR="0072615D" w:rsidRDefault="0072615D">
      <w:pPr>
        <w:spacing w:line="360" w:lineRule="exact"/>
      </w:pPr>
    </w:p>
    <w:p w14:paraId="221FF56A" w14:textId="77777777" w:rsidR="0072615D" w:rsidRDefault="0072615D">
      <w:pPr>
        <w:spacing w:line="360" w:lineRule="exact"/>
      </w:pPr>
    </w:p>
    <w:p w14:paraId="3F16B0D6" w14:textId="77777777" w:rsidR="0072615D" w:rsidRDefault="0072615D">
      <w:pPr>
        <w:spacing w:line="360" w:lineRule="exact"/>
      </w:pPr>
    </w:p>
    <w:p w14:paraId="648AC699" w14:textId="77777777" w:rsidR="0072615D" w:rsidRDefault="0072615D">
      <w:pPr>
        <w:spacing w:line="360" w:lineRule="exact"/>
      </w:pPr>
    </w:p>
    <w:p w14:paraId="3AF1D903" w14:textId="77777777" w:rsidR="0072615D" w:rsidRDefault="0072615D">
      <w:pPr>
        <w:spacing w:line="360" w:lineRule="exact"/>
      </w:pPr>
    </w:p>
    <w:p w14:paraId="6B1F2479" w14:textId="77777777" w:rsidR="0072615D" w:rsidRDefault="0072615D">
      <w:pPr>
        <w:spacing w:line="360" w:lineRule="exact"/>
      </w:pPr>
    </w:p>
    <w:p w14:paraId="24C734BD" w14:textId="77777777" w:rsidR="0072615D" w:rsidRDefault="0072615D">
      <w:pPr>
        <w:spacing w:line="360" w:lineRule="exact"/>
      </w:pPr>
    </w:p>
    <w:p w14:paraId="093EF707" w14:textId="77777777" w:rsidR="0072615D" w:rsidRDefault="0072615D">
      <w:pPr>
        <w:spacing w:line="360" w:lineRule="exact"/>
      </w:pPr>
    </w:p>
    <w:p w14:paraId="4F977C24" w14:textId="77777777" w:rsidR="0072615D" w:rsidRDefault="0072615D">
      <w:pPr>
        <w:spacing w:line="360" w:lineRule="exact"/>
      </w:pPr>
    </w:p>
    <w:p w14:paraId="01825E8D" w14:textId="77777777" w:rsidR="0072615D" w:rsidRDefault="0072615D">
      <w:pPr>
        <w:spacing w:line="360" w:lineRule="exact"/>
      </w:pPr>
    </w:p>
    <w:p w14:paraId="0172092A" w14:textId="77777777" w:rsidR="0072615D" w:rsidRDefault="0072615D">
      <w:pPr>
        <w:spacing w:line="360" w:lineRule="exact"/>
      </w:pPr>
    </w:p>
    <w:p w14:paraId="0ED63DBE" w14:textId="77777777" w:rsidR="0072615D" w:rsidRDefault="0072615D">
      <w:pPr>
        <w:spacing w:line="360" w:lineRule="exact"/>
      </w:pPr>
    </w:p>
    <w:p w14:paraId="4C0B6AD0" w14:textId="77777777" w:rsidR="0072615D" w:rsidRDefault="0072615D">
      <w:pPr>
        <w:spacing w:line="360" w:lineRule="exact"/>
      </w:pPr>
    </w:p>
    <w:p w14:paraId="6D0D9560" w14:textId="77777777" w:rsidR="0072615D" w:rsidRDefault="0072615D">
      <w:pPr>
        <w:spacing w:line="360" w:lineRule="exact"/>
      </w:pPr>
    </w:p>
    <w:p w14:paraId="3D2863EF" w14:textId="77777777" w:rsidR="0072615D" w:rsidRDefault="0072615D">
      <w:pPr>
        <w:spacing w:line="360" w:lineRule="exact"/>
      </w:pPr>
    </w:p>
    <w:p w14:paraId="518E9C91" w14:textId="77777777" w:rsidR="0072615D" w:rsidRDefault="0072615D">
      <w:pPr>
        <w:spacing w:line="360" w:lineRule="exact"/>
      </w:pPr>
    </w:p>
    <w:p w14:paraId="67195139" w14:textId="77777777" w:rsidR="0072615D" w:rsidRDefault="0072615D">
      <w:pPr>
        <w:spacing w:after="532" w:line="1" w:lineRule="exact"/>
      </w:pPr>
    </w:p>
    <w:p w14:paraId="514DDCC9" w14:textId="77777777" w:rsidR="0072615D" w:rsidRDefault="0072615D">
      <w:pPr>
        <w:spacing w:line="1" w:lineRule="exact"/>
        <w:sectPr w:rsidR="0072615D" w:rsidSect="0072615D">
          <w:footnotePr>
            <w:numFmt w:val="chicago"/>
          </w:footnotePr>
          <w:pgSz w:w="13022" w:h="8501" w:orient="landscape"/>
          <w:pgMar w:top="456" w:right="441" w:bottom="994" w:left="662" w:header="28" w:footer="3" w:gutter="0"/>
          <w:cols w:space="720"/>
          <w:noEndnote/>
          <w:docGrid w:linePitch="360"/>
          <w15:footnoteColumns w:val="1"/>
        </w:sectPr>
      </w:pPr>
    </w:p>
    <w:p w14:paraId="331BE622" w14:textId="77777777" w:rsidR="0072615D" w:rsidRDefault="0072615D">
      <w:pPr>
        <w:pStyle w:val="Heading31"/>
        <w:keepNext/>
        <w:keepLines/>
        <w:framePr w:w="7882" w:h="322" w:wrap="none" w:hAnchor="page" w:x="2406" w:y="1"/>
        <w:rPr>
          <w:sz w:val="16"/>
          <w:szCs w:val="16"/>
        </w:rPr>
      </w:pPr>
      <w:bookmarkStart w:id="119" w:name="bookmark119"/>
      <w:bookmarkStart w:id="120" w:name="bookmark120"/>
      <w:bookmarkStart w:id="121" w:name="bookmark121"/>
      <w:r>
        <w:rPr>
          <w:b w:val="0"/>
          <w:bCs w:val="0"/>
        </w:rPr>
        <w:t xml:space="preserve">Cuadro 1- 4. </w:t>
      </w:r>
      <w:r>
        <w:t>Almacenamiento recomendado de las vacunas de uso común,</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119"/>
      <w:bookmarkEnd w:id="120"/>
      <w:bookmarkEnd w:id="121"/>
    </w:p>
    <w:tbl>
      <w:tblPr>
        <w:tblOverlap w:val="never"/>
        <w:tblW w:w="0" w:type="auto"/>
        <w:tblLayout w:type="fixed"/>
        <w:tblCellMar>
          <w:left w:w="10" w:type="dxa"/>
          <w:right w:w="10" w:type="dxa"/>
        </w:tblCellMar>
        <w:tblLook w:val="04A0" w:firstRow="1" w:lastRow="0" w:firstColumn="1" w:lastColumn="0" w:noHBand="0" w:noVBand="1"/>
      </w:tblPr>
      <w:tblGrid>
        <w:gridCol w:w="2414"/>
        <w:gridCol w:w="3158"/>
        <w:gridCol w:w="2626"/>
        <w:gridCol w:w="3235"/>
      </w:tblGrid>
      <w:tr w:rsidR="0072615D" w14:paraId="6295B5F4" w14:textId="77777777">
        <w:tblPrEx>
          <w:tblCellMar>
            <w:top w:w="0" w:type="dxa"/>
            <w:bottom w:w="0" w:type="dxa"/>
          </w:tblCellMar>
        </w:tblPrEx>
        <w:trPr>
          <w:trHeight w:hRule="exact" w:val="278"/>
        </w:trPr>
        <w:tc>
          <w:tcPr>
            <w:tcW w:w="2414" w:type="dxa"/>
            <w:shd w:val="clear" w:color="auto" w:fill="231F20"/>
            <w:vAlign w:val="bottom"/>
          </w:tcPr>
          <w:p w14:paraId="50587B65" w14:textId="77777777" w:rsidR="0072615D" w:rsidRDefault="0072615D">
            <w:pPr>
              <w:pStyle w:val="Other0"/>
              <w:framePr w:w="11434" w:h="5419" w:vSpace="998" w:wrap="none" w:hAnchor="page" w:x="639" w:y="37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3158" w:type="dxa"/>
            <w:shd w:val="clear" w:color="auto" w:fill="231F20"/>
            <w:vAlign w:val="bottom"/>
          </w:tcPr>
          <w:p w14:paraId="6D82B1BF" w14:textId="77777777" w:rsidR="0072615D" w:rsidRDefault="0072615D">
            <w:pPr>
              <w:pStyle w:val="Other0"/>
              <w:framePr w:w="11434" w:h="5419" w:vSpace="998" w:wrap="none" w:hAnchor="page" w:x="639" w:y="371"/>
              <w:pBdr>
                <w:top w:val="single" w:sz="0" w:space="0" w:color="231F20"/>
                <w:left w:val="single" w:sz="0" w:space="0" w:color="231F20"/>
                <w:bottom w:val="single" w:sz="0" w:space="0" w:color="231F20"/>
                <w:right w:val="single" w:sz="0" w:space="0" w:color="231F20"/>
              </w:pBdr>
              <w:shd w:val="clear" w:color="auto" w:fill="231F20"/>
              <w:spacing w:line="240" w:lineRule="auto"/>
              <w:ind w:firstLine="180"/>
              <w:rPr>
                <w:sz w:val="24"/>
                <w:szCs w:val="24"/>
              </w:rPr>
            </w:pPr>
            <w:r>
              <w:rPr>
                <w:rFonts w:ascii="Arial" w:eastAsia="Arial" w:hAnsi="Arial" w:cs="Arial"/>
                <w:b/>
                <w:bCs/>
                <w:color w:val="FFFFFF"/>
                <w:w w:val="70"/>
                <w:sz w:val="24"/>
                <w:szCs w:val="24"/>
              </w:rPr>
              <w:t>Temperatura recomendada</w:t>
            </w:r>
          </w:p>
        </w:tc>
        <w:tc>
          <w:tcPr>
            <w:tcW w:w="2626" w:type="dxa"/>
            <w:shd w:val="clear" w:color="auto" w:fill="231F20"/>
            <w:vAlign w:val="bottom"/>
          </w:tcPr>
          <w:p w14:paraId="49E9E758" w14:textId="77777777" w:rsidR="0072615D" w:rsidRDefault="0072615D">
            <w:pPr>
              <w:pStyle w:val="Other0"/>
              <w:framePr w:w="11434" w:h="5419" w:vSpace="998" w:wrap="none" w:hAnchor="page" w:x="639" w:y="37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Duración de la estabilidad</w:t>
            </w:r>
          </w:p>
        </w:tc>
        <w:tc>
          <w:tcPr>
            <w:tcW w:w="3235" w:type="dxa"/>
            <w:shd w:val="clear" w:color="auto" w:fill="231F20"/>
            <w:vAlign w:val="bottom"/>
          </w:tcPr>
          <w:p w14:paraId="2D5CF7A8" w14:textId="77777777" w:rsidR="0072615D" w:rsidRDefault="0072615D">
            <w:pPr>
              <w:pStyle w:val="Other0"/>
              <w:framePr w:w="11434" w:h="5419" w:vSpace="998" w:wrap="none" w:hAnchor="page" w:x="639" w:y="37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Aspecto normal</w:t>
            </w:r>
          </w:p>
        </w:tc>
      </w:tr>
      <w:tr w:rsidR="0072615D" w14:paraId="096EA655" w14:textId="77777777">
        <w:tblPrEx>
          <w:tblCellMar>
            <w:top w:w="0" w:type="dxa"/>
            <w:bottom w:w="0" w:type="dxa"/>
          </w:tblCellMar>
        </w:tblPrEx>
        <w:trPr>
          <w:trHeight w:hRule="exact" w:val="586"/>
        </w:trPr>
        <w:tc>
          <w:tcPr>
            <w:tcW w:w="2414" w:type="dxa"/>
            <w:shd w:val="clear" w:color="auto" w:fill="FFFFFF"/>
            <w:vAlign w:val="center"/>
          </w:tcPr>
          <w:p w14:paraId="24724E40" w14:textId="77777777" w:rsidR="0072615D" w:rsidRDefault="0072615D">
            <w:pPr>
              <w:pStyle w:val="Other0"/>
              <w:framePr w:w="11434" w:h="5419" w:vSpace="998" w:wrap="none" w:hAnchor="page" w:x="639" w:y="371"/>
              <w:spacing w:line="283" w:lineRule="auto"/>
              <w:ind w:firstLine="0"/>
              <w:rPr>
                <w:sz w:val="16"/>
                <w:szCs w:val="16"/>
              </w:rPr>
            </w:pPr>
            <w:r>
              <w:rPr>
                <w:rFonts w:ascii="Times New Roman" w:eastAsia="Times New Roman" w:hAnsi="Times New Roman" w:cs="Times New Roman"/>
                <w:sz w:val="16"/>
                <w:szCs w:val="16"/>
              </w:rPr>
              <w:t>Sarampión, vacuna de virus de, vivo</w:t>
            </w:r>
          </w:p>
        </w:tc>
        <w:tc>
          <w:tcPr>
            <w:tcW w:w="3158" w:type="dxa"/>
            <w:shd w:val="clear" w:color="auto" w:fill="FFFFFF"/>
          </w:tcPr>
          <w:p w14:paraId="5030A359" w14:textId="77777777" w:rsidR="0072615D" w:rsidRDefault="0072615D">
            <w:pPr>
              <w:pStyle w:val="Other0"/>
              <w:framePr w:w="11434" w:h="5419" w:vSpace="998" w:wrap="none" w:hAnchor="page" w:x="639" w:y="371"/>
              <w:spacing w:line="240" w:lineRule="auto"/>
              <w:ind w:firstLine="180"/>
              <w:rPr>
                <w:sz w:val="16"/>
                <w:szCs w:val="16"/>
              </w:rPr>
            </w:pPr>
            <w:r>
              <w:rPr>
                <w:rFonts w:ascii="Times New Roman" w:eastAsia="Times New Roman" w:hAnsi="Times New Roman" w:cs="Times New Roman"/>
                <w:sz w:val="16"/>
                <w:szCs w:val="16"/>
              </w:rPr>
              <w:t>Consúltese MMR</w:t>
            </w:r>
          </w:p>
        </w:tc>
        <w:tc>
          <w:tcPr>
            <w:tcW w:w="2626" w:type="dxa"/>
            <w:shd w:val="clear" w:color="auto" w:fill="FFFFFF"/>
          </w:tcPr>
          <w:p w14:paraId="74F76CB6" w14:textId="77777777" w:rsidR="0072615D" w:rsidRDefault="0072615D">
            <w:pPr>
              <w:pStyle w:val="Other0"/>
              <w:framePr w:w="11434" w:h="5419" w:vSpace="998" w:wrap="none" w:hAnchor="page" w:x="639" w:y="371"/>
              <w:spacing w:line="240" w:lineRule="auto"/>
              <w:ind w:firstLine="0"/>
              <w:rPr>
                <w:sz w:val="16"/>
                <w:szCs w:val="16"/>
              </w:rPr>
            </w:pPr>
            <w:r>
              <w:rPr>
                <w:rFonts w:ascii="Times New Roman" w:eastAsia="Times New Roman" w:hAnsi="Times New Roman" w:cs="Times New Roman"/>
                <w:sz w:val="16"/>
                <w:szCs w:val="16"/>
              </w:rPr>
              <w:t>Consúltese MMR</w:t>
            </w:r>
          </w:p>
        </w:tc>
        <w:tc>
          <w:tcPr>
            <w:tcW w:w="3235" w:type="dxa"/>
            <w:shd w:val="clear" w:color="auto" w:fill="FFFFFF"/>
          </w:tcPr>
          <w:p w14:paraId="53128B16" w14:textId="77777777" w:rsidR="0072615D" w:rsidRDefault="0072615D">
            <w:pPr>
              <w:pStyle w:val="Other0"/>
              <w:framePr w:w="11434" w:h="5419" w:vSpace="998" w:wrap="none" w:hAnchor="page" w:x="639" w:y="371"/>
              <w:spacing w:line="240" w:lineRule="auto"/>
              <w:ind w:firstLine="0"/>
              <w:rPr>
                <w:sz w:val="16"/>
                <w:szCs w:val="16"/>
              </w:rPr>
            </w:pPr>
            <w:r>
              <w:rPr>
                <w:rFonts w:ascii="Times New Roman" w:eastAsia="Times New Roman" w:hAnsi="Times New Roman" w:cs="Times New Roman"/>
                <w:sz w:val="16"/>
                <w:szCs w:val="16"/>
              </w:rPr>
              <w:t>Consúltese MMR</w:t>
            </w:r>
          </w:p>
        </w:tc>
      </w:tr>
      <w:tr w:rsidR="0072615D" w14:paraId="0DE09E38" w14:textId="77777777">
        <w:tblPrEx>
          <w:tblCellMar>
            <w:top w:w="0" w:type="dxa"/>
            <w:bottom w:w="0" w:type="dxa"/>
          </w:tblCellMar>
        </w:tblPrEx>
        <w:trPr>
          <w:trHeight w:hRule="exact" w:val="336"/>
        </w:trPr>
        <w:tc>
          <w:tcPr>
            <w:tcW w:w="2414" w:type="dxa"/>
            <w:shd w:val="clear" w:color="auto" w:fill="FFFFFF"/>
            <w:vAlign w:val="bottom"/>
          </w:tcPr>
          <w:p w14:paraId="74EFCE76" w14:textId="77777777" w:rsidR="0072615D" w:rsidRDefault="0072615D">
            <w:pPr>
              <w:pStyle w:val="Other0"/>
              <w:framePr w:w="11434" w:h="5419" w:vSpace="998" w:wrap="none" w:hAnchor="page" w:x="639" w:y="371"/>
              <w:spacing w:line="240" w:lineRule="auto"/>
              <w:ind w:firstLine="0"/>
              <w:rPr>
                <w:sz w:val="16"/>
                <w:szCs w:val="16"/>
              </w:rPr>
            </w:pPr>
            <w:r>
              <w:rPr>
                <w:rFonts w:ascii="Times New Roman" w:eastAsia="Times New Roman" w:hAnsi="Times New Roman" w:cs="Times New Roman"/>
                <w:sz w:val="16"/>
                <w:szCs w:val="16"/>
              </w:rPr>
              <w:t>Tetánico y diftérico, toxoide,</w:t>
            </w:r>
          </w:p>
        </w:tc>
        <w:tc>
          <w:tcPr>
            <w:tcW w:w="3158" w:type="dxa"/>
            <w:shd w:val="clear" w:color="auto" w:fill="FFFFFF"/>
            <w:vAlign w:val="bottom"/>
          </w:tcPr>
          <w:p w14:paraId="2ED07EED" w14:textId="77777777" w:rsidR="0072615D" w:rsidRDefault="0072615D">
            <w:pPr>
              <w:pStyle w:val="Other0"/>
              <w:framePr w:w="11434" w:h="5419" w:vSpace="998" w:wrap="none" w:hAnchor="page" w:x="639" w:y="371"/>
              <w:spacing w:line="240" w:lineRule="auto"/>
              <w:ind w:firstLine="180"/>
              <w:rPr>
                <w:sz w:val="16"/>
                <w:szCs w:val="16"/>
              </w:rPr>
            </w:pPr>
            <w:r>
              <w:rPr>
                <w:rFonts w:ascii="Times New Roman" w:eastAsia="Times New Roman" w:hAnsi="Times New Roman" w:cs="Times New Roman"/>
                <w:sz w:val="16"/>
                <w:szCs w:val="16"/>
              </w:rPr>
              <w:t>2-8°C. No congelar.</w:t>
            </w:r>
          </w:p>
        </w:tc>
        <w:tc>
          <w:tcPr>
            <w:tcW w:w="2626" w:type="dxa"/>
            <w:shd w:val="clear" w:color="auto" w:fill="FFFFFF"/>
            <w:vAlign w:val="bottom"/>
          </w:tcPr>
          <w:p w14:paraId="0FA21FE5" w14:textId="77777777" w:rsidR="0072615D" w:rsidRDefault="0072615D">
            <w:pPr>
              <w:pStyle w:val="Other0"/>
              <w:framePr w:w="11434" w:h="5419" w:vSpace="998" w:wrap="none" w:hAnchor="page" w:x="639" w:y="371"/>
              <w:spacing w:line="240" w:lineRule="auto"/>
              <w:ind w:firstLine="0"/>
              <w:rPr>
                <w:sz w:val="16"/>
                <w:szCs w:val="16"/>
              </w:rPr>
            </w:pPr>
            <w:r>
              <w:rPr>
                <w:rFonts w:ascii="Times New Roman" w:eastAsia="Times New Roman" w:hAnsi="Times New Roman" w:cs="Times New Roman"/>
                <w:sz w:val="16"/>
                <w:szCs w:val="16"/>
              </w:rPr>
              <w:t>No más de dos años de la fecha de</w:t>
            </w:r>
          </w:p>
        </w:tc>
        <w:tc>
          <w:tcPr>
            <w:tcW w:w="3235" w:type="dxa"/>
            <w:shd w:val="clear" w:color="auto" w:fill="FFFFFF"/>
            <w:vAlign w:val="bottom"/>
          </w:tcPr>
          <w:p w14:paraId="59AE46D7" w14:textId="77777777" w:rsidR="0072615D" w:rsidRDefault="0072615D">
            <w:pPr>
              <w:pStyle w:val="Other0"/>
              <w:framePr w:w="11434" w:h="5419" w:vSpace="998" w:wrap="none" w:hAnchor="page" w:x="639" w:y="371"/>
              <w:spacing w:line="240" w:lineRule="auto"/>
              <w:ind w:firstLine="0"/>
              <w:rPr>
                <w:sz w:val="16"/>
                <w:szCs w:val="16"/>
              </w:rPr>
            </w:pPr>
            <w:r>
              <w:rPr>
                <w:rFonts w:ascii="Times New Roman" w:eastAsia="Times New Roman" w:hAnsi="Times New Roman" w:cs="Times New Roman"/>
                <w:sz w:val="16"/>
                <w:szCs w:val="16"/>
              </w:rPr>
              <w:t>Suspensión muy turbia y blanca. Es mejor</w:t>
            </w:r>
          </w:p>
        </w:tc>
      </w:tr>
      <w:tr w:rsidR="0072615D" w14:paraId="2C4C2024" w14:textId="77777777">
        <w:tblPrEx>
          <w:tblCellMar>
            <w:top w:w="0" w:type="dxa"/>
            <w:bottom w:w="0" w:type="dxa"/>
          </w:tblCellMar>
        </w:tblPrEx>
        <w:trPr>
          <w:trHeight w:hRule="exact" w:val="994"/>
        </w:trPr>
        <w:tc>
          <w:tcPr>
            <w:tcW w:w="2414" w:type="dxa"/>
            <w:shd w:val="clear" w:color="auto" w:fill="FFFFFF"/>
          </w:tcPr>
          <w:p w14:paraId="7D228456" w14:textId="77777777" w:rsidR="0072615D" w:rsidRDefault="0072615D">
            <w:pPr>
              <w:pStyle w:val="Other0"/>
              <w:framePr w:w="11434" w:h="5419" w:vSpace="998" w:wrap="none" w:hAnchor="page" w:x="639" w:y="371"/>
              <w:spacing w:line="240" w:lineRule="auto"/>
              <w:ind w:firstLine="0"/>
              <w:rPr>
                <w:sz w:val="16"/>
                <w:szCs w:val="16"/>
              </w:rPr>
            </w:pPr>
            <w:r>
              <w:rPr>
                <w:rFonts w:ascii="Times New Roman" w:eastAsia="Times New Roman" w:hAnsi="Times New Roman" w:cs="Times New Roman"/>
                <w:sz w:val="16"/>
                <w:szCs w:val="16"/>
              </w:rPr>
              <w:t>adsorbidos (Td)</w:t>
            </w:r>
          </w:p>
        </w:tc>
        <w:tc>
          <w:tcPr>
            <w:tcW w:w="3158" w:type="dxa"/>
            <w:shd w:val="clear" w:color="auto" w:fill="FFFFFF"/>
          </w:tcPr>
          <w:p w14:paraId="303BC7B6" w14:textId="77777777" w:rsidR="0072615D" w:rsidRDefault="0072615D">
            <w:pPr>
              <w:framePr w:w="11434" w:h="5419" w:vSpace="998" w:wrap="none" w:hAnchor="page" w:x="639" w:y="371"/>
              <w:rPr>
                <w:sz w:val="10"/>
                <w:szCs w:val="10"/>
              </w:rPr>
            </w:pPr>
          </w:p>
        </w:tc>
        <w:tc>
          <w:tcPr>
            <w:tcW w:w="2626" w:type="dxa"/>
            <w:shd w:val="clear" w:color="auto" w:fill="FFFFFF"/>
          </w:tcPr>
          <w:p w14:paraId="00695D53" w14:textId="77777777" w:rsidR="0072615D" w:rsidRDefault="0072615D">
            <w:pPr>
              <w:pStyle w:val="Other0"/>
              <w:framePr w:w="11434" w:h="5419" w:vSpace="998" w:wrap="none" w:hAnchor="page" w:x="639" w:y="371"/>
              <w:spacing w:line="283" w:lineRule="auto"/>
              <w:ind w:left="240" w:firstLine="0"/>
              <w:rPr>
                <w:sz w:val="16"/>
                <w:szCs w:val="16"/>
              </w:rPr>
            </w:pPr>
            <w:r>
              <w:rPr>
                <w:rFonts w:ascii="Times New Roman" w:eastAsia="Times New Roman" w:hAnsi="Times New Roman" w:cs="Times New Roman"/>
                <w:sz w:val="16"/>
                <w:szCs w:val="16"/>
              </w:rPr>
              <w:t>salida del almacenamiento en frío del fabricante</w:t>
            </w:r>
          </w:p>
        </w:tc>
        <w:tc>
          <w:tcPr>
            <w:tcW w:w="3235" w:type="dxa"/>
            <w:shd w:val="clear" w:color="auto" w:fill="FFFFFF"/>
          </w:tcPr>
          <w:p w14:paraId="652DE236" w14:textId="77777777" w:rsidR="0072615D" w:rsidRDefault="0072615D">
            <w:pPr>
              <w:pStyle w:val="Other0"/>
              <w:framePr w:w="11434" w:h="5419" w:vSpace="998" w:wrap="none" w:hAnchor="page" w:x="639" w:y="371"/>
              <w:spacing w:line="283" w:lineRule="auto"/>
              <w:ind w:left="140" w:firstLine="0"/>
              <w:rPr>
                <w:sz w:val="16"/>
                <w:szCs w:val="16"/>
              </w:rPr>
            </w:pPr>
            <w:r>
              <w:rPr>
                <w:rFonts w:ascii="Times New Roman" w:eastAsia="Times New Roman" w:hAnsi="Times New Roman" w:cs="Times New Roman"/>
                <w:sz w:val="16"/>
                <w:szCs w:val="16"/>
              </w:rPr>
              <w:t>NO usar el producto si tienen grumos o cúmulos de material que no puede ser devuelto a la suspensión con agitación vigorosa</w:t>
            </w:r>
          </w:p>
        </w:tc>
      </w:tr>
      <w:tr w:rsidR="0072615D" w14:paraId="2BDD6F1C" w14:textId="77777777">
        <w:tblPrEx>
          <w:tblCellMar>
            <w:top w:w="0" w:type="dxa"/>
            <w:bottom w:w="0" w:type="dxa"/>
          </w:tblCellMar>
        </w:tblPrEx>
        <w:trPr>
          <w:trHeight w:hRule="exact" w:val="960"/>
        </w:trPr>
        <w:tc>
          <w:tcPr>
            <w:tcW w:w="2414" w:type="dxa"/>
            <w:shd w:val="clear" w:color="auto" w:fill="FFFFFF"/>
          </w:tcPr>
          <w:p w14:paraId="7F79C3DD" w14:textId="77777777" w:rsidR="0072615D" w:rsidRDefault="0072615D">
            <w:pPr>
              <w:pStyle w:val="Other0"/>
              <w:framePr w:w="11434" w:h="5419" w:vSpace="998" w:wrap="none" w:hAnchor="page" w:x="639" w:y="371"/>
              <w:spacing w:before="100" w:line="240" w:lineRule="auto"/>
              <w:ind w:firstLine="0"/>
              <w:rPr>
                <w:sz w:val="16"/>
                <w:szCs w:val="16"/>
              </w:rPr>
            </w:pPr>
            <w:r>
              <w:rPr>
                <w:rFonts w:ascii="Times New Roman" w:eastAsia="Times New Roman" w:hAnsi="Times New Roman" w:cs="Times New Roman"/>
                <w:sz w:val="16"/>
                <w:szCs w:val="16"/>
              </w:rPr>
              <w:t>Varicela, vacuna de virus de</w:t>
            </w:r>
            <w:r>
              <w:rPr>
                <w:rFonts w:ascii="Times New Roman" w:eastAsia="Times New Roman" w:hAnsi="Times New Roman" w:cs="Times New Roman"/>
                <w:sz w:val="16"/>
                <w:szCs w:val="16"/>
                <w:vertAlign w:val="superscript"/>
              </w:rPr>
              <w:t>2</w:t>
            </w:r>
          </w:p>
        </w:tc>
        <w:tc>
          <w:tcPr>
            <w:tcW w:w="3158" w:type="dxa"/>
            <w:shd w:val="clear" w:color="auto" w:fill="FFFFFF"/>
            <w:vAlign w:val="bottom"/>
          </w:tcPr>
          <w:p w14:paraId="7D5BFDBA" w14:textId="77777777" w:rsidR="0072615D" w:rsidRDefault="0072615D">
            <w:pPr>
              <w:pStyle w:val="Other0"/>
              <w:framePr w:w="11434" w:h="5419" w:vSpace="998" w:wrap="none" w:hAnchor="page" w:x="639" w:y="371"/>
              <w:spacing w:line="283" w:lineRule="auto"/>
              <w:ind w:left="280" w:hanging="100"/>
              <w:rPr>
                <w:sz w:val="16"/>
                <w:szCs w:val="16"/>
              </w:rPr>
            </w:pPr>
            <w:r>
              <w:rPr>
                <w:rFonts w:ascii="Times New Roman" w:eastAsia="Times New Roman" w:hAnsi="Times New Roman" w:cs="Times New Roman"/>
                <w:sz w:val="16"/>
                <w:szCs w:val="16"/>
              </w:rPr>
              <w:t>Presentación liofilizada: conservar congelado a —15°C o una temperatura más fría. Proteger de la luz. Almacenar sólo en un congelador sin hielo.</w:t>
            </w:r>
          </w:p>
        </w:tc>
        <w:tc>
          <w:tcPr>
            <w:tcW w:w="2626" w:type="dxa"/>
            <w:shd w:val="clear" w:color="auto" w:fill="FFFFFF"/>
          </w:tcPr>
          <w:p w14:paraId="4D21BFEE" w14:textId="77777777" w:rsidR="0072615D" w:rsidRDefault="0072615D">
            <w:pPr>
              <w:pStyle w:val="Other0"/>
              <w:framePr w:w="11434" w:h="5419" w:vSpace="998" w:wrap="none" w:hAnchor="page" w:x="639" w:y="371"/>
              <w:spacing w:before="100" w:line="240" w:lineRule="auto"/>
              <w:ind w:firstLine="0"/>
              <w:rPr>
                <w:sz w:val="16"/>
                <w:szCs w:val="16"/>
              </w:rPr>
            </w:pPr>
            <w:r>
              <w:rPr>
                <w:rFonts w:ascii="Times New Roman" w:eastAsia="Times New Roman" w:hAnsi="Times New Roman" w:cs="Times New Roman"/>
                <w:sz w:val="16"/>
                <w:szCs w:val="16"/>
              </w:rPr>
              <w:t>Presentación liofilizada: 18 meses</w:t>
            </w:r>
          </w:p>
        </w:tc>
        <w:tc>
          <w:tcPr>
            <w:tcW w:w="3235" w:type="dxa"/>
            <w:shd w:val="clear" w:color="auto" w:fill="FFFFFF"/>
          </w:tcPr>
          <w:p w14:paraId="22CCF4F0" w14:textId="77777777" w:rsidR="0072615D" w:rsidRDefault="0072615D">
            <w:pPr>
              <w:pStyle w:val="Other0"/>
              <w:framePr w:w="11434" w:h="5419" w:vSpace="998" w:wrap="none" w:hAnchor="page" w:x="639" w:y="371"/>
              <w:spacing w:before="100" w:line="240" w:lineRule="auto"/>
              <w:ind w:firstLine="0"/>
              <w:rPr>
                <w:sz w:val="16"/>
                <w:szCs w:val="16"/>
              </w:rPr>
            </w:pPr>
            <w:r>
              <w:rPr>
                <w:rFonts w:ascii="Times New Roman" w:eastAsia="Times New Roman" w:hAnsi="Times New Roman" w:cs="Times New Roman"/>
                <w:sz w:val="16"/>
                <w:szCs w:val="16"/>
              </w:rPr>
              <w:t>Presentación liofilizada: polvo blanquecino</w:t>
            </w:r>
          </w:p>
        </w:tc>
      </w:tr>
      <w:tr w:rsidR="0072615D" w14:paraId="42E1930E" w14:textId="77777777">
        <w:tblPrEx>
          <w:tblCellMar>
            <w:top w:w="0" w:type="dxa"/>
            <w:bottom w:w="0" w:type="dxa"/>
          </w:tblCellMar>
        </w:tblPrEx>
        <w:trPr>
          <w:trHeight w:hRule="exact" w:val="1522"/>
        </w:trPr>
        <w:tc>
          <w:tcPr>
            <w:tcW w:w="2414" w:type="dxa"/>
            <w:shd w:val="clear" w:color="auto" w:fill="FFFFFF"/>
          </w:tcPr>
          <w:p w14:paraId="68FC496E" w14:textId="77777777" w:rsidR="0072615D" w:rsidRDefault="0072615D">
            <w:pPr>
              <w:framePr w:w="11434" w:h="5419" w:vSpace="998" w:wrap="none" w:hAnchor="page" w:x="639" w:y="371"/>
              <w:rPr>
                <w:sz w:val="10"/>
                <w:szCs w:val="10"/>
              </w:rPr>
            </w:pPr>
          </w:p>
        </w:tc>
        <w:tc>
          <w:tcPr>
            <w:tcW w:w="3158" w:type="dxa"/>
            <w:shd w:val="clear" w:color="auto" w:fill="FFFFFF"/>
          </w:tcPr>
          <w:p w14:paraId="3199ED02" w14:textId="77777777" w:rsidR="0072615D" w:rsidRDefault="0072615D">
            <w:pPr>
              <w:pStyle w:val="Other0"/>
              <w:framePr w:w="11434" w:h="5419" w:vSpace="998" w:wrap="none" w:hAnchor="page" w:x="639" w:y="371"/>
              <w:spacing w:after="200" w:line="283" w:lineRule="auto"/>
              <w:ind w:left="280" w:hanging="100"/>
              <w:rPr>
                <w:sz w:val="16"/>
                <w:szCs w:val="16"/>
              </w:rPr>
            </w:pPr>
            <w:r>
              <w:rPr>
                <w:rFonts w:ascii="Times New Roman" w:eastAsia="Times New Roman" w:hAnsi="Times New Roman" w:cs="Times New Roman"/>
                <w:sz w:val="16"/>
                <w:szCs w:val="16"/>
              </w:rPr>
              <w:t>Diluyente: almacenar a temperatura ambiente o refrigerar</w:t>
            </w:r>
          </w:p>
          <w:p w14:paraId="79263CB7" w14:textId="77777777" w:rsidR="0072615D" w:rsidRDefault="0072615D">
            <w:pPr>
              <w:pStyle w:val="Other0"/>
              <w:framePr w:w="11434" w:h="5419" w:vSpace="998" w:wrap="none" w:hAnchor="page" w:x="639" w:y="371"/>
              <w:spacing w:line="283" w:lineRule="auto"/>
              <w:ind w:left="280" w:hanging="100"/>
              <w:rPr>
                <w:sz w:val="16"/>
                <w:szCs w:val="16"/>
              </w:rPr>
            </w:pPr>
            <w:r>
              <w:rPr>
                <w:rFonts w:ascii="Times New Roman" w:eastAsia="Times New Roman" w:hAnsi="Times New Roman" w:cs="Times New Roman"/>
                <w:sz w:val="16"/>
                <w:szCs w:val="16"/>
              </w:rPr>
              <w:t>Para almacenamiento temporal la vacuna no reconstituida puede almacenarse a 2-8°C por un máximo de 72 h</w:t>
            </w:r>
          </w:p>
        </w:tc>
        <w:tc>
          <w:tcPr>
            <w:tcW w:w="2626" w:type="dxa"/>
            <w:shd w:val="clear" w:color="auto" w:fill="FFFFFF"/>
            <w:vAlign w:val="bottom"/>
          </w:tcPr>
          <w:p w14:paraId="4AF43443" w14:textId="77777777" w:rsidR="0072615D" w:rsidRDefault="0072615D">
            <w:pPr>
              <w:pStyle w:val="Other0"/>
              <w:framePr w:w="11434" w:h="5419" w:vSpace="998" w:wrap="none" w:hAnchor="page" w:x="639" w:y="371"/>
              <w:spacing w:after="200" w:line="283" w:lineRule="auto"/>
              <w:ind w:left="240" w:hanging="100"/>
              <w:rPr>
                <w:sz w:val="16"/>
                <w:szCs w:val="16"/>
              </w:rPr>
            </w:pPr>
            <w:r>
              <w:rPr>
                <w:rFonts w:ascii="Times New Roman" w:eastAsia="Times New Roman" w:hAnsi="Times New Roman" w:cs="Times New Roman"/>
                <w:sz w:val="16"/>
                <w:szCs w:val="16"/>
              </w:rPr>
              <w:t>Revisar la fecha de caducidad en el frasco o ampolleta</w:t>
            </w:r>
          </w:p>
          <w:p w14:paraId="1585CAE1" w14:textId="77777777" w:rsidR="0072615D" w:rsidRDefault="0072615D">
            <w:pPr>
              <w:pStyle w:val="Other0"/>
              <w:framePr w:w="11434" w:h="5419" w:vSpace="998" w:wrap="none" w:hAnchor="page" w:x="639" w:y="371"/>
              <w:spacing w:line="283" w:lineRule="auto"/>
              <w:ind w:left="240" w:hanging="100"/>
              <w:rPr>
                <w:sz w:val="16"/>
                <w:szCs w:val="16"/>
              </w:rPr>
            </w:pPr>
            <w:r>
              <w:rPr>
                <w:rFonts w:ascii="Times New Roman" w:eastAsia="Times New Roman" w:hAnsi="Times New Roman" w:cs="Times New Roman"/>
                <w:sz w:val="16"/>
                <w:szCs w:val="16"/>
              </w:rPr>
              <w:t>Descartar la vacuna no reconstituida si no se usa en el término de 72 h (no congelar de nuevo)</w:t>
            </w:r>
          </w:p>
        </w:tc>
        <w:tc>
          <w:tcPr>
            <w:tcW w:w="3235" w:type="dxa"/>
            <w:shd w:val="clear" w:color="auto" w:fill="FFFFFF"/>
          </w:tcPr>
          <w:p w14:paraId="48C4D9BA" w14:textId="77777777" w:rsidR="0072615D" w:rsidRDefault="0072615D">
            <w:pPr>
              <w:pStyle w:val="Other0"/>
              <w:framePr w:w="11434" w:h="5419" w:vSpace="998" w:wrap="none" w:hAnchor="page" w:x="639" w:y="371"/>
              <w:spacing w:line="240" w:lineRule="auto"/>
              <w:ind w:firstLine="0"/>
              <w:rPr>
                <w:sz w:val="16"/>
                <w:szCs w:val="16"/>
              </w:rPr>
            </w:pPr>
            <w:r>
              <w:rPr>
                <w:rFonts w:ascii="Times New Roman" w:eastAsia="Times New Roman" w:hAnsi="Times New Roman" w:cs="Times New Roman"/>
                <w:sz w:val="16"/>
                <w:szCs w:val="16"/>
              </w:rPr>
              <w:t>Líquido claro incoloro</w:t>
            </w:r>
          </w:p>
        </w:tc>
      </w:tr>
      <w:tr w:rsidR="0072615D" w14:paraId="69E41C7C" w14:textId="77777777">
        <w:tblPrEx>
          <w:tblCellMar>
            <w:top w:w="0" w:type="dxa"/>
            <w:bottom w:w="0" w:type="dxa"/>
          </w:tblCellMar>
        </w:tblPrEx>
        <w:trPr>
          <w:trHeight w:hRule="exact" w:val="202"/>
        </w:trPr>
        <w:tc>
          <w:tcPr>
            <w:tcW w:w="2414" w:type="dxa"/>
            <w:shd w:val="clear" w:color="auto" w:fill="FFFFFF"/>
          </w:tcPr>
          <w:p w14:paraId="62D35BCC" w14:textId="77777777" w:rsidR="0072615D" w:rsidRDefault="0072615D">
            <w:pPr>
              <w:framePr w:w="11434" w:h="5419" w:vSpace="998" w:wrap="none" w:hAnchor="page" w:x="639" w:y="371"/>
              <w:rPr>
                <w:sz w:val="10"/>
                <w:szCs w:val="10"/>
              </w:rPr>
            </w:pPr>
          </w:p>
        </w:tc>
        <w:tc>
          <w:tcPr>
            <w:tcW w:w="3158" w:type="dxa"/>
            <w:shd w:val="clear" w:color="auto" w:fill="FFFFFF"/>
            <w:vAlign w:val="bottom"/>
          </w:tcPr>
          <w:p w14:paraId="61758789" w14:textId="77777777" w:rsidR="0072615D" w:rsidRDefault="0072615D">
            <w:pPr>
              <w:pStyle w:val="Other0"/>
              <w:framePr w:w="11434" w:h="5419" w:vSpace="998" w:wrap="none" w:hAnchor="page" w:x="639" w:y="371"/>
              <w:spacing w:line="240" w:lineRule="auto"/>
              <w:ind w:firstLine="180"/>
              <w:rPr>
                <w:sz w:val="16"/>
                <w:szCs w:val="16"/>
              </w:rPr>
            </w:pPr>
            <w:r>
              <w:rPr>
                <w:rFonts w:ascii="Times New Roman" w:eastAsia="Times New Roman" w:hAnsi="Times New Roman" w:cs="Times New Roman"/>
                <w:sz w:val="16"/>
                <w:szCs w:val="16"/>
              </w:rPr>
              <w:t>Presentación reconstituida: usarla</w:t>
            </w:r>
          </w:p>
        </w:tc>
        <w:tc>
          <w:tcPr>
            <w:tcW w:w="2626" w:type="dxa"/>
            <w:shd w:val="clear" w:color="auto" w:fill="FFFFFF"/>
            <w:vAlign w:val="bottom"/>
          </w:tcPr>
          <w:p w14:paraId="74DD7838" w14:textId="77777777" w:rsidR="0072615D" w:rsidRDefault="0072615D">
            <w:pPr>
              <w:pStyle w:val="Other0"/>
              <w:framePr w:w="11434" w:h="5419" w:vSpace="998" w:wrap="none" w:hAnchor="page" w:x="639" w:y="371"/>
              <w:spacing w:line="240" w:lineRule="auto"/>
              <w:ind w:firstLine="0"/>
              <w:rPr>
                <w:sz w:val="16"/>
                <w:szCs w:val="16"/>
              </w:rPr>
            </w:pPr>
            <w:r>
              <w:rPr>
                <w:rFonts w:ascii="Times New Roman" w:eastAsia="Times New Roman" w:hAnsi="Times New Roman" w:cs="Times New Roman"/>
                <w:sz w:val="16"/>
                <w:szCs w:val="16"/>
              </w:rPr>
              <w:t>Descartar el contenido</w:t>
            </w:r>
          </w:p>
        </w:tc>
        <w:tc>
          <w:tcPr>
            <w:tcW w:w="3235" w:type="dxa"/>
            <w:shd w:val="clear" w:color="auto" w:fill="FFFFFF"/>
            <w:vAlign w:val="bottom"/>
          </w:tcPr>
          <w:p w14:paraId="6F59FA4C" w14:textId="77777777" w:rsidR="0072615D" w:rsidRDefault="0072615D">
            <w:pPr>
              <w:pStyle w:val="Other0"/>
              <w:framePr w:w="11434" w:h="5419" w:vSpace="998" w:wrap="none" w:hAnchor="page" w:x="639" w:y="371"/>
              <w:spacing w:line="240" w:lineRule="auto"/>
              <w:ind w:firstLine="0"/>
              <w:rPr>
                <w:sz w:val="16"/>
                <w:szCs w:val="16"/>
              </w:rPr>
            </w:pPr>
            <w:r>
              <w:rPr>
                <w:rFonts w:ascii="Times New Roman" w:eastAsia="Times New Roman" w:hAnsi="Times New Roman" w:cs="Times New Roman"/>
                <w:sz w:val="16"/>
                <w:szCs w:val="16"/>
              </w:rPr>
              <w:t>Presentación reconstituida: líquido claro,</w:t>
            </w:r>
          </w:p>
        </w:tc>
      </w:tr>
      <w:tr w:rsidR="0072615D" w14:paraId="5023078F" w14:textId="77777777">
        <w:tblPrEx>
          <w:tblCellMar>
            <w:top w:w="0" w:type="dxa"/>
            <w:bottom w:w="0" w:type="dxa"/>
          </w:tblCellMar>
        </w:tblPrEx>
        <w:trPr>
          <w:trHeight w:hRule="exact" w:val="542"/>
        </w:trPr>
        <w:tc>
          <w:tcPr>
            <w:tcW w:w="2414" w:type="dxa"/>
            <w:tcBorders>
              <w:bottom w:val="single" w:sz="4" w:space="0" w:color="auto"/>
            </w:tcBorders>
            <w:shd w:val="clear" w:color="auto" w:fill="FFFFFF"/>
          </w:tcPr>
          <w:p w14:paraId="6F25AA05" w14:textId="77777777" w:rsidR="0072615D" w:rsidRDefault="0072615D">
            <w:pPr>
              <w:framePr w:w="11434" w:h="5419" w:vSpace="998" w:wrap="none" w:hAnchor="page" w:x="639" w:y="371"/>
              <w:rPr>
                <w:sz w:val="10"/>
                <w:szCs w:val="10"/>
              </w:rPr>
            </w:pPr>
          </w:p>
        </w:tc>
        <w:tc>
          <w:tcPr>
            <w:tcW w:w="3158" w:type="dxa"/>
            <w:tcBorders>
              <w:bottom w:val="single" w:sz="4" w:space="0" w:color="auto"/>
            </w:tcBorders>
            <w:shd w:val="clear" w:color="auto" w:fill="FFFFFF"/>
          </w:tcPr>
          <w:p w14:paraId="12F86E04" w14:textId="77777777" w:rsidR="0072615D" w:rsidRDefault="0072615D">
            <w:pPr>
              <w:pStyle w:val="Other0"/>
              <w:framePr w:w="11434" w:h="5419" w:vSpace="998" w:wrap="none" w:hAnchor="page" w:x="639" w:y="371"/>
              <w:spacing w:line="240" w:lineRule="auto"/>
              <w:ind w:firstLine="280"/>
              <w:rPr>
                <w:sz w:val="16"/>
                <w:szCs w:val="16"/>
              </w:rPr>
            </w:pPr>
            <w:r>
              <w:rPr>
                <w:rFonts w:ascii="Times New Roman" w:eastAsia="Times New Roman" w:hAnsi="Times New Roman" w:cs="Times New Roman"/>
                <w:sz w:val="16"/>
                <w:szCs w:val="16"/>
              </w:rPr>
              <w:t>inmediatamente y no almacenarla</w:t>
            </w:r>
          </w:p>
        </w:tc>
        <w:tc>
          <w:tcPr>
            <w:tcW w:w="2626" w:type="dxa"/>
            <w:tcBorders>
              <w:bottom w:val="single" w:sz="4" w:space="0" w:color="auto"/>
            </w:tcBorders>
            <w:shd w:val="clear" w:color="auto" w:fill="FFFFFF"/>
          </w:tcPr>
          <w:p w14:paraId="5FA14E04" w14:textId="77777777" w:rsidR="0072615D" w:rsidRDefault="0072615D">
            <w:pPr>
              <w:pStyle w:val="Other0"/>
              <w:framePr w:w="11434" w:h="5419" w:vSpace="998" w:wrap="none" w:hAnchor="page" w:x="639" w:y="371"/>
              <w:spacing w:line="283" w:lineRule="auto"/>
              <w:ind w:left="240" w:firstLine="0"/>
              <w:rPr>
                <w:sz w:val="16"/>
                <w:szCs w:val="16"/>
              </w:rPr>
            </w:pPr>
            <w:r>
              <w:rPr>
                <w:rFonts w:ascii="Times New Roman" w:eastAsia="Times New Roman" w:hAnsi="Times New Roman" w:cs="Times New Roman"/>
                <w:sz w:val="16"/>
                <w:szCs w:val="16"/>
              </w:rPr>
              <w:t>reconstituido si no se usa en término de 30 min</w:t>
            </w:r>
          </w:p>
        </w:tc>
        <w:tc>
          <w:tcPr>
            <w:tcW w:w="3235" w:type="dxa"/>
            <w:tcBorders>
              <w:bottom w:val="single" w:sz="4" w:space="0" w:color="auto"/>
            </w:tcBorders>
            <w:shd w:val="clear" w:color="auto" w:fill="FFFFFF"/>
          </w:tcPr>
          <w:p w14:paraId="4A3AE2FE" w14:textId="77777777" w:rsidR="0072615D" w:rsidRDefault="0072615D">
            <w:pPr>
              <w:pStyle w:val="Other0"/>
              <w:framePr w:w="11434" w:h="5419" w:vSpace="998" w:wrap="none" w:hAnchor="page" w:x="639" w:y="371"/>
              <w:spacing w:line="240" w:lineRule="auto"/>
              <w:ind w:firstLine="140"/>
              <w:rPr>
                <w:sz w:val="16"/>
                <w:szCs w:val="16"/>
              </w:rPr>
            </w:pPr>
            <w:r>
              <w:rPr>
                <w:rFonts w:ascii="Times New Roman" w:eastAsia="Times New Roman" w:hAnsi="Times New Roman" w:cs="Times New Roman"/>
                <w:sz w:val="16"/>
                <w:szCs w:val="16"/>
              </w:rPr>
              <w:t>incoloro o amarillo pálido</w:t>
            </w:r>
          </w:p>
        </w:tc>
      </w:tr>
    </w:tbl>
    <w:p w14:paraId="6AE5D841" w14:textId="77777777" w:rsidR="0072615D" w:rsidRDefault="0072615D">
      <w:pPr>
        <w:framePr w:w="11434" w:h="5419" w:vSpace="998" w:wrap="none" w:hAnchor="page" w:x="639" w:y="371"/>
        <w:spacing w:line="1" w:lineRule="exact"/>
      </w:pPr>
    </w:p>
    <w:p w14:paraId="0EA6379E" w14:textId="77777777" w:rsidR="0072615D" w:rsidRDefault="0072615D">
      <w:pPr>
        <w:pStyle w:val="Tablecaption0"/>
        <w:framePr w:w="11059" w:h="936" w:wrap="none" w:hAnchor="page" w:x="682" w:y="5853"/>
        <w:spacing w:line="240" w:lineRule="auto"/>
        <w:ind w:left="0"/>
        <w:jc w:val="both"/>
      </w:pPr>
      <w:r>
        <w:t xml:space="preserve">Hib, </w:t>
      </w:r>
      <w:r>
        <w:rPr>
          <w:i/>
          <w:iCs/>
        </w:rPr>
        <w:t>Haemophilus influenzae</w:t>
      </w:r>
      <w:r>
        <w:t xml:space="preserve"> tipo b.</w:t>
      </w:r>
    </w:p>
    <w:p w14:paraId="19B06192" w14:textId="77777777" w:rsidR="0072615D" w:rsidRDefault="0072615D">
      <w:pPr>
        <w:pStyle w:val="Tablecaption0"/>
        <w:framePr w:w="11059" w:h="936" w:wrap="none" w:hAnchor="page" w:x="682" w:y="5853"/>
        <w:numPr>
          <w:ilvl w:val="0"/>
          <w:numId w:val="20"/>
        </w:numPr>
        <w:tabs>
          <w:tab w:val="left" w:pos="163"/>
        </w:tabs>
        <w:spacing w:line="240" w:lineRule="auto"/>
        <w:ind w:left="180" w:hanging="180"/>
        <w:jc w:val="both"/>
      </w:pPr>
      <w:r>
        <w:t>En el caso de vacunas por combinación de aprobación reciente, consúltense los datos del fabricante; las instrucciones quizá no coincidan con las de productos incluidos en este cuadro. Asimismo, cualquier modificación en la fórmula de los agentes inmunizantes disponibles puede alterar su aspecto, estabilidad y condiciones de almacenamiento. Es importante plantear al fabricante del producto en cuestión cualquier duda en cuanto a la estabilidad de los agentes biológicos sometidos a ambientes que pueden ser nocivos.</w:t>
      </w:r>
    </w:p>
    <w:p w14:paraId="1E9BE838" w14:textId="77777777" w:rsidR="0072615D" w:rsidRDefault="0072615D">
      <w:pPr>
        <w:pStyle w:val="Tablecaption0"/>
        <w:framePr w:w="11059" w:h="936" w:wrap="none" w:hAnchor="page" w:x="682" w:y="5853"/>
        <w:numPr>
          <w:ilvl w:val="0"/>
          <w:numId w:val="20"/>
        </w:numPr>
        <w:tabs>
          <w:tab w:val="left" w:pos="173"/>
        </w:tabs>
        <w:spacing w:line="240" w:lineRule="auto"/>
        <w:ind w:left="0"/>
        <w:jc w:val="both"/>
      </w:pPr>
      <w:r>
        <w:t>Respecto de dudas de la estabilidad, llamar al fabricante al 1-800-9-VARIVAX.</w:t>
      </w:r>
    </w:p>
    <w:p w14:paraId="5E287F70" w14:textId="77777777" w:rsidR="0072615D" w:rsidRDefault="0072615D">
      <w:pPr>
        <w:pStyle w:val="Other0"/>
        <w:framePr w:w="192" w:h="4219" w:hRule="exact" w:wrap="none" w:hAnchor="page" w:x="12390" w:y="2694"/>
        <w:tabs>
          <w:tab w:val="left" w:pos="4008"/>
        </w:tabs>
        <w:spacing w:line="240" w:lineRule="auto"/>
        <w:ind w:firstLine="0"/>
        <w:textDirection w:val="tbRl"/>
        <w:rPr>
          <w:sz w:val="16"/>
          <w:szCs w:val="16"/>
        </w:rPr>
      </w:pPr>
      <w:r>
        <w:rPr>
          <w:rFonts w:ascii="Arial" w:eastAsia="Arial" w:hAnsi="Arial" w:cs="Arial"/>
          <w:sz w:val="14"/>
          <w:szCs w:val="14"/>
        </w:rPr>
        <w:t>INMUNIZACIÓN ACTIVA</w:t>
      </w:r>
      <w:r>
        <w:rPr>
          <w:rFonts w:ascii="Arial" w:eastAsia="Arial" w:hAnsi="Arial" w:cs="Arial"/>
          <w:sz w:val="14"/>
          <w:szCs w:val="14"/>
        </w:rPr>
        <w:tab/>
      </w:r>
      <w:r>
        <w:rPr>
          <w:rFonts w:ascii="Arial" w:eastAsia="Arial" w:hAnsi="Arial" w:cs="Arial"/>
          <w:sz w:val="16"/>
          <w:szCs w:val="16"/>
        </w:rPr>
        <w:t>15</w:t>
      </w:r>
    </w:p>
    <w:p w14:paraId="52ADD662" w14:textId="77777777" w:rsidR="0072615D" w:rsidRDefault="0072615D">
      <w:pPr>
        <w:spacing w:line="360" w:lineRule="exact"/>
      </w:pPr>
    </w:p>
    <w:p w14:paraId="7206609D" w14:textId="77777777" w:rsidR="0072615D" w:rsidRDefault="0072615D">
      <w:pPr>
        <w:spacing w:line="360" w:lineRule="exact"/>
      </w:pPr>
    </w:p>
    <w:p w14:paraId="79B56044" w14:textId="77777777" w:rsidR="0072615D" w:rsidRDefault="0072615D">
      <w:pPr>
        <w:spacing w:line="360" w:lineRule="exact"/>
      </w:pPr>
    </w:p>
    <w:p w14:paraId="3E3B0D02" w14:textId="77777777" w:rsidR="0072615D" w:rsidRDefault="0072615D">
      <w:pPr>
        <w:spacing w:line="360" w:lineRule="exact"/>
      </w:pPr>
    </w:p>
    <w:p w14:paraId="7A6EECC0" w14:textId="77777777" w:rsidR="0072615D" w:rsidRDefault="0072615D">
      <w:pPr>
        <w:spacing w:line="360" w:lineRule="exact"/>
      </w:pPr>
    </w:p>
    <w:p w14:paraId="0C7D7897" w14:textId="77777777" w:rsidR="0072615D" w:rsidRDefault="0072615D">
      <w:pPr>
        <w:spacing w:line="360" w:lineRule="exact"/>
      </w:pPr>
    </w:p>
    <w:p w14:paraId="4487EFA1" w14:textId="77777777" w:rsidR="0072615D" w:rsidRDefault="0072615D">
      <w:pPr>
        <w:spacing w:line="360" w:lineRule="exact"/>
      </w:pPr>
    </w:p>
    <w:p w14:paraId="2E00C4DD" w14:textId="77777777" w:rsidR="0072615D" w:rsidRDefault="0072615D">
      <w:pPr>
        <w:spacing w:line="360" w:lineRule="exact"/>
      </w:pPr>
    </w:p>
    <w:p w14:paraId="6E8D0FCC" w14:textId="77777777" w:rsidR="0072615D" w:rsidRDefault="0072615D">
      <w:pPr>
        <w:spacing w:line="360" w:lineRule="exact"/>
      </w:pPr>
    </w:p>
    <w:p w14:paraId="34A40A2F" w14:textId="77777777" w:rsidR="0072615D" w:rsidRDefault="0072615D">
      <w:pPr>
        <w:spacing w:line="360" w:lineRule="exact"/>
      </w:pPr>
    </w:p>
    <w:p w14:paraId="14277755" w14:textId="77777777" w:rsidR="0072615D" w:rsidRDefault="0072615D">
      <w:pPr>
        <w:spacing w:line="360" w:lineRule="exact"/>
      </w:pPr>
    </w:p>
    <w:p w14:paraId="4919AB94" w14:textId="77777777" w:rsidR="0072615D" w:rsidRDefault="0072615D">
      <w:pPr>
        <w:spacing w:line="360" w:lineRule="exact"/>
      </w:pPr>
    </w:p>
    <w:p w14:paraId="78D83357" w14:textId="77777777" w:rsidR="0072615D" w:rsidRDefault="0072615D">
      <w:pPr>
        <w:spacing w:line="360" w:lineRule="exact"/>
      </w:pPr>
    </w:p>
    <w:p w14:paraId="193683FF" w14:textId="77777777" w:rsidR="0072615D" w:rsidRDefault="0072615D">
      <w:pPr>
        <w:spacing w:line="360" w:lineRule="exact"/>
      </w:pPr>
    </w:p>
    <w:p w14:paraId="5B729CFC" w14:textId="77777777" w:rsidR="0072615D" w:rsidRDefault="0072615D">
      <w:pPr>
        <w:spacing w:line="360" w:lineRule="exact"/>
      </w:pPr>
    </w:p>
    <w:p w14:paraId="56FD5719" w14:textId="77777777" w:rsidR="0072615D" w:rsidRDefault="0072615D">
      <w:pPr>
        <w:spacing w:line="360" w:lineRule="exact"/>
      </w:pPr>
    </w:p>
    <w:p w14:paraId="500334F8" w14:textId="77777777" w:rsidR="0072615D" w:rsidRDefault="0072615D">
      <w:pPr>
        <w:spacing w:line="360" w:lineRule="exact"/>
      </w:pPr>
    </w:p>
    <w:p w14:paraId="2613F499" w14:textId="77777777" w:rsidR="0072615D" w:rsidRDefault="0072615D">
      <w:pPr>
        <w:spacing w:line="360" w:lineRule="exact"/>
      </w:pPr>
    </w:p>
    <w:p w14:paraId="669B57A3" w14:textId="77777777" w:rsidR="0072615D" w:rsidRDefault="0072615D">
      <w:pPr>
        <w:spacing w:after="431" w:line="1" w:lineRule="exact"/>
      </w:pPr>
    </w:p>
    <w:p w14:paraId="707E020C" w14:textId="77777777" w:rsidR="0072615D" w:rsidRDefault="0072615D">
      <w:pPr>
        <w:spacing w:line="1" w:lineRule="exact"/>
        <w:sectPr w:rsidR="0072615D" w:rsidSect="0072615D">
          <w:headerReference w:type="even" r:id="rId56"/>
          <w:headerReference w:type="default" r:id="rId57"/>
          <w:footerReference w:type="even" r:id="rId58"/>
          <w:footerReference w:type="default" r:id="rId59"/>
          <w:footnotePr>
            <w:numFmt w:val="chicago"/>
          </w:footnotePr>
          <w:pgSz w:w="13022" w:h="8501" w:orient="landscape"/>
          <w:pgMar w:top="1085" w:right="441" w:bottom="304" w:left="638" w:header="657" w:footer="3" w:gutter="0"/>
          <w:cols w:space="720"/>
          <w:noEndnote/>
          <w:docGrid w:linePitch="360"/>
          <w15:footnoteColumns w:val="1"/>
        </w:sectPr>
      </w:pPr>
    </w:p>
    <w:p w14:paraId="2D216D8A" w14:textId="77777777" w:rsidR="0072615D" w:rsidRDefault="0072615D">
      <w:pPr>
        <w:pStyle w:val="BodyText"/>
        <w:spacing w:before="240" w:after="220"/>
        <w:ind w:firstLine="0"/>
      </w:pPr>
      <w:r>
        <w:t>EQUIPO</w:t>
      </w:r>
    </w:p>
    <w:p w14:paraId="7673FF40" w14:textId="77777777" w:rsidR="0072615D" w:rsidRDefault="0072615D">
      <w:pPr>
        <w:pStyle w:val="BodyText"/>
        <w:numPr>
          <w:ilvl w:val="0"/>
          <w:numId w:val="15"/>
        </w:numPr>
        <w:tabs>
          <w:tab w:val="left" w:pos="340"/>
        </w:tabs>
        <w:ind w:left="360" w:hanging="360"/>
      </w:pPr>
      <w:bookmarkStart w:id="122" w:name="bookmark122"/>
      <w:bookmarkEnd w:id="122"/>
      <w:r>
        <w:t>Es importante asegurar que los refrigeradores y congeladores donde se almacenen las vacunas funcionan de manera apropiada y cumplen con los requisitos de almacenamiento.</w:t>
      </w:r>
    </w:p>
    <w:p w14:paraId="5B143C53" w14:textId="77777777" w:rsidR="0072615D" w:rsidRDefault="0072615D">
      <w:pPr>
        <w:pStyle w:val="BodyText"/>
        <w:numPr>
          <w:ilvl w:val="0"/>
          <w:numId w:val="15"/>
        </w:numPr>
        <w:tabs>
          <w:tab w:val="left" w:pos="340"/>
        </w:tabs>
        <w:ind w:left="360" w:hanging="360"/>
      </w:pPr>
      <w:bookmarkStart w:id="123" w:name="bookmark123"/>
      <w:bookmarkEnd w:id="123"/>
      <w:r>
        <w:t>No se conectará el cable de los refrigeradores o congeladores a un tomacorriente con un interruptor con circuito “de flujo a tierra” ni a los activados por un interruptor de pared. Se utilizarán enchufes con protección (espiga triple) para evitar que accidentalmente se desprenda el enchufe.</w:t>
      </w:r>
    </w:p>
    <w:p w14:paraId="325B2295" w14:textId="77777777" w:rsidR="0072615D" w:rsidRDefault="0072615D">
      <w:pPr>
        <w:pStyle w:val="BodyText"/>
        <w:numPr>
          <w:ilvl w:val="0"/>
          <w:numId w:val="15"/>
        </w:numPr>
        <w:tabs>
          <w:tab w:val="left" w:pos="340"/>
        </w:tabs>
        <w:ind w:left="360" w:hanging="360"/>
      </w:pPr>
      <w:bookmarkStart w:id="124" w:name="bookmark124"/>
      <w:bookmarkEnd w:id="124"/>
      <w:r>
        <w:t>Se procurará que cada refrigerador o compartimiento de congelación cuente con un termómetro en el centro del compartimiento de almacenamiento; será necesario que sea un dispositivo calibrado de registro constante con lectura graficada o que indique</w:t>
      </w:r>
    </w:p>
    <w:p w14:paraId="6D4A6D37" w14:textId="77777777" w:rsidR="0072615D" w:rsidRDefault="0072615D">
      <w:pPr>
        <w:pStyle w:val="BodyText"/>
        <w:ind w:left="360" w:firstLine="0"/>
      </w:pPr>
      <w:r>
        <w:t>los extremos superior e inferior de la temperatura en un periodo de observación (termómetro “mínimo-máximo”). Con ellos se podrá saber si las vacunas han sido expuestas a temperaturas que pueden deteriorarlas. La colocación de tarjetas</w:t>
      </w:r>
      <w:r>
        <w:footnoteReference w:id="11"/>
      </w:r>
      <w:r>
        <w:t xml:space="preserve"> para vigilancia de la cadena de frío en los refrigeradores y congeladores para vacunas puede ayudar a detectar incrementos de temperatura que a veces son perjudiciales.</w:t>
      </w:r>
    </w:p>
    <w:p w14:paraId="5B4CD4EF" w14:textId="77777777" w:rsidR="0072615D" w:rsidRDefault="0072615D">
      <w:pPr>
        <w:pStyle w:val="BodyText"/>
        <w:numPr>
          <w:ilvl w:val="0"/>
          <w:numId w:val="15"/>
        </w:numPr>
        <w:tabs>
          <w:tab w:val="left" w:pos="340"/>
        </w:tabs>
        <w:ind w:left="360" w:hanging="360"/>
      </w:pPr>
      <w:bookmarkStart w:id="125" w:name="bookmark125"/>
      <w:bookmarkEnd w:id="125"/>
      <w:r>
        <w:t>Se conservará un registro periódico en que se incluyan sistemáticamente las lecturas diarias de temperatura y se anoten fecha, hora y duración de cualquier disfunción mecánica o interrupción de corriente eléctrica.</w:t>
      </w:r>
    </w:p>
    <w:p w14:paraId="2D91BBB4" w14:textId="77777777" w:rsidR="0072615D" w:rsidRDefault="0072615D">
      <w:pPr>
        <w:pStyle w:val="BodyText"/>
        <w:numPr>
          <w:ilvl w:val="0"/>
          <w:numId w:val="15"/>
        </w:numPr>
        <w:tabs>
          <w:tab w:val="left" w:pos="340"/>
        </w:tabs>
        <w:ind w:left="360" w:hanging="360"/>
      </w:pPr>
      <w:bookmarkStart w:id="126" w:name="bookmark126"/>
      <w:bookmarkEnd w:id="126"/>
      <w:r>
        <w:t>Se colocarán todos los frascos-ámpula abiertos de la vacuna en una bandeja del refrigerador. Para evitar confusiones y accidentes la misma bandeja no debe contener otros productos farmacéuticos.</w:t>
      </w:r>
    </w:p>
    <w:p w14:paraId="4ADAAAED" w14:textId="77777777" w:rsidR="0072615D" w:rsidRDefault="0072615D">
      <w:pPr>
        <w:pStyle w:val="BodyText"/>
        <w:numPr>
          <w:ilvl w:val="0"/>
          <w:numId w:val="15"/>
        </w:numPr>
        <w:tabs>
          <w:tab w:val="left" w:pos="340"/>
        </w:tabs>
        <w:spacing w:after="220"/>
        <w:ind w:left="360" w:hanging="360"/>
      </w:pPr>
      <w:bookmarkStart w:id="127" w:name="bookmark127"/>
      <w:bookmarkEnd w:id="127"/>
      <w:r>
        <w:t>Se procurará que los refrigeradores cuenten con varios frascos de agua helada y que los congeladores tengan algunas bandejas o bolsas con cubos de hielo para evitar un espacio vacío y así llevar al mínimo las fluctuaciones térmicas durante fallas eléctricas o mecánicas breves.</w:t>
      </w:r>
    </w:p>
    <w:p w14:paraId="41DC2B53" w14:textId="77777777" w:rsidR="0072615D" w:rsidRDefault="0072615D">
      <w:pPr>
        <w:pStyle w:val="BodyText"/>
        <w:spacing w:after="220"/>
        <w:ind w:firstLine="0"/>
      </w:pPr>
      <w:r>
        <w:t>MÉTODOS</w:t>
      </w:r>
    </w:p>
    <w:p w14:paraId="3676F834" w14:textId="77777777" w:rsidR="0072615D" w:rsidRDefault="0072615D">
      <w:pPr>
        <w:pStyle w:val="BodyText"/>
        <w:ind w:firstLine="360"/>
        <w:jc w:val="both"/>
      </w:pPr>
      <w:r>
        <w:t>Aceptación de la vacuna al recibir el envío:</w:t>
      </w:r>
    </w:p>
    <w:p w14:paraId="0D1CAFB2" w14:textId="77777777" w:rsidR="0072615D" w:rsidRDefault="0072615D">
      <w:pPr>
        <w:pStyle w:val="BodyText"/>
        <w:numPr>
          <w:ilvl w:val="0"/>
          <w:numId w:val="15"/>
        </w:numPr>
        <w:tabs>
          <w:tab w:val="left" w:pos="697"/>
        </w:tabs>
        <w:ind w:firstLine="360"/>
        <w:jc w:val="both"/>
      </w:pPr>
      <w:bookmarkStart w:id="128" w:name="bookmark128"/>
      <w:bookmarkEnd w:id="128"/>
      <w:r>
        <w:t>Asegurarse de que el producto entregado no ha rebasado la fecha de caducidad.</w:t>
      </w:r>
    </w:p>
    <w:p w14:paraId="208CFA1C" w14:textId="77777777" w:rsidR="0072615D" w:rsidRDefault="0072615D">
      <w:pPr>
        <w:pStyle w:val="BodyText"/>
        <w:numPr>
          <w:ilvl w:val="0"/>
          <w:numId w:val="15"/>
        </w:numPr>
        <w:tabs>
          <w:tab w:val="left" w:pos="697"/>
        </w:tabs>
        <w:ind w:left="700" w:hanging="340"/>
      </w:pPr>
      <w:bookmarkStart w:id="129" w:name="bookmark129"/>
      <w:bookmarkEnd w:id="129"/>
      <w:r>
        <w:t>Revisar la mercancía y el recipiente de envío en busca de signos de deterioro durante el transporte.</w:t>
      </w:r>
    </w:p>
    <w:p w14:paraId="5B63D1B9" w14:textId="77777777" w:rsidR="0072615D" w:rsidRDefault="0072615D">
      <w:pPr>
        <w:pStyle w:val="BodyText"/>
        <w:numPr>
          <w:ilvl w:val="0"/>
          <w:numId w:val="15"/>
        </w:numPr>
        <w:tabs>
          <w:tab w:val="left" w:pos="697"/>
        </w:tabs>
        <w:ind w:left="700" w:hanging="340"/>
      </w:pPr>
      <w:bookmarkStart w:id="130" w:name="bookmark130"/>
      <w:bookmarkEnd w:id="130"/>
      <w:r>
        <w:t>Considerar si el intervalo entre el embarque del distribuidor y la llegada del producto a su destino es excesivo (más de 48 h), o si el producto fue expuesto a calor o frío excesivos que pudieran alterar su integridad. Revisar las tarjetas de vigilancia de cadena de frío si se incluyeron en el envío de la vacuna.</w:t>
      </w:r>
    </w:p>
    <w:p w14:paraId="1F717FF9" w14:textId="77777777" w:rsidR="0072615D" w:rsidRDefault="0072615D">
      <w:pPr>
        <w:pStyle w:val="BodyText"/>
        <w:numPr>
          <w:ilvl w:val="0"/>
          <w:numId w:val="15"/>
        </w:numPr>
        <w:tabs>
          <w:tab w:val="left" w:pos="697"/>
        </w:tabs>
        <w:ind w:left="700" w:hanging="340"/>
      </w:pPr>
      <w:bookmarkStart w:id="131" w:name="bookmark131"/>
      <w:bookmarkEnd w:id="131"/>
      <w:r>
        <w:t>No aceptar el envío si se sospecha que el producto entregado sufrió daño por algún agente ambiental o por el manejo inapropiado durante el transporte.</w:t>
      </w:r>
    </w:p>
    <w:p w14:paraId="60473E29" w14:textId="77777777" w:rsidR="0072615D" w:rsidRDefault="0072615D">
      <w:pPr>
        <w:pStyle w:val="BodyText"/>
        <w:numPr>
          <w:ilvl w:val="0"/>
          <w:numId w:val="15"/>
        </w:numPr>
        <w:tabs>
          <w:tab w:val="left" w:pos="697"/>
        </w:tabs>
        <w:ind w:firstLine="360"/>
      </w:pPr>
      <w:bookmarkStart w:id="132" w:name="bookmark132"/>
      <w:bookmarkEnd w:id="132"/>
      <w:r>
        <w:t>Establecer contacto con el distribuidor de la vacuna o el fabricante en caso</w:t>
      </w:r>
    </w:p>
    <w:p w14:paraId="28288868" w14:textId="77777777" w:rsidR="0072615D" w:rsidRDefault="0072615D">
      <w:pPr>
        <w:pStyle w:val="BodyText"/>
        <w:ind w:left="700" w:firstLine="0"/>
      </w:pPr>
      <w:r>
        <w:t>de que en circunstancias especiales surjan dudas de la estabilidad de la vacuna entregada. Almacenar la vacuna sospechosa en un entorno adecuado hasta que se corrobore su viabilidad.</w:t>
      </w:r>
    </w:p>
    <w:p w14:paraId="3605CBA2" w14:textId="77777777" w:rsidR="0072615D" w:rsidRDefault="0072615D">
      <w:pPr>
        <w:pStyle w:val="BodyText"/>
        <w:ind w:firstLine="360"/>
        <w:jc w:val="both"/>
      </w:pPr>
      <w:r>
        <w:t>Inspección del refrigerador y el congelador:</w:t>
      </w:r>
    </w:p>
    <w:p w14:paraId="1761D521" w14:textId="77777777" w:rsidR="0072615D" w:rsidRDefault="0072615D">
      <w:pPr>
        <w:pStyle w:val="BodyText"/>
        <w:numPr>
          <w:ilvl w:val="0"/>
          <w:numId w:val="15"/>
        </w:numPr>
        <w:tabs>
          <w:tab w:val="left" w:pos="697"/>
        </w:tabs>
        <w:spacing w:after="220"/>
        <w:ind w:left="700" w:hanging="340"/>
      </w:pPr>
      <w:bookmarkStart w:id="133" w:name="bookmark133"/>
      <w:bookmarkEnd w:id="133"/>
      <w:r>
        <w:t>Medir diariamente la temperatura de la porción central del compartimiento de almacenamiento y anotarla en el registro diario. Si se cuenta con un</w:t>
      </w:r>
    </w:p>
    <w:p w14:paraId="1F3A0D36" w14:textId="77777777" w:rsidR="0072615D" w:rsidRDefault="0072615D">
      <w:pPr>
        <w:pStyle w:val="BodyText"/>
        <w:ind w:left="700" w:firstLine="0"/>
      </w:pPr>
      <w:r>
        <w:t>termómetro “mínimo-máximo”, registrar los extremos de fluctuación térmica y reajustarlo a la cifra inicial. La temperatura dentro del refrigerador debe conservarse entre 2 y 8°C y en el congelador debe ser como mínimo de —15°C.</w:t>
      </w:r>
    </w:p>
    <w:p w14:paraId="11198944" w14:textId="77777777" w:rsidR="0072615D" w:rsidRDefault="0072615D">
      <w:pPr>
        <w:pStyle w:val="BodyText"/>
        <w:numPr>
          <w:ilvl w:val="0"/>
          <w:numId w:val="21"/>
        </w:numPr>
        <w:tabs>
          <w:tab w:val="left" w:pos="698"/>
        </w:tabs>
        <w:ind w:left="700" w:hanging="340"/>
      </w:pPr>
      <w:bookmarkStart w:id="134" w:name="bookmark134"/>
      <w:bookmarkEnd w:id="134"/>
      <w:r>
        <w:t>Revisar cada semana la unidad en busca de frascos con vacuna caduca y emprender medidas de eliminación o devolución apropiadas de los productos caducos.</w:t>
      </w:r>
    </w:p>
    <w:p w14:paraId="1BB3B578" w14:textId="77777777" w:rsidR="0072615D" w:rsidRDefault="0072615D">
      <w:pPr>
        <w:pStyle w:val="BodyText"/>
        <w:ind w:firstLine="360"/>
      </w:pPr>
      <w:r>
        <w:t>Métodos habituales:</w:t>
      </w:r>
    </w:p>
    <w:p w14:paraId="5845862C" w14:textId="77777777" w:rsidR="0072615D" w:rsidRDefault="0072615D">
      <w:pPr>
        <w:pStyle w:val="BodyText"/>
        <w:numPr>
          <w:ilvl w:val="0"/>
          <w:numId w:val="21"/>
        </w:numPr>
        <w:tabs>
          <w:tab w:val="left" w:pos="698"/>
        </w:tabs>
        <w:ind w:left="700" w:hanging="340"/>
      </w:pPr>
      <w:bookmarkStart w:id="135" w:name="bookmark135"/>
      <w:bookmarkEnd w:id="135"/>
      <w:r>
        <w:t>Almacenar las vacunas según las temperaturas recomendadas por el fabricante en las instrucciones que las acompañan.</w:t>
      </w:r>
    </w:p>
    <w:p w14:paraId="7E392E0E" w14:textId="77777777" w:rsidR="0072615D" w:rsidRDefault="0072615D">
      <w:pPr>
        <w:pStyle w:val="BodyText"/>
        <w:numPr>
          <w:ilvl w:val="0"/>
          <w:numId w:val="21"/>
        </w:numPr>
        <w:tabs>
          <w:tab w:val="left" w:pos="698"/>
        </w:tabs>
        <w:ind w:left="700" w:hanging="340"/>
      </w:pPr>
      <w:bookmarkStart w:id="136" w:name="bookmark136"/>
      <w:bookmarkEnd w:id="136"/>
      <w:r>
        <w:t>Retirar de inmediato las vacunas caducas del refrigerador o el congelador y desecharlas adecuadamente para evitar su empleo accidental.</w:t>
      </w:r>
    </w:p>
    <w:p w14:paraId="72A8DAC0" w14:textId="77777777" w:rsidR="0072615D" w:rsidRDefault="0072615D">
      <w:pPr>
        <w:pStyle w:val="BodyText"/>
        <w:numPr>
          <w:ilvl w:val="0"/>
          <w:numId w:val="21"/>
        </w:numPr>
        <w:tabs>
          <w:tab w:val="left" w:pos="698"/>
        </w:tabs>
        <w:ind w:left="700" w:hanging="340"/>
      </w:pPr>
      <w:bookmarkStart w:id="137" w:name="bookmark137"/>
      <w:bookmarkEnd w:id="137"/>
      <w:r>
        <w:t>Conservar los frascos de vacuna abiertos en una bandeja para que se puedan identificar fácilmente.</w:t>
      </w:r>
    </w:p>
    <w:p w14:paraId="52DCE7C4" w14:textId="77777777" w:rsidR="0072615D" w:rsidRDefault="0072615D">
      <w:pPr>
        <w:pStyle w:val="BodyText"/>
        <w:numPr>
          <w:ilvl w:val="0"/>
          <w:numId w:val="21"/>
        </w:numPr>
        <w:tabs>
          <w:tab w:val="left" w:pos="698"/>
        </w:tabs>
        <w:ind w:left="700" w:hanging="340"/>
      </w:pPr>
      <w:bookmarkStart w:id="138" w:name="bookmark138"/>
      <w:bookmarkEnd w:id="138"/>
      <w:r>
        <w:t>Indicar en la etiqueta de cada frasco-ámpula la fecha y la hora en que se le reconstituyó o se abrió por primera vez.</w:t>
      </w:r>
    </w:p>
    <w:p w14:paraId="7FB43951" w14:textId="77777777" w:rsidR="0072615D" w:rsidRDefault="0072615D">
      <w:pPr>
        <w:pStyle w:val="BodyText"/>
        <w:numPr>
          <w:ilvl w:val="0"/>
          <w:numId w:val="21"/>
        </w:numPr>
        <w:tabs>
          <w:tab w:val="left" w:pos="698"/>
        </w:tabs>
        <w:ind w:left="700" w:hanging="340"/>
      </w:pPr>
      <w:bookmarkStart w:id="139" w:name="bookmark139"/>
      <w:bookmarkEnd w:id="139"/>
      <w:r>
        <w:t>No reconstituir dosis múltiples de vacuna o extraer dichas dosis de la misma en múltiples jeringas antes del empleo inmediato. Extraer previamente la vacuna incrementa la posibilidad de confundirse y la incertidumbre de su estabilidad.</w:t>
      </w:r>
    </w:p>
    <w:p w14:paraId="4007E6F1" w14:textId="77777777" w:rsidR="0072615D" w:rsidRDefault="0072615D">
      <w:pPr>
        <w:pStyle w:val="BodyText"/>
        <w:ind w:left="700" w:firstLine="0"/>
      </w:pPr>
      <w:r>
        <w:t xml:space="preserve">Utilizar jeringuillas precargadas con una sola dosis para evitar la contaminación de frascos con dosis múltiples y errores en el etiquetado de las jeringuillas. Descartar vacunas reconstituidas de virus vivos y de otros tipos si no se utilizaron dentro del intervalo especificado en las recomendaciones del fabricante. Entre los ejemplos estarían la vacuna de la varicela (después de 30 min), la vacuna MMR (después de 8 h) y PedvaxHIB (proteína de membrana externa de meningococo-fosfato de polirribosil-ribitol </w:t>
      </w:r>
      <w:r>
        <w:rPr>
          <w:i/>
          <w:iCs/>
        </w:rPr>
        <w:t>[</w:t>
      </w:r>
      <w:r>
        <w:rPr>
          <w:rFonts w:ascii="Times New Roman" w:eastAsia="Times New Roman" w:hAnsi="Times New Roman" w:cs="Times New Roman"/>
          <w:i/>
          <w:iCs/>
          <w:sz w:val="16"/>
          <w:szCs w:val="16"/>
        </w:rPr>
        <w:t>polyribosyl-ribitol-phosphate-meningococcal outer membrane protein</w:t>
      </w:r>
      <w:r>
        <w:rPr>
          <w:i/>
          <w:iCs/>
        </w:rPr>
        <w:t>,</w:t>
      </w:r>
      <w:r>
        <w:t xml:space="preserve"> PRP-OMP]) después de 24 h (véase </w:t>
      </w:r>
      <w:r>
        <w:rPr>
          <w:i/>
          <w:iCs/>
        </w:rPr>
        <w:t>“</w:t>
      </w:r>
      <w:r>
        <w:rPr>
          <w:rFonts w:ascii="Times New Roman" w:eastAsia="Times New Roman" w:hAnsi="Times New Roman" w:cs="Times New Roman"/>
          <w:i/>
          <w:iCs/>
          <w:sz w:val="16"/>
          <w:szCs w:val="16"/>
        </w:rPr>
        <w:t>Haemophilus influenzae</w:t>
      </w:r>
      <w:r>
        <w:rPr>
          <w:i/>
          <w:iCs/>
        </w:rPr>
        <w:t>,</w:t>
      </w:r>
      <w:r>
        <w:t xml:space="preserve"> infecciones”, sección 3), y todas ellas deben ser refrigeradas después de reconstituidas.</w:t>
      </w:r>
    </w:p>
    <w:p w14:paraId="0A33719D" w14:textId="77777777" w:rsidR="0072615D" w:rsidRDefault="0072615D">
      <w:pPr>
        <w:pStyle w:val="BodyText"/>
        <w:ind w:left="700" w:firstLine="0"/>
      </w:pPr>
      <w:r>
        <w:t>Almacenar siempre las vacunas en el refrigerador, incluido todo el lapso de trabajo en el consultorio.</w:t>
      </w:r>
    </w:p>
    <w:p w14:paraId="729A4124" w14:textId="77777777" w:rsidR="0072615D" w:rsidRDefault="0072615D">
      <w:pPr>
        <w:pStyle w:val="BodyText"/>
        <w:ind w:firstLine="700"/>
      </w:pPr>
      <w:r>
        <w:t>No abrir más de un frasco-ámpula de la vacuna específica a la vez.</w:t>
      </w:r>
    </w:p>
    <w:p w14:paraId="22C1E942" w14:textId="77777777" w:rsidR="0072615D" w:rsidRDefault="0072615D">
      <w:pPr>
        <w:pStyle w:val="BodyText"/>
        <w:ind w:left="700" w:firstLine="0"/>
      </w:pPr>
      <w:r>
        <w:t>Almacenar la vacuna sólo en el área de almacenamiento central del refrigerador y no en el anaquel de la puerta o en zonas periféricas en que las fluctuaciones térmicas son mayores.</w:t>
      </w:r>
    </w:p>
    <w:p w14:paraId="041E411A" w14:textId="77777777" w:rsidR="0072615D" w:rsidRDefault="0072615D">
      <w:pPr>
        <w:pStyle w:val="BodyText"/>
        <w:ind w:left="700" w:firstLine="0"/>
      </w:pPr>
      <w:r>
        <w:t>No se guardarán alimentos ni bebidas en los refrigeradores que almacenan las vacunas; de esta manera se abrirá con menos frecuencia la unidad y disminuirán las posibilidades de inestabilidad térmica.</w:t>
      </w:r>
    </w:p>
    <w:p w14:paraId="17B437CC" w14:textId="77777777" w:rsidR="0072615D" w:rsidRDefault="0072615D">
      <w:pPr>
        <w:pStyle w:val="BodyText"/>
        <w:ind w:left="700" w:firstLine="0"/>
      </w:pPr>
      <w:r>
        <w:t>No se almacenarán materiales radiactivos en el mismo refrigerador en que están las vacunas.</w:t>
      </w:r>
    </w:p>
    <w:p w14:paraId="77CD4D2C" w14:textId="77777777" w:rsidR="0072615D" w:rsidRDefault="0072615D">
      <w:pPr>
        <w:pStyle w:val="BodyText"/>
        <w:ind w:left="700" w:firstLine="0"/>
      </w:pPr>
      <w:r>
        <w:t>Se señalará a todo el personal clínico o del consultorio las violaciones del protocolo de manejo o cualquier problema accidental de almacenamiento (como interrupción de la corriente eléctrica) y se establecerá contacto con los distribuidores en busca de información sobre la forma de manejar las vacunas afectadas.</w:t>
      </w:r>
    </w:p>
    <w:p w14:paraId="1A167671" w14:textId="77777777" w:rsidR="0072615D" w:rsidRDefault="0072615D">
      <w:pPr>
        <w:pStyle w:val="BodyText"/>
        <w:spacing w:after="100"/>
        <w:ind w:left="700" w:firstLine="0"/>
      </w:pPr>
      <w:r>
        <w:t>Se elaborará un plan de almacenamiento de emergencia de vacunas en caso de una catástrofe. El personal del consultorio debe contar con reglas escritas que definan la forma de empaque y transporte de las vacunas. Los productos que han sido expuestos a temperaturas que rebasan los límites recomendados de almacenamiento pueden ser ineficaces. En caso de que haya interrupción larga del suministro de corriente eléctrica (más de 4 h), es necesario empacar las vacunas en cajas especiales aisladas y llevarlas a un sitio en que puedan conservarse las temperaturas apropiadas de almacenamiento. El personal del consultorio debe conocer los demás sitios de almacenamiento y recibir instrucción de las técnicas precisas para almacenar y transportar vacunas y así impedir el calentamiento de vacunas que deben estar refrigeradas o congeladas, y también evitar la congelación de vacunas que necesitan sólo ser refrigeradas (cuadro 1-4).</w:t>
      </w:r>
    </w:p>
    <w:p w14:paraId="6ACA7E6D" w14:textId="77777777" w:rsidR="0072615D" w:rsidRDefault="0072615D">
      <w:pPr>
        <w:pStyle w:val="Bodytext70"/>
      </w:pPr>
      <w:r>
        <w:t>Administración de vacunas</w:t>
      </w:r>
    </w:p>
    <w:p w14:paraId="75611055" w14:textId="77777777" w:rsidR="0072615D" w:rsidRDefault="0072615D">
      <w:pPr>
        <w:pStyle w:val="BodyText"/>
        <w:spacing w:after="240"/>
        <w:ind w:firstLine="0"/>
      </w:pPr>
      <w:r>
        <w:t>INSTRUCCIONES GENERALES PARA PERSONAS QUE ADMINISTRAN LAS VACUNAS</w:t>
      </w:r>
    </w:p>
    <w:p w14:paraId="27BC8D15" w14:textId="77777777" w:rsidR="0072615D" w:rsidRDefault="0072615D">
      <w:pPr>
        <w:pStyle w:val="BodyText"/>
        <w:spacing w:line="271" w:lineRule="auto"/>
        <w:ind w:firstLine="0"/>
      </w:pPr>
      <w:r>
        <w:t xml:space="preserve">El personal que administra vacunas debe seguir precauciones apropiadas para llevar al mínimo el peligro de diseminar la enfermedad a otros pacientes o de ellos a otras personas. Se debe practicar la higiene de las manos antes y después de cada contacto con un paciente nuevo. Cuando se administran vacunas no se necesitan guantes, salvo que el profesional asistencial tenga algunas lesiones abiertas en la mano o entre en contacto con líquidos corporales que pueden estar infectados. Las jeringuillas y las agujas deben ser estériles, de preferencia desechables. Para evitar los pinchazos accidentales de agujas o la repetición de su uso es importante no colocar de nuevo la capucha o caperuza a la aguja después de usada, y habrá que descartar inmediatamente agujas y jeringuillas desechables en recipientes etiquetados a prueba de pinchazos. No es necesario cambiar la aguja que se usó para extraer la vacuna del frasco y de ahí a la jeringuilla y la que se usa para inyectar el producto al niño. Tampoco se mezclarán vacunas diferentes en la misma jeringuilla, salvo que haya una aprobación específica y la etiqueta lo indique. Se cuenta con dispositivos de aguja aprobados por la </w:t>
      </w:r>
      <w:r>
        <w:rPr>
          <w:rFonts w:ascii="Times New Roman" w:eastAsia="Times New Roman" w:hAnsi="Times New Roman" w:cs="Times New Roman"/>
          <w:i/>
          <w:iCs/>
          <w:sz w:val="16"/>
          <w:szCs w:val="16"/>
        </w:rPr>
        <w:t>Occupational Safety and Health Administration</w:t>
      </w:r>
      <w:r>
        <w:rPr>
          <w:i/>
          <w:iCs/>
        </w:rPr>
        <w:t>.</w:t>
      </w:r>
    </w:p>
    <w:p w14:paraId="077D3061" w14:textId="77777777" w:rsidR="0072615D" w:rsidRDefault="0072615D">
      <w:pPr>
        <w:pStyle w:val="BodyText"/>
        <w:ind w:firstLine="360"/>
      </w:pPr>
      <w:r>
        <w:t>Ante la posibilidad de que muestren hipersensibilidad a los componentes de la vacuna, quienes la reciben, las personas que las administran o que aplican otros productos biológicos deben estar preparados para identificar y combatir reacciones alérgicas, incluida la anafilaxia (véase más adelante en esta sección “Reacciones de hipersensibilidad a los constituyentes de la vacuna”). Es importante contar con instalaciones y personal adecuados para tratar inmediatamente reacciones de hipersensibilidad; la recomendación anterior no impide la administración de vacunas en escuelas o en otros entornos no clínicos. En la medida de lo posible habrá que observar al paciente en busca de una reacción alérgica, durante 15 a 20 min después de recibir la vacuna o vacunas.</w:t>
      </w:r>
    </w:p>
    <w:p w14:paraId="68B5B33B" w14:textId="77777777" w:rsidR="0072615D" w:rsidRDefault="0072615D">
      <w:pPr>
        <w:pStyle w:val="BodyText"/>
        <w:spacing w:after="100"/>
        <w:ind w:firstLine="360"/>
        <w:sectPr w:rsidR="0072615D" w:rsidSect="0072615D">
          <w:headerReference w:type="even" r:id="rId60"/>
          <w:headerReference w:type="default" r:id="rId61"/>
          <w:footerReference w:type="even" r:id="rId62"/>
          <w:footerReference w:type="default" r:id="rId63"/>
          <w:footnotePr>
            <w:numFmt w:val="chicago"/>
          </w:footnotePr>
          <w:pgSz w:w="8501" w:h="13022"/>
          <w:pgMar w:top="659" w:right="748" w:bottom="521" w:left="832" w:header="0" w:footer="3" w:gutter="0"/>
          <w:cols w:space="720"/>
          <w:noEndnote/>
          <w:docGrid w:linePitch="360"/>
          <w15:footnoteColumns w:val="1"/>
        </w:sectPr>
      </w:pPr>
      <w:r>
        <w:t xml:space="preserve">A veces, después de la aplicación de la vacuna puede surgir un síncope, particularmente en adolescentes y adultos jóvenes. El personal debe captar las manifestaciones presincopales y emprender medidas adecuadas para evitar lesiones en caso de que surjan debilidad, mareo o inconsciencia. El inicio relativamente rápido del síncope en casi todos los casos sugiere que es posible contrarrestar muchos episodios sincopales y lesiones secundarias si se pide a quien recibe la vacuna que se siente o acueste durante 15 min después de la aplicación del producto. En caso </w:t>
      </w:r>
    </w:p>
    <w:p w14:paraId="1DA9CEE7" w14:textId="77777777" w:rsidR="0072615D" w:rsidRDefault="0072615D">
      <w:pPr>
        <w:pStyle w:val="BodyText"/>
        <w:spacing w:after="100"/>
        <w:ind w:firstLine="0"/>
      </w:pPr>
      <w:r>
        <w:t>que han sido expuestos a temperaturas que rebasan los límites recomendados de almacenamiento pueden ser ineficaces. En caso de que haya interrupción larga del suministro de corriente eléctrica (más de 4 h), es necesario empacar las vacunas en cajas especiales aisladas y llevarlas a un sitio en que puedan conservarse las temperaturas apropiadas de almacenamiento. El personal del consultorio debe conocer los demás sitios de almacenamiento y recibir instrucción de las técnicas precisas para almacenar y transportar vacunas y así impedir el calentamiento de vacunas que deben estar refrigeradas o congeladas, y también evitar la congelación de vacunas que necesitan sólo ser refrigeradas (cuadro 1-4).</w:t>
      </w:r>
    </w:p>
    <w:p w14:paraId="1673400C" w14:textId="77777777" w:rsidR="0072615D" w:rsidRDefault="0072615D">
      <w:pPr>
        <w:pStyle w:val="Bodytext70"/>
      </w:pPr>
      <w:r>
        <w:t>Administración de vacunas</w:t>
      </w:r>
    </w:p>
    <w:p w14:paraId="5E6CD4D0" w14:textId="77777777" w:rsidR="0072615D" w:rsidRDefault="0072615D">
      <w:pPr>
        <w:pStyle w:val="BodyText"/>
        <w:spacing w:after="240"/>
        <w:ind w:firstLine="0"/>
      </w:pPr>
      <w:r>
        <w:t>INSTRUCCIONES GENERALES PARA PERSONAS QUE ADMINISTRAN LAS VACUNAS</w:t>
      </w:r>
    </w:p>
    <w:p w14:paraId="102D2235" w14:textId="77777777" w:rsidR="0072615D" w:rsidRDefault="0072615D">
      <w:pPr>
        <w:pStyle w:val="BodyText"/>
        <w:spacing w:line="271" w:lineRule="auto"/>
        <w:ind w:firstLine="0"/>
      </w:pPr>
      <w:r>
        <w:t xml:space="preserve">El personal que administra vacunas debe seguir precauciones apropiadas para llevar al mínimo el peligro de diseminar la enfermedad a otros pacientes o de ellos a otras personas. Se debe practicar la higiene de las manos antes y después de cada contacto con un paciente nuevo. Cuando se administran vacunas no se necesitan guantes, salvo que el profesional asistencial tenga algunas lesiones abiertas en la mano o entre en contacto con líquidos corporales que pueden estar infectados. Las jeringuillas y las agujas deben ser estériles, de preferencia desechables. Para evitar los pinchazos accidentales de agujas o la repetición de su uso es importante no colocar de nuevo la capucha o caperuza a la aguja después de usada, y habrá que descartar inmediatamente agujas y jeringuillas desechables en recipientes etiquetados a prueba de pinchazos. No es necesario cambiar la aguja que se usó para extraer la vacuna del frasco y de ahí a la jeringuilla y la que se usa para inyectar el producto al niño. Tampoco se mezclarán vacunas diferentes en la misma jeringuilla, salvo que haya una aprobación específica y la etiqueta lo indique. Se cuenta con dispositivos de aguja aprobados por la </w:t>
      </w:r>
      <w:r>
        <w:rPr>
          <w:rFonts w:ascii="Times New Roman" w:eastAsia="Times New Roman" w:hAnsi="Times New Roman" w:cs="Times New Roman"/>
          <w:i/>
          <w:iCs/>
          <w:sz w:val="16"/>
          <w:szCs w:val="16"/>
        </w:rPr>
        <w:t>Occupational Safety and Health Administration</w:t>
      </w:r>
      <w:r>
        <w:rPr>
          <w:i/>
          <w:iCs/>
        </w:rPr>
        <w:t>.</w:t>
      </w:r>
    </w:p>
    <w:p w14:paraId="2E85FB49" w14:textId="77777777" w:rsidR="0072615D" w:rsidRDefault="0072615D">
      <w:pPr>
        <w:pStyle w:val="BodyText"/>
        <w:ind w:firstLine="360"/>
      </w:pPr>
      <w:r>
        <w:t>Ante la posibilidad de que muestren hipersensibilidad a los componentes de la vacuna, quienes la reciben, las personas que las administran o que aplican otros productos biológicos deben estar preparados para identificar y combatir reacciones alérgicas, incluida la anafilaxia (véase más adelante en esta sección “Reacciones de hipersensibilidad a los constituyentes de la vacuna”). Es importante contar con instalaciones y personal adecuados para tratar inmediatamente reacciones de hipersensibilidad; la recomendación anterior no impide la administración de vacunas en escuelas o en otros entornos no clínicos. En la medida de lo posible habrá que observar al paciente en busca de una reacción alérgica, durante 15 a 20 min después de recibir la vacuna o vacunas.</w:t>
      </w:r>
    </w:p>
    <w:p w14:paraId="6505E38D" w14:textId="77777777" w:rsidR="0072615D" w:rsidRDefault="0072615D">
      <w:pPr>
        <w:pStyle w:val="BodyText"/>
        <w:spacing w:after="220"/>
        <w:ind w:firstLine="360"/>
      </w:pPr>
      <w:r>
        <w:t>A veces, después de la aplicación de la vacuna puede surgir un síncope, particularmente en adolescentes y adultos jóvenes. El personal debe captar las manifestaciones presincopales y emprender medidas adecuadas para evitar lesiones en caso de que surjan debilidad, mareo o inconsciencia. El inicio relativamente rápido del síncope en casi todos los casos sugiere que es posible contrarrestar muchos episodios sincopales y lesiones secundarias si se pide a quien recibe la vacuna que se siente o acueste durante 15 min después de la aplicación del producto. En caso de sufrir síncope habrá que observar a la persona hasta que esté asintomática.</w:t>
      </w:r>
    </w:p>
    <w:p w14:paraId="2DF795BB" w14:textId="77777777" w:rsidR="0072615D" w:rsidRDefault="0072615D">
      <w:pPr>
        <w:pStyle w:val="BodyText"/>
        <w:spacing w:after="220"/>
        <w:ind w:firstLine="0"/>
      </w:pPr>
      <w:r>
        <w:t>SITIO Y VÍA DE INMUNIZACIÓN (ACTIVA Y PASIVA)</w:t>
      </w:r>
    </w:p>
    <w:p w14:paraId="0E37E3EE"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Vacunas ingeribles (orales).</w:t>
      </w:r>
      <w:r>
        <w:t xml:space="preserve"> El amamantamiento no interfiere en la inmunización satisfactoria con vacunas de este tipo (como OPV). Vomitar en los 10 min posteriores a la ingestión de la dosis es una indicación para volver a administrarla. Si el pequeño no retiene la segunda dosis, no se contará ninguna de las dos y se intentará de nuevo la administración. En Estados Unidos no se recomienda el uso de vacunas de este tipo para la inmunización de rutina.</w:t>
      </w:r>
    </w:p>
    <w:p w14:paraId="112FCF65"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Vacunasparenterales.</w:t>
      </w:r>
      <w:r>
        <w:rPr>
          <w:rFonts w:ascii="Times New Roman" w:eastAsia="Times New Roman" w:hAnsi="Times New Roman" w:cs="Times New Roman"/>
          <w:b/>
          <w:bCs/>
          <w:i/>
          <w:iCs/>
          <w:sz w:val="16"/>
          <w:szCs w:val="16"/>
        </w:rPr>
        <w:footnoteReference w:id="12"/>
      </w:r>
      <w:r>
        <w:t xml:space="preserve"> Los productos inyectables deben aplicarse en un sitio en que no exista en absoluto la posibilidad de algún riesgo de lesión local de nervios, vasos o tejidos. Los datos no justifican la recomendación de un solo sitio preferido para todas las inyecciones, y muchas de las recomendaciones de los fabricantes permiten flexibilidad en cuanto al sitio de inyección. Los sitios preferidos para las vacunas de aplicación subcutánea o intramuscular incluyen la cara anteroexterna de la mitad superior del muslo y la zona deltoidea en el brazo.</w:t>
      </w:r>
    </w:p>
    <w:p w14:paraId="7234166D" w14:textId="77777777" w:rsidR="0072615D" w:rsidRDefault="0072615D">
      <w:pPr>
        <w:pStyle w:val="BodyText"/>
        <w:ind w:firstLine="360"/>
      </w:pPr>
      <w:r>
        <w:t>Las vías recomendadas de administración se incluyen en los lineamientos del fabricante y se señalan en el cuadro 1-3. La recomendación se basa en estudios que se han hecho para demostrar la inocuidad y eficacia máximas. Para llevar al mínimo los efectos locales o sistémicos adversos y asegurar eficacia óptima del método de inmunización, habrá que administrar las vacunas por la vía recomendada.</w:t>
      </w:r>
    </w:p>
    <w:p w14:paraId="534D5167" w14:textId="77777777" w:rsidR="0072615D" w:rsidRDefault="0072615D">
      <w:pPr>
        <w:pStyle w:val="BodyText"/>
        <w:ind w:firstLine="360"/>
      </w:pPr>
      <w:r>
        <w:t>En el caso de inyecciones intramusculares (IM), el sitio escogido se basa en el volumen del material inyectado y la masa del músculo. En pequeños menores de un año (lactantes), el sitio preferido es la cara anteroexterna del muslo por tener la mayor masa muscular. En niños de mayor edad, el deltoides suele tener el volumen suficiente para inyectar en él la vacuna IM. En los preescolares, algunos médicos prefieren los músculos de la cara anteroexterna del muslo. Sin embargo, los padres y los niños suelen preferir el deltoides para la inmunización a los 18 meses de vida y en niños mayores porque se acompaña de menor dolor en la extremidad afectada al caminar.</w:t>
      </w:r>
    </w:p>
    <w:p w14:paraId="5838B55B" w14:textId="77777777" w:rsidR="0072615D" w:rsidRDefault="0072615D">
      <w:pPr>
        <w:pStyle w:val="BodyText"/>
        <w:ind w:firstLine="360"/>
      </w:pPr>
      <w:r>
        <w:t>Por lo común, es mejor no utilizar para inmunización activa la porción superoexterna de los glúteos porque tal región está cubierta por una capa importante de grasa subcutánea y por la posibilidad de lesionar el nervio ciático. Sin embargo, es escasa la información clínica del empleo de tal zona. Ante la menor capacidad inmunógena, será mejor no aplicar las vacunas de hepatitis B y antirrábica en los glúteos en personas de todas las edades. Es importante evaluar la inmunidad de los individuos a quienes se aplicó la vacuna de hepatitis B en los glúteos y vacunar de nuevo si la concentración de anticuerpos es insuficiente (véase “Hepatitis B”, sección 3).</w:t>
      </w:r>
    </w:p>
    <w:p w14:paraId="12925534" w14:textId="77777777" w:rsidR="0072615D" w:rsidRDefault="0072615D">
      <w:pPr>
        <w:pStyle w:val="BodyText"/>
        <w:ind w:firstLine="360"/>
      </w:pPr>
      <w:r>
        <w:t>Cuando se utiliza el cuadrante superoexterno de los glúteos para inmunización pasiva con grandes volúmenes del producto, como sería la administración IM de un gran volumen de concentrado inmunoglobulínico (Ig), se tomarán medidas para no lesionar el nervio ciático. El sitio escogido debe estar dentro de la masa superoexterna del glúteo mayor, lejos de la región central de los glúteos, y hay que dirigir la aguja en sentido anterior, es decir, si el niño está sobre su vientre la aguja se dirigirá en sentido perpendicular a la superficie de la mesa y no en sentido perpendicular al plano de la piel. El sitio ventroglúteo quizá no conlleve tanto peligro para la inyección IM porque no posee grandes vasos o nervios; dicho sitio está en el centro de un triángulo en el cual sus límites son la espina iliaca anterosuperior, el tubérculo de la cresta iliaca y el borde superior del trocánter mayor.</w:t>
      </w:r>
    </w:p>
    <w:p w14:paraId="12DB6A02" w14:textId="77777777" w:rsidR="0072615D" w:rsidRDefault="0072615D">
      <w:pPr>
        <w:pStyle w:val="BodyText"/>
        <w:ind w:firstLine="360"/>
      </w:pPr>
      <w:r>
        <w:t xml:space="preserve">Se necesita inyectar en un plano profundo dentro de la masa muscular, las vacunas que contienen aditivos (como DTaP adsorbida en aluminio, toxoides diftérico y tetánico en niños menores de siete años [DT], los mismos toxoides para niños de siete años o mayores y adultos [Td], y vacunas contra hepatitis B y A). No se aplicarán por vía subcutánea ni intracutánea porque pueden ocasionar irritación local, inflamación, formación de granuloma y al final necrosis tisular. Los concentrados inmunoglobulínicos solos, contra la rabia </w:t>
      </w:r>
      <w:r>
        <w:rPr>
          <w:i/>
          <w:iCs/>
        </w:rPr>
        <w:t>(</w:t>
      </w:r>
      <w:r>
        <w:rPr>
          <w:rFonts w:ascii="Times New Roman" w:eastAsia="Times New Roman" w:hAnsi="Times New Roman" w:cs="Times New Roman"/>
          <w:i/>
          <w:iCs/>
          <w:sz w:val="16"/>
          <w:szCs w:val="16"/>
        </w:rPr>
        <w:t>rabies immune globulin</w:t>
      </w:r>
      <w:r>
        <w:rPr>
          <w:i/>
          <w:iCs/>
        </w:rPr>
        <w:t>,</w:t>
      </w:r>
      <w:r>
        <w:t xml:space="preserve"> RIG) y contra hepatitis B, así como otros productos similares usados para la inmunoprofilaxia pasiva también se inyectan por vía intramuscular, excepto cuando RIG se infiltra alrededor del sitio de una mordedura.</w:t>
      </w:r>
    </w:p>
    <w:p w14:paraId="067E9876" w14:textId="77777777" w:rsidR="0072615D" w:rsidRDefault="0072615D">
      <w:pPr>
        <w:pStyle w:val="BodyText"/>
        <w:ind w:firstLine="360"/>
      </w:pPr>
      <w:r>
        <w:t>Las agujas utilizadas en inyecciones IM deben tener la longitud suficiente para penetrar en la masa muscular y así evitar que la vacuna se infiltre en el tejido subcutáneo y reducir al mínimo las reacciones locales; tampoco serán excesivamente largas como para lesionar nervios, vasos sanguíneos o huesos subyacentes. En el caso de los neonatos, en particular los pretérmino, por lo común basta una aguja de 1.5 cm de largo. Se recomienda una aguja de 2.1 o 2.5 cm para asegurar la penetración de los músculos del muslo en productos a término de dos a 12 meses de edad. En el caso de inyección en el muslo o el músculo deltoides en preescolares y niños de mayor edad, se sugiere usar agujas de 2.1 cm a 3.1 cm según el volumen del músculo. Se prefiere el deltoides para la inmunización de adolescentes y adultos jóvenes. La aguja debe tener 2.5 a 5 cm de largo según el peso de quien recibe la vacuna (2.5 cm para mujeres que pesan menos de 70 kg; 3.6 cm en mujeres de 70 a 100 kg; 2.5 a 3.6 cm para varones de 120 kg o que pesan menos y 5 cm para varones que pesan más de tal cifra y mujeres cuyo peso rebasa los 100 kg). En el caso de casi todas las vacunas IM conviene usar una aguja de calibre 22 o 25 para su inyección.</w:t>
      </w:r>
    </w:p>
    <w:p w14:paraId="41AB9027" w14:textId="77777777" w:rsidR="0072615D" w:rsidRDefault="0072615D">
      <w:pPr>
        <w:pStyle w:val="BodyText"/>
        <w:ind w:firstLine="360"/>
      </w:pPr>
      <w:r>
        <w:t>Rara vez surgen complicaciones graves de las inyecciones intramusculares. Entre las notificadas están rotura de agujas, contractura de músculos, lesión de nervios, abscesos bacterianos (por estafilococos, estreptococos y clostridios), abscesos estériles, manchas de la piel, hemorragia, celulitis, necrosis tisular, gangrena, atrofia local, periostitis, formación de quistes o cicatrices e inyección inadvertida en algún espacio intraarticular.</w:t>
      </w:r>
    </w:p>
    <w:p w14:paraId="6DC6053A" w14:textId="77777777" w:rsidR="0072615D" w:rsidRDefault="0072615D">
      <w:pPr>
        <w:pStyle w:val="BodyText"/>
        <w:ind w:firstLine="360"/>
      </w:pPr>
      <w:r>
        <w:t>Las inyecciones subcutáneas (SC) se harán con un ángulo de 45° en la cara anteroexterna del muslo o la porción superoexterna del tríceps mediante la introducción de una aguja en un pliegue de piel y tejido subcutáneo tomado con los dedos. Se recomienda utilizar agujas de calibres 23 o 25 de 1.5 a 1.8 cm de largo. Las respuestas inmunitarias después de la aplicación subcutánea de vacunas contra hepatitis B o antirrábica recombinante, disminuyen en comparación con las que surgen después de la aplicación IM de cualquiera de ambas; por tal motivo es mejor no usar la vía subcutánea con ellas. En sujetos con diátesis hemorrágica se puede reducir al mínimo el peligro de un hematoma después de inyección IM si se aplica la vacuna inmediatamente después de que la persona recibió el factor de reposición, se emplea una aguja de calibre 23 o menor y se aplica de inmediato presión directa al sitio de administración durante 2 min como mínimo. Es posible aplicar por vía subcutánea algunas vacunas (como las Hib, excepto PRP-OMP [PedvaxHIB]) recomendadas para inyección IM, en personas en peligro de mostrar hemorragia después de la aplicación IM, como los hemofílicos. En el caso de tales vacunas, por lo común se ha señalado que son semejantes las respuestas inmunitarias y las reacciones clínicas después de inyección IM o subcutánea.</w:t>
      </w:r>
    </w:p>
    <w:p w14:paraId="60C372D6" w14:textId="77777777" w:rsidR="0072615D" w:rsidRDefault="0072615D">
      <w:pPr>
        <w:pStyle w:val="BodyText"/>
        <w:ind w:firstLine="360"/>
      </w:pPr>
      <w:r>
        <w:t>Las inyecciones intradérmicas (ID) por lo común se aplican en la superficie dorsal del antebrazo. Ante la disminución de la masa antigénica, cuando se usa dicha vía es esencial cuidar la técnica para asegurar que el material no se inyecte en plano subcutáneo. Se recomienda usar una aguja de calibres 25 ó 27.</w:t>
      </w:r>
    </w:p>
    <w:p w14:paraId="451963D1" w14:textId="77777777" w:rsidR="0072615D" w:rsidRDefault="0072615D">
      <w:pPr>
        <w:pStyle w:val="BodyText"/>
        <w:ind w:firstLine="360"/>
      </w:pPr>
      <w:r>
        <w:t>Es conveniente inmovilizar de manera adecuada al niño o al paciente si así conviene antes de cualquier inyección.</w:t>
      </w:r>
    </w:p>
    <w:p w14:paraId="7A172E3A" w14:textId="77777777" w:rsidR="0072615D" w:rsidRDefault="0072615D">
      <w:pPr>
        <w:pStyle w:val="BodyText"/>
        <w:ind w:firstLine="360"/>
      </w:pPr>
      <w:r>
        <w:t>Cuando se aplican múltiples vacunas habrá que administrarlas en sitios separados, en la medida de lo posible, en particular si alguna de ellas contiene DTaP. Cuando es necesario se aplican dos vacunas en la misma extremidad en una sola sesión. Para la aplicación simultánea de dos inyecciones IM se prefiere la cara anteroexterna del muslo por su gran masa muscular. La distancia que separa los dos sitios es arbitraria pero debe tener como mínimo 2.5 cm para que haya menor posibilidad de que las reacciones locales se superpongan. Las vacunas múltiples no deben mezclarse en una sola jeringuilla, salvo que haya una autorización específica y la etiqueta indique que se administre de ese modo. Para cada inyección habrá que usar una aguja y una jeringuilla diferentes.</w:t>
      </w:r>
    </w:p>
    <w:p w14:paraId="66555716" w14:textId="77777777" w:rsidR="0072615D" w:rsidRDefault="0072615D">
      <w:pPr>
        <w:pStyle w:val="BodyText"/>
        <w:ind w:firstLine="360"/>
      </w:pPr>
      <w:r>
        <w:t>Algunos expertos recomiendan la “aspiración” al retroceder suavemente la jeringuilla antes de aplicar el líquido, pero no hay datos que corroboren la necesidad de tal precaución. Si surge sangre después de la presión negativa, se extraerá la aguja y se escogerá otro sitio, con el uso de una aguja nueva.</w:t>
      </w:r>
    </w:p>
    <w:p w14:paraId="72FAD61C" w14:textId="77777777" w:rsidR="0072615D" w:rsidRDefault="0072615D">
      <w:pPr>
        <w:pStyle w:val="BodyText"/>
        <w:spacing w:after="100"/>
        <w:ind w:firstLine="360"/>
      </w:pPr>
      <w:r>
        <w:t>Es frecuente que haya en un lapso breve pérdida de sangre en cantidades mínimas en el sitio de la inyección, y por lo común se controla con la aplicación de presión suave.</w:t>
      </w:r>
    </w:p>
    <w:p w14:paraId="1BF4D853" w14:textId="77777777" w:rsidR="0072615D" w:rsidRDefault="0072615D">
      <w:pPr>
        <w:pStyle w:val="Bodytext70"/>
      </w:pPr>
      <w:r>
        <w:t>Estrategias para disminuir el dolor de las inyecciones</w:t>
      </w:r>
    </w:p>
    <w:p w14:paraId="1B1BAE36" w14:textId="77777777" w:rsidR="0072615D" w:rsidRDefault="0072615D">
      <w:pPr>
        <w:pStyle w:val="BodyText"/>
        <w:ind w:firstLine="0"/>
      </w:pPr>
      <w:r>
        <w:t>Es frecuente que personas de cualquier edad muestren preocupación y ansiedad respecto de las inyecciones. Los calendarios actuales de vacunaciones a veces obligan a la aplicación de cuatro o más inyecciones a niños en una sola visita. A pesar de que casi todos los pequeños mayores de cinco años de edad suelen aceptar con mínima oposición la vacunación, algunos reaccionan de manera rigurosa o rechazan denodadamente las inyecciones. Cabe recurrir a técnicas prácticas eficaces para aliviar algunas de las molestias de las inyecciones.</w:t>
      </w:r>
    </w:p>
    <w:p w14:paraId="0FF72117" w14:textId="77777777" w:rsidR="0072615D" w:rsidRDefault="0072615D">
      <w:pPr>
        <w:pStyle w:val="BodyText"/>
        <w:ind w:firstLine="360"/>
      </w:pPr>
      <w:r>
        <w:t>En niños de cualquier edad es útil una estrategia planeada para atender al pequeño antes de la vacunación, durante su práctica y después de realizada. La preparación basada en la verdad y la empatía antes de la inyecciones es beneficiosa. Se pedirá a los padres que no amenacen a sus hijo con las inyecciones ni las mencionen como castigo de conducta inapropiada.</w:t>
      </w:r>
    </w:p>
    <w:p w14:paraId="16BD302C" w14:textId="77777777" w:rsidR="0072615D" w:rsidRDefault="0072615D">
      <w:pPr>
        <w:pStyle w:val="BodyText"/>
        <w:spacing w:after="160"/>
        <w:ind w:firstLine="360"/>
        <w:sectPr w:rsidR="0072615D" w:rsidSect="0072615D">
          <w:headerReference w:type="even" r:id="rId64"/>
          <w:headerReference w:type="default" r:id="rId65"/>
          <w:footerReference w:type="even" r:id="rId66"/>
          <w:footerReference w:type="default" r:id="rId67"/>
          <w:footnotePr>
            <w:numFmt w:val="chicago"/>
          </w:footnotePr>
          <w:type w:val="continuous"/>
          <w:pgSz w:w="8501" w:h="13022"/>
          <w:pgMar w:top="659" w:right="748" w:bottom="521" w:left="832" w:header="0" w:footer="3" w:gutter="0"/>
          <w:cols w:space="720"/>
          <w:noEndnote/>
          <w:docGrid w:linePitch="360"/>
          <w15:footnoteColumns w:val="1"/>
        </w:sectPr>
      </w:pPr>
      <w:r>
        <w:t>De ser posible se pedirá a los padres que conforten a su hijo en vez de que lo sujeten e inmovilicen. En el caso de niños de corta edad, ellos pueden aplacar, dar palmadas suaves y calmar a su pequeño. En el caso de niños mayores, habrá que orientar a los progenitores para que los distraigan (véase más adelante en esta sección “Técnicas no farmacológicas”).</w:t>
      </w:r>
    </w:p>
    <w:p w14:paraId="72EDC007" w14:textId="77777777" w:rsidR="0072615D" w:rsidRDefault="0072615D">
      <w:pPr>
        <w:pStyle w:val="BodyText"/>
        <w:ind w:firstLine="0"/>
      </w:pPr>
      <w:r>
        <w:t>administración durante 2 min como mínimo. Es posible aplicar por vía subcutánea algunas vacunas (como las Hib, excepto PRP-OMP [PedvaxHIB]) recomendadas para inyección IM, en personas en peligro de mostrar hemorragia después de la aplicación IM, como los hemofílicos. En el caso de tales vacunas, por lo común se ha señalado que son semejantes las respuestas inmunitarias y las reacciones clínicas después de inyección IM o subcutánea.</w:t>
      </w:r>
    </w:p>
    <w:p w14:paraId="25ECC7A7" w14:textId="77777777" w:rsidR="0072615D" w:rsidRDefault="0072615D">
      <w:pPr>
        <w:pStyle w:val="BodyText"/>
        <w:ind w:firstLine="360"/>
      </w:pPr>
      <w:r>
        <w:t>Las inyecciones intradérmicas (ID) por lo común se aplican en la superficie dorsal del antebrazo. Ante la disminución de la masa antigénica, cuando se usa dicha vía es esencial cuidar la técnica para asegurar que el material no se inyecte en plano subcutáneo. Se recomienda usar una aguja de calibres 25 ó 27.</w:t>
      </w:r>
    </w:p>
    <w:p w14:paraId="07B415EE" w14:textId="77777777" w:rsidR="0072615D" w:rsidRDefault="0072615D">
      <w:pPr>
        <w:pStyle w:val="BodyText"/>
        <w:ind w:firstLine="360"/>
      </w:pPr>
      <w:r>
        <w:t>Es conveniente inmovilizar de manera adecuada al niño o al paciente si así conviene antes de cualquier inyección.</w:t>
      </w:r>
    </w:p>
    <w:p w14:paraId="22BA1125" w14:textId="77777777" w:rsidR="0072615D" w:rsidRDefault="0072615D">
      <w:pPr>
        <w:pStyle w:val="BodyText"/>
        <w:ind w:firstLine="360"/>
      </w:pPr>
      <w:r>
        <w:t>Cuando se aplican múltiples vacunas habrá que administrarlas en sitios separados, en la medida de lo posible, en particular si alguna de ellas contiene DTaP. Cuando es necesario se aplican dos vacunas en la misma extremidad en una sola sesión. Para la aplicación simultánea de dos inyecciones IM se prefiere la cara anteroexterna del muslo por su gran masa muscular. La distancia que separa los dos sitios es arbitraria pero debe tener como mínimo 2.5 cm para que haya menor posibilidad de que las reacciones locales se superpongan. Las vacunas múltiples no deben mezclarse en una sola jeringuilla, salvo que haya una autorización específica y la etiqueta indique que se administre de ese modo. Para cada inyección habrá que usar una aguja y una jeringuilla diferentes.</w:t>
      </w:r>
    </w:p>
    <w:p w14:paraId="57308F6F" w14:textId="77777777" w:rsidR="0072615D" w:rsidRDefault="0072615D">
      <w:pPr>
        <w:pStyle w:val="BodyText"/>
        <w:ind w:firstLine="360"/>
      </w:pPr>
      <w:r>
        <w:t>Algunos expertos recomiendan la “aspiración” al retroceder suavemente la jeringuilla antes de aplicar el líquido, pero no hay datos que corroboren la necesidad de tal precaución. Si surge sangre después de la presión negativa, se extraerá la aguja y se escogerá otro sitio, con el uso de una aguja nueva.</w:t>
      </w:r>
    </w:p>
    <w:p w14:paraId="7CFB6ABD" w14:textId="77777777" w:rsidR="0072615D" w:rsidRDefault="0072615D">
      <w:pPr>
        <w:pStyle w:val="BodyText"/>
        <w:spacing w:after="100"/>
        <w:ind w:firstLine="360"/>
      </w:pPr>
      <w:r>
        <w:t>Es frecuente que haya en un lapso breve pérdida de sangre en cantidades mínimas en el sitio de la inyección, y por lo común se controla con la aplicación de presión suave.</w:t>
      </w:r>
    </w:p>
    <w:p w14:paraId="543AD78F" w14:textId="77777777" w:rsidR="0072615D" w:rsidRDefault="0072615D">
      <w:pPr>
        <w:pStyle w:val="Bodytext70"/>
      </w:pPr>
      <w:r>
        <w:t>Estrategias para disminuir el dolor de las inyecciones</w:t>
      </w:r>
    </w:p>
    <w:p w14:paraId="706C6F60" w14:textId="77777777" w:rsidR="0072615D" w:rsidRDefault="0072615D">
      <w:pPr>
        <w:pStyle w:val="BodyText"/>
        <w:ind w:firstLine="0"/>
      </w:pPr>
      <w:r>
        <w:t>Es frecuente que personas de cualquier edad muestren preocupación y ansiedad respecto de las inyecciones. Los calendarios actuales de vacunaciones a veces obligan a la aplicación de cuatro o más inyecciones a niños en una sola visita. A pesar de que casi todos los pequeños mayores de cinco años de edad suelen aceptar con mínima oposición la vacunación, algunos reaccionan de manera rigurosa o rechazan denodadamente las inyecciones. Cabe recurrir a técnicas prácticas eficaces para aliviar algunas de las molestias de las inyecciones.</w:t>
      </w:r>
    </w:p>
    <w:p w14:paraId="0AF99B55" w14:textId="77777777" w:rsidR="0072615D" w:rsidRDefault="0072615D">
      <w:pPr>
        <w:pStyle w:val="BodyText"/>
        <w:ind w:firstLine="360"/>
      </w:pPr>
      <w:r>
        <w:t>En niños de cualquier edad es útil una estrategia planeada para atender al pequeño antes de la vacunación, durante su práctica y después de realizada. La preparación basada en la verdad y la empatía antes de la inyecciones es beneficiosa. Se pedirá a los padres que no amenacen a sus hijo con las inyecciones ni las mencionen como castigo de conducta inapropiada.</w:t>
      </w:r>
    </w:p>
    <w:p w14:paraId="24C8BD42" w14:textId="77777777" w:rsidR="0072615D" w:rsidRDefault="0072615D">
      <w:pPr>
        <w:pStyle w:val="BodyText"/>
        <w:spacing w:after="160"/>
        <w:ind w:firstLine="360"/>
      </w:pPr>
      <w:r>
        <w:t>De ser posible se pedirá a los padres que conforten a su hijo en vez de que lo sujeten e inmovilicen. En el caso de niños de corta edad, ellos pueden aplacar, dar palmadas suaves y calmar a su pequeño. En el caso de niños mayores, habrá que orientar a los progenitores para que los distraigan (véase más adelante en esta sección “Técnicas no farmacológicas”).</w:t>
      </w:r>
    </w:p>
    <w:p w14:paraId="44115B5A" w14:textId="77777777" w:rsidR="0072615D" w:rsidRDefault="0072615D">
      <w:pPr>
        <w:pStyle w:val="BodyText"/>
        <w:spacing w:after="220"/>
        <w:ind w:firstLine="0"/>
      </w:pPr>
      <w:r>
        <w:t>TÉCNICA Y POSICIÓN DE LAS INYECCIONES</w:t>
      </w:r>
    </w:p>
    <w:p w14:paraId="68EA6562" w14:textId="77777777" w:rsidR="0072615D" w:rsidRDefault="0072615D">
      <w:pPr>
        <w:pStyle w:val="BodyText"/>
        <w:ind w:firstLine="0"/>
      </w:pPr>
      <w:r>
        <w:t>La inserción rápida de la aguja por la piel puede disminuir las molestias al penetrar dicha capa. También se ha dicho que el método en Z aminora el dolor que surge; se aplica tracción a la piel y tejidos subcutáneos antes de introducir la aguja y se quita tal tensión una vez que se extrae la aguja de tal forma que el trayecto de la inyección en sentido superficial al músculo es desplazado desde el trayecto en el interior de la masa para así sellar el líquido introducido en la zona. Habrá que colocar a la extremidad de modo que se logre relajación del músculo por inyectar. En el caso del deltoides, se necesita moderada presión del brazo. En la zona anteroexterna del muslo puede ser útil un grado moderado de rotación interna. Los lactantes pueden mostrar menor conducta dolorosa si se les sostiene en el regazo de un progenitor u otro cuidador. Los niños de mayor edad pueden estar más cómodos sentados en el regazo de uno de sus padres o en el borde de la mesa de exploraciones, apoyados tórax contra tórax en el momento de aplicar la vacuna.</w:t>
      </w:r>
    </w:p>
    <w:p w14:paraId="03404AB4" w14:textId="77777777" w:rsidR="0072615D" w:rsidRDefault="0072615D">
      <w:pPr>
        <w:pStyle w:val="BodyText"/>
        <w:spacing w:after="220"/>
        <w:ind w:firstLine="360"/>
      </w:pPr>
      <w:r>
        <w:t>Cuando se apliquen inyecciones múltiples, será mejor que profesionales asistenciales distintos las apliquen en forma simultánea a múltiples sitios (como sería en la cara anteroexterna de ambos muslos) para que así sea difícil anticipar la siguiente inyección. También se logra control moderado si se permite a niños de mayor edad escoger el sitio de la inyección.</w:t>
      </w:r>
    </w:p>
    <w:p w14:paraId="547E96A8" w14:textId="77777777" w:rsidR="0072615D" w:rsidRDefault="0072615D">
      <w:pPr>
        <w:pStyle w:val="BodyText"/>
        <w:spacing w:after="220"/>
        <w:ind w:firstLine="0"/>
      </w:pPr>
      <w:r>
        <w:t>TÉCNICAS CON ANESTÉSICOS TÓPICOS</w:t>
      </w:r>
    </w:p>
    <w:p w14:paraId="17669EE0" w14:textId="77777777" w:rsidR="0072615D" w:rsidRDefault="0072615D">
      <w:pPr>
        <w:pStyle w:val="BodyText"/>
        <w:ind w:firstLine="0"/>
      </w:pPr>
      <w:r>
        <w:t xml:space="preserve">Algunas técnicas físicas y los agentes tópicos aplacan el dolor de la inyección. La aplicación de presión en el sitio 10 s antes de la inyección aminora el dolor que causa. Con el hielo se logra sólo 1 o 2 s de analgesia en el sitio mencionado y por ello no es recomendable. Los anestésicos locales se pueden aplicar por varias vías. La mezcla eutética de la crema anestésica </w:t>
      </w:r>
      <w:r>
        <w:rPr>
          <w:i/>
          <w:iCs/>
        </w:rPr>
        <w:t>(</w:t>
      </w:r>
      <w:r>
        <w:rPr>
          <w:rFonts w:ascii="Times New Roman" w:eastAsia="Times New Roman" w:hAnsi="Times New Roman" w:cs="Times New Roman"/>
          <w:i/>
          <w:iCs/>
          <w:sz w:val="16"/>
          <w:szCs w:val="16"/>
        </w:rPr>
        <w:t>eutectic mixture of local anesthetic</w:t>
      </w:r>
      <w:r>
        <w:rPr>
          <w:i/>
          <w:iCs/>
        </w:rPr>
        <w:t>,</w:t>
      </w:r>
      <w:r>
        <w:t xml:space="preserve"> EMLA) aplicada bajo un apósito oclusivo, fue estudiada en investigaciones clínicas con asignación aleatoria en que los testigos recibieron placebo y se ha demostrado que logra analgesia durante la inyección y en las 24 h siguientes. Se necesita que transcurra 1 h para que EMLA logre la anestesia adecuada, y por ello se requiere planificación, es decir, aplicar la crema antes de la visita al consultorio o en cuanto el paciente llega a éste. La lidocaína se puede difundir por iontoforesis a una profundidad de 8 a 10 mm en unos 10 min, pero la corriente eléctrica origina molestias moderadas. El vapocriógeno en nebulización logra analgesia transitoria rápida en el sitio de inyección y no es caro.</w:t>
      </w:r>
    </w:p>
    <w:p w14:paraId="56E9BACF" w14:textId="77777777" w:rsidR="0072615D" w:rsidRDefault="0072615D">
      <w:pPr>
        <w:pStyle w:val="BodyText"/>
        <w:ind w:firstLine="0"/>
      </w:pPr>
      <w:r>
        <w:t>Los estudios en que se compararon la eficacia de EMLA y dicho vapocriógeno en el momento de la administración, mostraron eficacia similar.</w:t>
      </w:r>
    </w:p>
    <w:p w14:paraId="5FB08352" w14:textId="77777777" w:rsidR="0072615D" w:rsidRDefault="0072615D">
      <w:pPr>
        <w:pStyle w:val="BodyText"/>
        <w:spacing w:after="220"/>
        <w:ind w:firstLine="360"/>
      </w:pPr>
      <w:r>
        <w:t>Se necesitan más estudios sobre el empleo de los anestésicos locales para definir con mayor precisión su inocuidad y eficacia cuando se utilizan para combatir el dolor de las inyecciones, y asegurar que su uso no interfiere en la respuesta inmunitaria, particularmente por la vía subcutánea.</w:t>
      </w:r>
    </w:p>
    <w:p w14:paraId="11AABEC1" w14:textId="77777777" w:rsidR="0072615D" w:rsidRDefault="0072615D">
      <w:pPr>
        <w:pStyle w:val="BodyText"/>
        <w:spacing w:after="220"/>
        <w:ind w:firstLine="0"/>
      </w:pPr>
      <w:r>
        <w:t>TÉCNICAS NO FARMACOLÓGICAS</w:t>
      </w:r>
    </w:p>
    <w:p w14:paraId="5E649D0C" w14:textId="77777777" w:rsidR="0072615D" w:rsidRDefault="0072615D">
      <w:pPr>
        <w:pStyle w:val="BodyText"/>
        <w:spacing w:after="220"/>
        <w:ind w:firstLine="0"/>
      </w:pPr>
      <w:r>
        <w:t>El azúcar en la lengua o en un chupón aplaca las molestias en el neonato, pero es escasa su utilidad después del periodo posnatal inmediato. Las palmadas suaves o mecer al niño después de la inyección disminuye el llanto y otras conductas derivadas del dolor.</w:t>
      </w:r>
    </w:p>
    <w:p w14:paraId="54E9B245" w14:textId="77777777" w:rsidR="0072615D" w:rsidRDefault="0072615D">
      <w:pPr>
        <w:pStyle w:val="BodyText"/>
        <w:ind w:firstLine="0"/>
      </w:pPr>
      <w:r>
        <w:t>En el caso de niños de mayor edad, también son eficaces técnicas de respiración y distracción como “alejar con soplidos el dolor”; utilizar “sopladores festivos”, molinetes o burbujas de jabón; contar alguna historia al niño; leer libros o usar música. Las técnicas que involucran al niño en una fantasía o reestructuran la experiencia con el uso de sugestión (“amor mágico” o “interruptor del dolor”) también son eficaces, pero es necesario conocerlas y saberlas aplicar.</w:t>
      </w:r>
    </w:p>
    <w:p w14:paraId="2468E3E6" w14:textId="77777777" w:rsidR="0072615D" w:rsidRDefault="0072615D">
      <w:pPr>
        <w:pStyle w:val="BodyText"/>
        <w:spacing w:after="100"/>
        <w:ind w:firstLine="360"/>
      </w:pPr>
      <w:r>
        <w:t>Cuando menor edad tenga el pequeño, más se dependerá de las técnicas de inyección y de estrategias farmacológicas. Conforme tenga mayor edad el niño, son cada vez más eficaces técnicas de distracción y otras de tipo psicológico, además de las de índole farmacológica y técnica para aminorar el dolor.</w:t>
      </w:r>
    </w:p>
    <w:p w14:paraId="66FBB86F" w14:textId="77777777" w:rsidR="0072615D" w:rsidRDefault="0072615D">
      <w:pPr>
        <w:pStyle w:val="Bodytext70"/>
      </w:pPr>
      <w:r>
        <w:t>Calendario de vacunaciones</w:t>
      </w:r>
    </w:p>
    <w:p w14:paraId="61DF57E8" w14:textId="77777777" w:rsidR="0072615D" w:rsidRDefault="0072615D">
      <w:pPr>
        <w:pStyle w:val="BodyText"/>
        <w:ind w:firstLine="0"/>
      </w:pPr>
      <w:r>
        <w:t>La finalidad es aplicar la vacuna a una persona que puede desencadenar una respuesta inmunitaria adecuada y que se beneficiará muy posiblemente de la protección que aparezca. Sin embargo, hay que lograr un equilibiro entre la respuesta inmunitaria óptima para la persona y la necesidad de que se obtenga protección eficaz contra enfermedades. Por ejemplo, las vacunas que contienen microorganismos de tos ferina pueden ser menos inmunógenas en la lactancia temprana que en la tardía, pero el beneficio de obtener protección de productos de corta edad exige aplicar la vacuna en fecha temprana a pesar de que hay una menor respuesta de anticuerpos séricos. Por la razón comentada, en algunos países en desarrollo desde el nacimiento se administra la vacuna OPV, conforme a las recomendaciones de la Organización Mundial de la Salud.</w:t>
      </w:r>
    </w:p>
    <w:p w14:paraId="503C5A76" w14:textId="77777777" w:rsidR="0072615D" w:rsidRDefault="0072615D">
      <w:pPr>
        <w:pStyle w:val="BodyText"/>
        <w:ind w:firstLine="360"/>
      </w:pPr>
      <w:r>
        <w:t>En el caso de las vacunas parenterales hechas de virus vivos, el efecto inhibitorio de los anticuerpos específicos que quedan provenientes de la madre es el elemento que rige la edad y fecha óptima de aplicación. Por ejemplo, la vacuna antisarampionosa hecha de virus vivos que se utiliza en Estados Unidos genera índices subóptimos de seroconversión en el primer año de vida, más bien por la interferencia de los anticuerpos maternos que llegan al producto por vía placentaria. Si se administra la vacuna con el componente antisarampionoso antes de los 12 meses de vida, se revacunará al pequeño entre los 12 y 15 meses con MMR; entre los cuatro y seis años de vida conviene usar una tercera dosis.</w:t>
      </w:r>
    </w:p>
    <w:p w14:paraId="36675262" w14:textId="77777777" w:rsidR="0072615D" w:rsidRDefault="0072615D">
      <w:pPr>
        <w:pStyle w:val="BodyText"/>
        <w:ind w:firstLine="360"/>
      </w:pPr>
      <w:r>
        <w:t>Un factor más para escoger un calendario de vacunaciones es la necesidad de obtener una respuesta uniforme y regular. Con algunos productos se logra la respuesta después de una dosis. Por ejemplo, la vacuna antirrubéola hecha con virus vivos desencadena una respuesta predecible con mayor frecuencia después de una sola dosis. La dosis única de algunas vacunas genera una respuesta menor de la óptima en quien la recibe y como resultado se necesitan varias dosis para completar la inmunización primaria. Por ejemplo, algunas personas reaccionan sólo a los tipos 1 ó 2 de virus poliomielíticos después de vacuna antipoliomielítica de tal forma que se aplican dosis múltiples para generar anticuerpos contra los tres tipos y así asegurar la protección completa para la persona y una cifra de respuesta máxima para la población. En el caso de algunas vacunas se aplican periódicamente dosis de refuerzo (como sería el caso de los toxoides tetánico y diftérico) para conservar la protección inmunitaria.</w:t>
      </w:r>
    </w:p>
    <w:p w14:paraId="34D05A8F" w14:textId="77777777" w:rsidR="0072615D" w:rsidRDefault="0072615D">
      <w:pPr>
        <w:pStyle w:val="BodyText"/>
        <w:spacing w:after="160"/>
        <w:ind w:firstLine="360"/>
        <w:sectPr w:rsidR="0072615D" w:rsidSect="0072615D">
          <w:headerReference w:type="even" r:id="rId68"/>
          <w:headerReference w:type="default" r:id="rId69"/>
          <w:footerReference w:type="even" r:id="rId70"/>
          <w:footerReference w:type="default" r:id="rId71"/>
          <w:footnotePr>
            <w:numFmt w:val="chicago"/>
          </w:footnotePr>
          <w:type w:val="continuous"/>
          <w:pgSz w:w="8501" w:h="13022"/>
          <w:pgMar w:top="659" w:right="748" w:bottom="521" w:left="832" w:header="0" w:footer="3" w:gutter="0"/>
          <w:cols w:space="720"/>
          <w:noEndnote/>
          <w:docGrid w:linePitch="360"/>
          <w15:footnoteColumns w:val="1"/>
        </w:sectPr>
      </w:pPr>
      <w:r>
        <w:t>Casi todas las vacunas son innocuas y eficaces cuando se administran en forma simultánea, aunque son escasos los datos que se tienen de algunos de los productos en cuestión. Dicha información cobra importancia particular al hacer los calendarios de vacunaciones en niños que muestran omisión o retraso en sus vacunaciones o para personas que se preparan para hacer algún viaje internacional (véase más adelante</w:t>
      </w:r>
    </w:p>
    <w:p w14:paraId="382EFB70" w14:textId="77777777" w:rsidR="0072615D" w:rsidRDefault="0072615D">
      <w:pPr>
        <w:pStyle w:val="BodyText"/>
        <w:ind w:firstLine="0"/>
      </w:pPr>
      <w:r>
        <w:t>En el caso de niños de mayor edad, también son eficaces técnicas de respiración y distracción como “alejar con soplidos el dolor”; utilizar “sopladores festivos”, molinetes o burbujas de jabón; contar alguna historia al niño; leer libros o usar música. Las técnicas que involucran al niño en una fantasía o reestructuran la experiencia con el uso de sugestión (“amor mágico” o “interruptor del dolor”) también son eficaces, pero es necesario conocerlas y saberlas aplicar.</w:t>
      </w:r>
    </w:p>
    <w:p w14:paraId="7D70C935" w14:textId="77777777" w:rsidR="0072615D" w:rsidRDefault="0072615D">
      <w:pPr>
        <w:pStyle w:val="BodyText"/>
        <w:spacing w:after="100"/>
        <w:ind w:firstLine="360"/>
      </w:pPr>
      <w:r>
        <w:t>Cuando menor edad tenga el pequeño, más se dependerá de las técnicas de inyección y de estrategias farmacológicas. Conforme tenga mayor edad el niño, son cada vez más eficaces técnicas de distracción y otras de tipo psicológico, además de las de índole farmacológica y técnica para aminorar el dolor.</w:t>
      </w:r>
    </w:p>
    <w:p w14:paraId="6AE3E811" w14:textId="77777777" w:rsidR="0072615D" w:rsidRDefault="0072615D">
      <w:pPr>
        <w:pStyle w:val="Bodytext70"/>
      </w:pPr>
      <w:r>
        <w:t>Calendario de vacunaciones</w:t>
      </w:r>
    </w:p>
    <w:p w14:paraId="444AD115" w14:textId="77777777" w:rsidR="0072615D" w:rsidRDefault="0072615D">
      <w:pPr>
        <w:pStyle w:val="BodyText"/>
        <w:ind w:firstLine="0"/>
      </w:pPr>
      <w:r>
        <w:t>La finalidad es aplicar la vacuna a una persona que puede desencadenar una respuesta inmunitaria adecuada y que se beneficiará muy posiblemente de la protección que aparezca. Sin embargo, hay que lograr un equilibiro entre la respuesta inmunitaria óptima para la persona y la necesidad de que se obtenga protección eficaz contra enfermedades. Por ejemplo, las vacunas que contienen microorganismos de tos ferina pueden ser menos inmunógenas en la lactancia temprana que en la tardía, pero el beneficio de obtener protección de productos de corta edad exige aplicar la vacuna en fecha temprana a pesar de que hay una menor respuesta de anticuerpos séricos. Por la razón comentada, en algunos países en desarrollo desde el nacimiento se administra la vacuna OPV, conforme a las recomendaciones de la Organización Mundial de la Salud.</w:t>
      </w:r>
    </w:p>
    <w:p w14:paraId="0543E4AE" w14:textId="77777777" w:rsidR="0072615D" w:rsidRDefault="0072615D">
      <w:pPr>
        <w:pStyle w:val="BodyText"/>
        <w:ind w:firstLine="360"/>
      </w:pPr>
      <w:r>
        <w:t>En el caso de las vacunas parenterales hechas de virus vivos, el efecto inhibitorio de los anticuerpos específicos que quedan provenientes de la madre es el elemento que rige la edad y fecha óptima de aplicación. Por ejemplo, la vacuna antisarampionosa hecha de virus vivos que se utiliza en Estados Unidos genera índices subóptimos de seroconversión en el primer año de vida, más bien por la interferencia de los anticuerpos maternos que llegan al producto por vía placentaria. Si se administra la vacuna con el componente antisarampionoso antes de los 12 meses de vida, se revacunará al pequeño entre los 12 y 15 meses con MMR; entre los cuatro y seis años de vida conviene usar una tercera dosis.</w:t>
      </w:r>
    </w:p>
    <w:p w14:paraId="18A896B8" w14:textId="77777777" w:rsidR="0072615D" w:rsidRDefault="0072615D">
      <w:pPr>
        <w:pStyle w:val="BodyText"/>
        <w:ind w:firstLine="360"/>
      </w:pPr>
      <w:r>
        <w:t>Un factor más para escoger un calendario de vacunaciones es la necesidad de obtener una respuesta uniforme y regular. Con algunos productos se logra la respuesta después de una dosis. Por ejemplo, la vacuna antirrubéola hecha con virus vivos desencadena una respuesta predecible con mayor frecuencia después de una sola dosis. La dosis única de algunas vacunas genera una respuesta menor de la óptima en quien la recibe y como resultado se necesitan varias dosis para completar la inmunización primaria. Por ejemplo, algunas personas reaccionan sólo a los tipos 1 ó 2 de virus poliomielíticos después de vacuna antipoliomielítica de tal forma que se aplican dosis múltiples para generar anticuerpos contra los tres tipos y así asegurar la protección completa para la persona y una cifra de respuesta máxima para la población. En el caso de algunas vacunas se aplican periódicamente dosis de refuerzo (como sería el caso de los toxoides tetánico y diftérico) para conservar la protección inmunitaria.</w:t>
      </w:r>
    </w:p>
    <w:p w14:paraId="16AACA77" w14:textId="77777777" w:rsidR="0072615D" w:rsidRDefault="0072615D">
      <w:pPr>
        <w:pStyle w:val="BodyText"/>
        <w:spacing w:after="160"/>
        <w:ind w:firstLine="360"/>
      </w:pPr>
      <w:r>
        <w:t>Casi todas las vacunas son innocuas y eficaces cuando se administran en forma simultánea, aunque son escasos los datos que se tienen de algunos de los productos en cuestión. Dicha información cobra importancia particular al hacer los calendarios de vacunaciones en niños que muestran omisión o retraso en sus vacunaciones o para personas que se preparan para hacer algún viaje internacional (véase más adelante</w:t>
      </w:r>
    </w:p>
    <w:tbl>
      <w:tblPr>
        <w:tblOverlap w:val="never"/>
        <w:tblW w:w="0" w:type="auto"/>
        <w:jc w:val="center"/>
        <w:tblLayout w:type="fixed"/>
        <w:tblCellMar>
          <w:left w:w="10" w:type="dxa"/>
          <w:right w:w="10" w:type="dxa"/>
        </w:tblCellMar>
        <w:tblLook w:val="04A0" w:firstRow="1" w:lastRow="0" w:firstColumn="1" w:lastColumn="0" w:noHBand="0" w:noVBand="1"/>
      </w:tblPr>
      <w:tblGrid>
        <w:gridCol w:w="2448"/>
        <w:gridCol w:w="4474"/>
      </w:tblGrid>
      <w:tr w:rsidR="0072615D" w14:paraId="1A95264B" w14:textId="77777777">
        <w:tblPrEx>
          <w:tblCellMar>
            <w:top w:w="0" w:type="dxa"/>
            <w:bottom w:w="0" w:type="dxa"/>
          </w:tblCellMar>
        </w:tblPrEx>
        <w:trPr>
          <w:trHeight w:hRule="exact" w:val="869"/>
          <w:jc w:val="center"/>
        </w:trPr>
        <w:tc>
          <w:tcPr>
            <w:tcW w:w="6922" w:type="dxa"/>
            <w:gridSpan w:val="2"/>
            <w:tcBorders>
              <w:top w:val="single" w:sz="4" w:space="0" w:color="auto"/>
            </w:tcBorders>
            <w:shd w:val="clear" w:color="auto" w:fill="FFFFFF"/>
            <w:vAlign w:val="bottom"/>
          </w:tcPr>
          <w:p w14:paraId="312604DB" w14:textId="77777777" w:rsidR="0072615D" w:rsidRDefault="0072615D">
            <w:pPr>
              <w:pStyle w:val="Other0"/>
              <w:spacing w:line="216" w:lineRule="auto"/>
              <w:ind w:firstLine="0"/>
              <w:jc w:val="center"/>
              <w:rPr>
                <w:sz w:val="26"/>
                <w:szCs w:val="26"/>
              </w:rPr>
            </w:pPr>
            <w:r>
              <w:rPr>
                <w:rFonts w:ascii="Arial" w:eastAsia="Arial" w:hAnsi="Arial" w:cs="Arial"/>
                <w:w w:val="70"/>
                <w:sz w:val="26"/>
                <w:szCs w:val="26"/>
              </w:rPr>
              <w:t xml:space="preserve">Cuadro 1.5. </w:t>
            </w:r>
            <w:r>
              <w:rPr>
                <w:rFonts w:ascii="Arial" w:eastAsia="Arial" w:hAnsi="Arial" w:cs="Arial"/>
                <w:b/>
                <w:bCs/>
                <w:w w:val="70"/>
                <w:sz w:val="26"/>
                <w:szCs w:val="26"/>
              </w:rPr>
              <w:t>Directrices para fijar los intervalos seriados en la aplicación de antígenos de virus vivos o inactivados</w:t>
            </w:r>
          </w:p>
        </w:tc>
      </w:tr>
      <w:tr w:rsidR="0072615D" w14:paraId="341D5B3F" w14:textId="77777777">
        <w:tblPrEx>
          <w:tblCellMar>
            <w:top w:w="0" w:type="dxa"/>
            <w:bottom w:w="0" w:type="dxa"/>
          </w:tblCellMar>
        </w:tblPrEx>
        <w:trPr>
          <w:trHeight w:hRule="exact" w:val="552"/>
          <w:jc w:val="center"/>
        </w:trPr>
        <w:tc>
          <w:tcPr>
            <w:tcW w:w="2448" w:type="dxa"/>
            <w:shd w:val="clear" w:color="auto" w:fill="231F20"/>
          </w:tcPr>
          <w:p w14:paraId="66EAD1D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Combinación de antígenos</w:t>
            </w:r>
          </w:p>
        </w:tc>
        <w:tc>
          <w:tcPr>
            <w:tcW w:w="4474" w:type="dxa"/>
            <w:shd w:val="clear" w:color="auto" w:fill="231F20"/>
            <w:vAlign w:val="bottom"/>
          </w:tcPr>
          <w:p w14:paraId="59808FE6"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left="180"/>
              <w:rPr>
                <w:sz w:val="24"/>
                <w:szCs w:val="24"/>
              </w:rPr>
            </w:pPr>
            <w:r>
              <w:rPr>
                <w:rFonts w:ascii="Arial" w:eastAsia="Arial" w:hAnsi="Arial" w:cs="Arial"/>
                <w:b/>
                <w:bCs/>
                <w:color w:val="FFFFFF"/>
                <w:w w:val="70"/>
                <w:sz w:val="24"/>
                <w:szCs w:val="24"/>
              </w:rPr>
              <w:t>Intervalo mínimo recomendado entre una y otra aplicación</w:t>
            </w:r>
          </w:p>
        </w:tc>
      </w:tr>
      <w:tr w:rsidR="0072615D" w14:paraId="759EFA62" w14:textId="77777777">
        <w:tblPrEx>
          <w:tblCellMar>
            <w:top w:w="0" w:type="dxa"/>
            <w:bottom w:w="0" w:type="dxa"/>
          </w:tblCellMar>
        </w:tblPrEx>
        <w:trPr>
          <w:trHeight w:hRule="exact" w:val="1469"/>
          <w:jc w:val="center"/>
        </w:trPr>
        <w:tc>
          <w:tcPr>
            <w:tcW w:w="2448" w:type="dxa"/>
            <w:tcBorders>
              <w:bottom w:val="single" w:sz="4" w:space="0" w:color="auto"/>
            </w:tcBorders>
            <w:shd w:val="clear" w:color="auto" w:fill="FFFFFF"/>
          </w:tcPr>
          <w:p w14:paraId="654260EB" w14:textId="77777777" w:rsidR="0072615D" w:rsidRDefault="0072615D">
            <w:pPr>
              <w:pStyle w:val="Other0"/>
              <w:spacing w:after="220"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 inactivados</w:t>
            </w:r>
          </w:p>
          <w:p w14:paraId="3E8CF9D4" w14:textId="77777777" w:rsidR="0072615D" w:rsidRDefault="0072615D">
            <w:pPr>
              <w:pStyle w:val="Other0"/>
              <w:spacing w:after="220" w:line="240" w:lineRule="auto"/>
              <w:ind w:firstLine="0"/>
              <w:rPr>
                <w:sz w:val="16"/>
                <w:szCs w:val="16"/>
              </w:rPr>
            </w:pPr>
            <w:r>
              <w:rPr>
                <w:rFonts w:ascii="Times New Roman" w:eastAsia="Times New Roman" w:hAnsi="Times New Roman" w:cs="Times New Roman"/>
                <w:sz w:val="16"/>
                <w:szCs w:val="16"/>
              </w:rPr>
              <w:t>Inactivado y vivo</w:t>
            </w:r>
          </w:p>
          <w:p w14:paraId="4159076B" w14:textId="77777777" w:rsidR="0072615D" w:rsidRDefault="0072615D">
            <w:pPr>
              <w:pStyle w:val="Other0"/>
              <w:spacing w:after="220" w:line="240" w:lineRule="auto"/>
              <w:ind w:firstLine="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 vivos parenterales</w:t>
            </w:r>
            <w:r>
              <w:rPr>
                <w:rFonts w:ascii="Times New Roman" w:eastAsia="Times New Roman" w:hAnsi="Times New Roman" w:cs="Times New Roman"/>
                <w:sz w:val="16"/>
                <w:szCs w:val="16"/>
                <w:vertAlign w:val="superscript"/>
              </w:rPr>
              <w:t>1</w:t>
            </w:r>
          </w:p>
        </w:tc>
        <w:tc>
          <w:tcPr>
            <w:tcW w:w="4474" w:type="dxa"/>
            <w:tcBorders>
              <w:bottom w:val="single" w:sz="4" w:space="0" w:color="auto"/>
            </w:tcBorders>
            <w:shd w:val="clear" w:color="auto" w:fill="FFFFFF"/>
            <w:vAlign w:val="center"/>
          </w:tcPr>
          <w:p w14:paraId="0F7E5FB4" w14:textId="77777777" w:rsidR="0072615D" w:rsidRDefault="0072615D">
            <w:pPr>
              <w:pStyle w:val="Other0"/>
              <w:spacing w:line="283" w:lineRule="auto"/>
              <w:ind w:left="300" w:hanging="100"/>
              <w:rPr>
                <w:sz w:val="16"/>
                <w:szCs w:val="16"/>
              </w:rPr>
            </w:pPr>
            <w:r>
              <w:rPr>
                <w:rFonts w:ascii="Times New Roman" w:eastAsia="Times New Roman" w:hAnsi="Times New Roman" w:cs="Times New Roman"/>
                <w:sz w:val="16"/>
                <w:szCs w:val="16"/>
              </w:rPr>
              <w:t>Ninguno; es posible la administración simultánea o dejar cualquier intervalo entre una y otra dosis</w:t>
            </w:r>
          </w:p>
          <w:p w14:paraId="7E2A28F8" w14:textId="77777777" w:rsidR="0072615D" w:rsidRDefault="0072615D">
            <w:pPr>
              <w:pStyle w:val="Other0"/>
              <w:spacing w:line="283" w:lineRule="auto"/>
              <w:ind w:left="300" w:hanging="100"/>
              <w:rPr>
                <w:sz w:val="16"/>
                <w:szCs w:val="16"/>
              </w:rPr>
            </w:pPr>
            <w:r>
              <w:rPr>
                <w:rFonts w:ascii="Times New Roman" w:eastAsia="Times New Roman" w:hAnsi="Times New Roman" w:cs="Times New Roman"/>
                <w:sz w:val="16"/>
                <w:szCs w:val="16"/>
              </w:rPr>
              <w:t>Ninguno; es posible la administración simultánea o dejar cualquier intervalo entre una y otra dosis</w:t>
            </w:r>
          </w:p>
          <w:p w14:paraId="3272B538" w14:textId="77777777" w:rsidR="0072615D" w:rsidRDefault="0072615D">
            <w:pPr>
              <w:pStyle w:val="Other0"/>
              <w:spacing w:line="283" w:lineRule="auto"/>
              <w:ind w:left="300" w:hanging="100"/>
              <w:rPr>
                <w:sz w:val="16"/>
                <w:szCs w:val="16"/>
              </w:rPr>
            </w:pPr>
            <w:r>
              <w:rPr>
                <w:rFonts w:ascii="Times New Roman" w:eastAsia="Times New Roman" w:hAnsi="Times New Roman" w:cs="Times New Roman"/>
                <w:sz w:val="16"/>
                <w:szCs w:val="16"/>
              </w:rPr>
              <w:t>Intervalo mínimo de 28 días si no se administra simultáneamente</w:t>
            </w:r>
          </w:p>
        </w:tc>
      </w:tr>
    </w:tbl>
    <w:p w14:paraId="6EF88805" w14:textId="77777777" w:rsidR="0072615D" w:rsidRDefault="0072615D">
      <w:pPr>
        <w:pStyle w:val="Tablecaption0"/>
        <w:spacing w:line="240" w:lineRule="auto"/>
        <w:ind w:left="91"/>
      </w:pPr>
      <w:r>
        <w:rPr>
          <w:sz w:val="8"/>
          <w:szCs w:val="8"/>
          <w:vertAlign w:val="superscript"/>
        </w:rPr>
        <w:t>1</w:t>
      </w:r>
      <w:r>
        <w:rPr>
          <w:sz w:val="8"/>
          <w:szCs w:val="8"/>
        </w:rPr>
        <w:t xml:space="preserve"> </w:t>
      </w:r>
      <w:r>
        <w:t>Algunas vacunas orales de virus vivos (como la vacuna tifoídica Ty21a o la vacuna oral de virus poliomielítico) se pueden administrar simultáneamente o con cualquier intervalo antes o después de usar vacunas parenterales de gérmenes inactivados o vivos.</w:t>
      </w:r>
    </w:p>
    <w:p w14:paraId="4F8722EC" w14:textId="77777777" w:rsidR="0072615D" w:rsidRDefault="0072615D">
      <w:pPr>
        <w:spacing w:after="559" w:line="1" w:lineRule="exact"/>
      </w:pPr>
    </w:p>
    <w:p w14:paraId="0E53A25C" w14:textId="77777777" w:rsidR="0072615D" w:rsidRDefault="0072615D">
      <w:pPr>
        <w:pStyle w:val="BodyText"/>
        <w:ind w:firstLine="0"/>
      </w:pPr>
      <w:r>
        <w:t>en esta sección “Administración simultánea de múltiples vacunas”). Las vacunas de gérmenes inactivados no interfieren en la respuesta inmunitaria a otras vacunas similares o a las elaboradas con microorganismos vivos (cuadro 1-5). Algunos datos indican la posibilidad de que disminuyan las respuestas inmunitarias cuando se aplican en forma no simultánea dos o más vacunas hechas con virus vivos, pero dentro de un plazo que no excede de 28 días, entre sí; por tal razón, las vacunas parenterales de virus vivos que no se aplican en el mismo día deben administrarse como mínimo con una diferencia de 28 días (cuatro semanas) en la medida de lo posible.</w:t>
      </w:r>
    </w:p>
    <w:p w14:paraId="3988691B" w14:textId="77777777" w:rsidR="0072615D" w:rsidRDefault="0072615D">
      <w:pPr>
        <w:pStyle w:val="BodyText"/>
        <w:spacing w:line="276" w:lineRule="auto"/>
        <w:ind w:firstLine="380"/>
        <w:rPr>
          <w:sz w:val="11"/>
          <w:szCs w:val="11"/>
        </w:rPr>
      </w:pPr>
      <w:r>
        <w:t xml:space="preserve">El calendario de vacunación recomendado para niños y adolescentes en la figura 1-1 se logró por consenso de la </w:t>
      </w:r>
      <w:r>
        <w:rPr>
          <w:rFonts w:ascii="Times New Roman" w:eastAsia="Times New Roman" w:hAnsi="Times New Roman" w:cs="Times New Roman"/>
          <w:i/>
          <w:iCs/>
          <w:sz w:val="16"/>
          <w:szCs w:val="16"/>
        </w:rPr>
        <w:t>American Academy of Pediatrics</w:t>
      </w:r>
      <w:r>
        <w:t xml:space="preserve"> (AAP), el </w:t>
      </w:r>
      <w:r>
        <w:rPr>
          <w:rFonts w:ascii="Times New Roman" w:eastAsia="Times New Roman" w:hAnsi="Times New Roman" w:cs="Times New Roman"/>
          <w:i/>
          <w:iCs/>
          <w:sz w:val="16"/>
          <w:szCs w:val="16"/>
        </w:rPr>
        <w:t>Advisory Committee on Immunization Practices (ACIP)</w:t>
      </w:r>
      <w:r>
        <w:t xml:space="preserve"> de los </w:t>
      </w:r>
      <w:r>
        <w:rPr>
          <w:rFonts w:ascii="Times New Roman" w:eastAsia="Times New Roman" w:hAnsi="Times New Roman" w:cs="Times New Roman"/>
          <w:i/>
          <w:iCs/>
          <w:sz w:val="16"/>
          <w:szCs w:val="16"/>
        </w:rPr>
        <w:t xml:space="preserve">Centers for Disease Control and Prevention (CDC) </w:t>
      </w:r>
      <w:r>
        <w:rPr>
          <w:i/>
          <w:iCs/>
        </w:rPr>
        <w:t>y</w:t>
      </w:r>
      <w:r>
        <w:t xml:space="preserve"> la </w:t>
      </w:r>
      <w:r>
        <w:rPr>
          <w:rFonts w:ascii="Times New Roman" w:eastAsia="Times New Roman" w:hAnsi="Times New Roman" w:cs="Times New Roman"/>
          <w:i/>
          <w:iCs/>
          <w:sz w:val="16"/>
          <w:szCs w:val="16"/>
        </w:rPr>
        <w:t>American Academy of Family Phisicians</w:t>
      </w:r>
      <w:r>
        <w:t xml:space="preserve"> para las vacunaciones acostumbradas en niños en el año 2003. El calendario en cuestión se revisa en forma regular y cada año en enero se distribuye un calendario nacional actualizado que incorpore las recomendaciones sobre nuevas vacunas y revisiones. Hay que prestar atención especial a los pies de señalamientos en el calendario porque resumen las principales recomendaciones en las vacunaciones habituales de niños. Se puede recurrir a vacunas por combinación cuando conviene usar cualquier componente de ella o no están contraindicados los demás componentes, a condición de que la FDA haya aprobado su distribución, según la edad del niño.</w:t>
      </w:r>
      <w:r>
        <w:footnoteReference w:id="13"/>
      </w:r>
      <w:r>
        <w:t xml:space="preserve"> El uso de vacunas por combinación (con distribución aprobada) es preferible a la aplicación por inyecciones independientes, de sus componentes. Los padres, los cuidadores y los profesionales de la atención de la salud cuentan con un calendario de inmunización de niños en la Web que utiliza las recomendaciones actuales, de modo que se pueden hacer calendarios instantáneos para cualquier niño de cinco años de vida o menor (</w:t>
      </w:r>
      <w:hyperlink r:id="rId72" w:history="1">
        <w:r>
          <w:t>www.cdc.gov/nip</w:t>
        </w:r>
      </w:hyperlink>
      <w:r>
        <w:t>). También se cuenta con un calendario de vacunación para adultos.</w:t>
      </w:r>
      <w:r>
        <w:rPr>
          <w:rFonts w:ascii="Times New Roman" w:eastAsia="Times New Roman" w:hAnsi="Times New Roman" w:cs="Times New Roman"/>
          <w:sz w:val="11"/>
          <w:szCs w:val="11"/>
        </w:rPr>
        <w:t>+</w:t>
      </w:r>
    </w:p>
    <w:p w14:paraId="413507CD" w14:textId="77777777" w:rsidR="0072615D" w:rsidRDefault="0072615D">
      <w:pPr>
        <w:pStyle w:val="BodyText"/>
        <w:ind w:firstLine="360"/>
      </w:pPr>
      <w:r>
        <w:t>En el cuadro 1-6 se incluye el calendario recomendado para niños que no han sido vacunados apropiadamente en el primer año de vida.</w:t>
      </w:r>
    </w:p>
    <w:p w14:paraId="2A7918E4" w14:textId="77777777" w:rsidR="0072615D" w:rsidRDefault="0072615D">
      <w:pPr>
        <w:pStyle w:val="BodyText"/>
        <w:ind w:firstLine="360"/>
      </w:pPr>
      <w:r>
        <w:t>En caso de que sea urgente la vacunación temprana o rápida, o en niños en quienes no se ha seguido el calendario de vacunaciones, la aplicación simultánea de productos múltiples permite obtener una protección más rápida. Además, en algunas circunstancias se puede iniciar la inmunización en fecha más temprana, en comparación con las edades recomendadas, y se pueden usar dosis a intervalos más breves que los recomendados en forma habitual (en cuanto a directrices, véase el cuadro 1-7 y las recomendaciones de inmunización en los resúmenes de enfermedades específicas en la sección 3).</w:t>
      </w:r>
    </w:p>
    <w:p w14:paraId="02BCBF5E" w14:textId="77777777" w:rsidR="0072615D" w:rsidRDefault="0072615D">
      <w:pPr>
        <w:pStyle w:val="BodyText"/>
        <w:spacing w:after="100" w:line="276" w:lineRule="auto"/>
        <w:ind w:firstLine="360"/>
      </w:pPr>
      <w:r>
        <w:t xml:space="preserve">Es posible que el calendario de vacunaciones usado en Estados Unidos tal vez no sea adecuado para países en desarrollo, por factores como diferentes riesgos de enfermedades, respuestas inmunitarias específicas de edades y disponibilidad de vacunas. Es importante consultar el calendario recomendado por el </w:t>
      </w:r>
      <w:r>
        <w:rPr>
          <w:rFonts w:ascii="Times New Roman" w:eastAsia="Times New Roman" w:hAnsi="Times New Roman" w:cs="Times New Roman"/>
          <w:i/>
          <w:iCs/>
          <w:sz w:val="16"/>
          <w:szCs w:val="16"/>
        </w:rPr>
        <w:t>Expanded Programme on Immunization</w:t>
      </w:r>
      <w:r>
        <w:t xml:space="preserve"> de la Organización Mundial de la Salud (</w:t>
      </w:r>
      <w:hyperlink r:id="rId73" w:history="1">
        <w:r>
          <w:t>www.who.org</w:t>
        </w:r>
      </w:hyperlink>
      <w:r>
        <w:t>). Los ministerios de salud de cada país, basados en consideraciones locales, podrán hacer algunas modificaciones al respecto.</w:t>
      </w:r>
    </w:p>
    <w:p w14:paraId="1E063924" w14:textId="77777777" w:rsidR="0072615D" w:rsidRDefault="0072615D">
      <w:pPr>
        <w:pStyle w:val="Bodytext70"/>
      </w:pPr>
      <w:r>
        <w:t>Edades e intervalos mínimos entre vacunaciones</w:t>
      </w:r>
    </w:p>
    <w:p w14:paraId="6FCAD233" w14:textId="77777777" w:rsidR="0072615D" w:rsidRDefault="0072615D">
      <w:pPr>
        <w:pStyle w:val="BodyText"/>
        <w:ind w:firstLine="0"/>
      </w:pPr>
      <w:r>
        <w:t>Se recomienda vacunar a los integrantes del grupo de menor edad de la población que estén expuestos al peligro de sufrir la enfermedad, y en quienes se ha demostrado eficacia, inmunogenicidad e inocuidad de las vacunas. Casi todas las vacunas en el calendario para niños y adolescentes obliga a usar dos dosis o más para estimular una respuesta adecuada y persistente de anticuerpos. Los estudios han demostrado que si se aplica en la edad recomendada y se sigue el intervalo preciso entre las aplicaciones de las dosis de los mismos antígenos, se obtiene protección y eficacia óptima. En el cuadro 1-7 se indica las edades e intervalos mínimos recomendados entre una y otra vacunaciones en el caso de productos que están dentro del calendario para niños. La aplicación de dosis de vacunas “combinadas” en lapsos más breves de los recomendados en el calendarios para niños y adolescentes, quizá se necesite en circunstancias en que el lactante o el niño está rezagado y necesita ponerse al corriente en forma acelerada o cuando es inminente un viaje internacional. En los casos en cuestión, cabe recurrir a un calendario acelerado y para ello se utilizarán criterios de edad o intervalos mínimos; este tipo de calendario no debe emplearse en la práctica cotidiana.</w:t>
      </w:r>
    </w:p>
    <w:p w14:paraId="52EEE13E" w14:textId="77777777" w:rsidR="0072615D" w:rsidRDefault="0072615D">
      <w:pPr>
        <w:pStyle w:val="BodyText"/>
        <w:spacing w:after="160"/>
        <w:ind w:firstLine="360"/>
        <w:sectPr w:rsidR="0072615D" w:rsidSect="0072615D">
          <w:headerReference w:type="even" r:id="rId74"/>
          <w:headerReference w:type="default" r:id="rId75"/>
          <w:footerReference w:type="even" r:id="rId76"/>
          <w:footerReference w:type="default" r:id="rId77"/>
          <w:footnotePr>
            <w:numFmt w:val="chicago"/>
          </w:footnotePr>
          <w:type w:val="continuous"/>
          <w:pgSz w:w="8501" w:h="13022"/>
          <w:pgMar w:top="659" w:right="748" w:bottom="521" w:left="832" w:header="0" w:footer="3" w:gutter="0"/>
          <w:cols w:space="720"/>
          <w:noEndnote/>
          <w:docGrid w:linePitch="360"/>
          <w15:footnoteColumns w:val="1"/>
        </w:sectPr>
      </w:pPr>
      <w:r>
        <w:t>Es importante no administrar las vacunas a intervalos menores de los mínimos recomendados o en edades más tempranas de la mínima recomendada (es decir, el calendario acelerado). Sin embargo, puede haber dos excepciones de tal norma. La primera corresponde a la vacuna contra el sarampión durante un brote de esta enfermedad, situación en la cual se puede aplicar la vacuna antes de los 12 meses de edad. Sin embargo, si la vacuna mencionada se administra antes de ese límite cronológico, es mejor no tomar en cuenta dicha dosis y volver a aplicar la vacuna cuando el niño tenga 12 a 15 meses de edad, y usar la MMR (véase “Sarampión” sección 3). El segundo punto por considerar consiste en administrar una dosis días antes de lo que corresponde al intervalo o edad mínimos, y es poco probable que tal dosis ejerza un efecto sustancialmente negativo en la respuesta inmunitaria. Es necesario no programar las vacunaciones a intervalos o en edades menores de los mismos que se indican en el cuadro 1-7, pero a veces es llevado el menor en fecha temprana al</w:t>
      </w:r>
    </w:p>
    <w:p w14:paraId="3143E4F6" w14:textId="77777777" w:rsidR="0072615D" w:rsidRDefault="0072615D">
      <w:pPr>
        <w:pStyle w:val="BodyText"/>
        <w:ind w:firstLine="360"/>
      </w:pPr>
      <w:r>
        <w:t>En el cuadro 1-6 se incluye el calendario recomendado para niños que no han sido vacunados apropiadamente en el primer año de vida.</w:t>
      </w:r>
    </w:p>
    <w:p w14:paraId="14B37841" w14:textId="77777777" w:rsidR="0072615D" w:rsidRDefault="0072615D">
      <w:pPr>
        <w:pStyle w:val="BodyText"/>
        <w:ind w:firstLine="360"/>
      </w:pPr>
      <w:r>
        <w:t>En caso de que sea urgente la vacunación temprana o rápida, o en niños en quienes no se ha seguido el calendario de vacunaciones, la aplicación simultánea de productos múltiples permite obtener una protección más rápida. Además, en algunas circunstancias se puede iniciar la inmunización en fecha más temprana, en comparación con las edades recomendadas, y se pueden usar dosis a intervalos más breves que los recomendados en forma habitual (en cuanto a directrices, véase el cuadro 1-7 y las recomendaciones de inmunización en los resúmenes de enfermedades específicas en la sección 3).</w:t>
      </w:r>
    </w:p>
    <w:p w14:paraId="441902A5" w14:textId="77777777" w:rsidR="0072615D" w:rsidRDefault="0072615D">
      <w:pPr>
        <w:pStyle w:val="BodyText"/>
        <w:spacing w:after="100" w:line="276" w:lineRule="auto"/>
        <w:ind w:firstLine="360"/>
      </w:pPr>
      <w:r>
        <w:t xml:space="preserve">Es posible que el calendario de vacunaciones usado en Estados Unidos tal vez no sea adecuado para países en desarrollo, por factores como diferentes riesgos de enfermedades, respuestas inmunitarias específicas de edades y disponibilidad de vacunas. Es importante consultar el calendario recomendado por el </w:t>
      </w:r>
      <w:r>
        <w:rPr>
          <w:rFonts w:ascii="Times New Roman" w:eastAsia="Times New Roman" w:hAnsi="Times New Roman" w:cs="Times New Roman"/>
          <w:i/>
          <w:iCs/>
          <w:sz w:val="16"/>
          <w:szCs w:val="16"/>
        </w:rPr>
        <w:t>Expanded Programme on Immunization</w:t>
      </w:r>
      <w:r>
        <w:t xml:space="preserve"> de la Organización Mundial de la Salud (</w:t>
      </w:r>
      <w:hyperlink r:id="rId78" w:history="1">
        <w:r>
          <w:t>www.who.org</w:t>
        </w:r>
      </w:hyperlink>
      <w:r>
        <w:t>). Los ministerios de salud de cada país, basados en consideraciones locales, podrán hacer algunas modificaciones al respecto.</w:t>
      </w:r>
    </w:p>
    <w:p w14:paraId="0E875427" w14:textId="77777777" w:rsidR="0072615D" w:rsidRDefault="0072615D">
      <w:pPr>
        <w:pStyle w:val="Bodytext70"/>
      </w:pPr>
      <w:r>
        <w:t>Edades e intervalos mínimos entre vacunaciones</w:t>
      </w:r>
    </w:p>
    <w:p w14:paraId="78B41855" w14:textId="77777777" w:rsidR="0072615D" w:rsidRDefault="0072615D">
      <w:pPr>
        <w:pStyle w:val="BodyText"/>
        <w:ind w:firstLine="0"/>
      </w:pPr>
      <w:r>
        <w:t>Se recomienda vacunar a los integrantes del grupo de menor edad de la población que estén expuestos al peligro de sufrir la enfermedad, y en quienes se ha demostrado eficacia, inmunogenicidad e inocuidad de las vacunas. Casi todas las vacunas en el calendario para niños y adolescentes obliga a usar dos dosis o más para estimular una respuesta adecuada y persistente de anticuerpos. Los estudios han demostrado que si se aplica en la edad recomendada y se sigue el intervalo preciso entre las aplicaciones de las dosis de los mismos antígenos, se obtiene protección y eficacia óptima. En el cuadro 1-7 se indica las edades e intervalos mínimos recomendados entre una y otra vacunaciones en el caso de productos que están dentro del calendario para niños. La aplicación de dosis de vacunas “combinadas” en lapsos más breves de los recomendados en el calendarios para niños y adolescentes, quizá se necesite en circunstancias en que el lactante o el niño está rezagado y necesita ponerse al corriente en forma acelerada o cuando es inminente un viaje internacional. En los casos en cuestión, cabe recurrir a un calendario acelerado y para ello se utilizarán criterios de edad o intervalos mínimos; este tipo de calendario no debe emplearse en la práctica cotidiana.</w:t>
      </w:r>
    </w:p>
    <w:p w14:paraId="30166F9D" w14:textId="77777777" w:rsidR="0072615D" w:rsidRDefault="0072615D">
      <w:pPr>
        <w:pStyle w:val="BodyText"/>
        <w:spacing w:after="160"/>
        <w:ind w:firstLine="360"/>
        <w:sectPr w:rsidR="0072615D" w:rsidSect="0072615D">
          <w:headerReference w:type="even" r:id="rId79"/>
          <w:headerReference w:type="default" r:id="rId80"/>
          <w:footerReference w:type="even" r:id="rId81"/>
          <w:footerReference w:type="default" r:id="rId82"/>
          <w:footnotePr>
            <w:numFmt w:val="chicago"/>
          </w:footnotePr>
          <w:type w:val="continuous"/>
          <w:pgSz w:w="8501" w:h="13022"/>
          <w:pgMar w:top="659" w:right="748" w:bottom="521" w:left="832" w:header="0" w:footer="93" w:gutter="0"/>
          <w:cols w:space="720"/>
          <w:noEndnote/>
          <w:docGrid w:linePitch="360"/>
          <w15:footnoteColumns w:val="1"/>
        </w:sectPr>
      </w:pPr>
      <w:r>
        <w:t>Es importante no administrar las vacunas a intervalos menores de los mínimos recomendados o en edades más tempranas de la mínima recomendada (es decir, el calendario acelerado). Sin embargo, puede haber dos excepciones de tal norma. La primera corresponde a la vacuna contra el sarampión durante un brote de esta enfermedad, situación en la cual se puede aplicar la vacuna antes de los 12 meses de edad. Sin embargo, si la vacuna mencionada se administra antes de ese límite cronológico, es mejor no tomar en cuenta dicha dosis y volver a aplicar la vacuna cuando el niño tenga 12 a 15 meses de edad, y usar la MMR (véase “Sarampión” sección 3). El segundo punto por considerar consiste en administrar una dosis días antes de lo que corresponde al intervalo o edad mínimos, y es poco probable que tal dosis ejerza un efecto sustancialmente negativo en la respuesta inmunitaria. Es necesario no programar las vacunaciones a intervalos o en edades menores de los mismos que se indican en el cuadro 1-7, pero a veces es llevado el menor en fecha temprana al</w:t>
      </w:r>
    </w:p>
    <w:p w14:paraId="67C4A1E4" w14:textId="77777777" w:rsidR="0072615D" w:rsidRDefault="0072615D">
      <w:pPr>
        <w:pStyle w:val="Bodytext20"/>
        <w:framePr w:w="571" w:h="221" w:wrap="none" w:hAnchor="page" w:x="649" w:y="1950"/>
        <w:spacing w:line="240" w:lineRule="auto"/>
        <w:jc w:val="both"/>
      </w:pPr>
      <w:r>
        <w:t>Vacuna</w:t>
      </w:r>
    </w:p>
    <w:p w14:paraId="7D838915" w14:textId="77777777" w:rsidR="0072615D" w:rsidRDefault="0072615D">
      <w:pPr>
        <w:pStyle w:val="Bodytext20"/>
        <w:framePr w:w="413" w:h="226" w:wrap="none" w:hAnchor="page" w:x="1671" w:y="1806"/>
        <w:spacing w:line="240" w:lineRule="auto"/>
      </w:pPr>
      <w:r>
        <w:t>Edad</w:t>
      </w:r>
    </w:p>
    <w:p w14:paraId="3A2EE1FE" w14:textId="77777777" w:rsidR="0072615D" w:rsidRDefault="0072615D">
      <w:pPr>
        <w:pStyle w:val="Bodytext20"/>
        <w:framePr w:w="893" w:h="240" w:wrap="none" w:hAnchor="page" w:x="663" w:y="2449"/>
        <w:spacing w:line="240" w:lineRule="auto"/>
      </w:pPr>
      <w:r>
        <w:t>Hepatitis B</w:t>
      </w:r>
      <w:r>
        <w:rPr>
          <w:vertAlign w:val="superscript"/>
        </w:rPr>
        <w:t>1</w:t>
      </w:r>
    </w:p>
    <w:p w14:paraId="33A08E63" w14:textId="77777777" w:rsidR="0072615D" w:rsidRDefault="0072615D">
      <w:pPr>
        <w:pStyle w:val="Bodytext20"/>
        <w:framePr w:w="1522" w:h="2064" w:wrap="none" w:hAnchor="page" w:x="649" w:y="2886"/>
        <w:spacing w:line="288" w:lineRule="auto"/>
      </w:pPr>
      <w:r>
        <w:t>Difteria, tétanos y tos ferina</w:t>
      </w:r>
      <w:r>
        <w:rPr>
          <w:vertAlign w:val="superscript"/>
        </w:rPr>
        <w:t xml:space="preserve">2 </w:t>
      </w:r>
      <w:r>
        <w:rPr>
          <w:i/>
          <w:iCs/>
        </w:rPr>
        <w:t>Haemophilus influenzae</w:t>
      </w:r>
      <w:r>
        <w:t xml:space="preserve"> tipo b</w:t>
      </w:r>
      <w:r>
        <w:rPr>
          <w:vertAlign w:val="superscript"/>
        </w:rPr>
        <w:t>3</w:t>
      </w:r>
    </w:p>
    <w:p w14:paraId="31833FE3" w14:textId="77777777" w:rsidR="0072615D" w:rsidRDefault="0072615D">
      <w:pPr>
        <w:pStyle w:val="Bodytext20"/>
        <w:framePr w:w="1522" w:h="2064" w:wrap="none" w:hAnchor="page" w:x="649" w:y="2886"/>
        <w:spacing w:line="288" w:lineRule="auto"/>
      </w:pPr>
      <w:r>
        <w:t>Poliomielitis (virus inactivado)</w:t>
      </w:r>
    </w:p>
    <w:p w14:paraId="1336ABBA" w14:textId="77777777" w:rsidR="0072615D" w:rsidRDefault="0072615D">
      <w:pPr>
        <w:pStyle w:val="Bodytext20"/>
        <w:framePr w:w="1522" w:h="2064" w:wrap="none" w:hAnchor="page" w:x="649" w:y="2886"/>
        <w:spacing w:after="40" w:line="288" w:lineRule="auto"/>
      </w:pPr>
      <w:r>
        <w:t>Sarampión, parotiditis y rubéola</w:t>
      </w:r>
      <w:r>
        <w:rPr>
          <w:vertAlign w:val="superscript"/>
        </w:rPr>
        <w:t>4</w:t>
      </w:r>
    </w:p>
    <w:p w14:paraId="3366C441" w14:textId="77777777" w:rsidR="0072615D" w:rsidRDefault="0072615D">
      <w:pPr>
        <w:pStyle w:val="Bodytext20"/>
        <w:framePr w:w="1522" w:h="2064" w:wrap="none" w:hAnchor="page" w:x="649" w:y="2886"/>
        <w:spacing w:line="288" w:lineRule="auto"/>
      </w:pPr>
      <w:r>
        <w:t>Varicela</w:t>
      </w:r>
      <w:r>
        <w:rPr>
          <w:vertAlign w:val="superscript"/>
        </w:rPr>
        <w:t>5</w:t>
      </w:r>
    </w:p>
    <w:p w14:paraId="0883C89C" w14:textId="77777777" w:rsidR="0072615D" w:rsidRDefault="0072615D">
      <w:pPr>
        <w:pStyle w:val="Bodytext20"/>
        <w:framePr w:w="1656" w:h="461" w:wrap="none" w:hAnchor="page" w:x="663" w:y="5099"/>
        <w:spacing w:line="240" w:lineRule="auto"/>
      </w:pPr>
      <w:r>
        <w:t>Contra neumococos</w:t>
      </w:r>
      <w:r>
        <w:rPr>
          <w:vertAlign w:val="superscript"/>
        </w:rPr>
        <w:t>6</w:t>
      </w:r>
    </w:p>
    <w:p w14:paraId="42B3B7BA" w14:textId="77777777" w:rsidR="0072615D" w:rsidRDefault="0072615D">
      <w:pPr>
        <w:pStyle w:val="Bodytext20"/>
        <w:framePr w:w="1656" w:h="461" w:wrap="none" w:hAnchor="page" w:x="663" w:y="5099"/>
        <w:spacing w:line="240" w:lineRule="auto"/>
      </w:pPr>
      <w:r>
        <w:t>............... Las</w:t>
      </w:r>
    </w:p>
    <w:p w14:paraId="039C371C" w14:textId="77777777" w:rsidR="0072615D" w:rsidRDefault="0072615D">
      <w:pPr>
        <w:pStyle w:val="Bodytext20"/>
        <w:framePr w:w="902" w:h="235" w:wrap="none" w:hAnchor="page" w:x="663" w:y="5598"/>
        <w:spacing w:line="240" w:lineRule="auto"/>
        <w:rPr>
          <w:sz w:val="10"/>
          <w:szCs w:val="10"/>
        </w:rPr>
      </w:pPr>
      <w:r>
        <w:t>Hepatitis A</w:t>
      </w:r>
      <w:r>
        <w:rPr>
          <w:sz w:val="10"/>
          <w:szCs w:val="10"/>
        </w:rPr>
        <w:t>7</w:t>
      </w:r>
    </w:p>
    <w:p w14:paraId="1AFAED2A" w14:textId="77777777" w:rsidR="0072615D" w:rsidRDefault="0072615D">
      <w:pPr>
        <w:pStyle w:val="Bodytext20"/>
        <w:framePr w:w="744" w:h="226" w:wrap="none" w:hAnchor="page" w:x="663" w:y="5939"/>
        <w:spacing w:line="240" w:lineRule="auto"/>
      </w:pPr>
      <w:r>
        <w:t>Influenza</w:t>
      </w:r>
      <w:r>
        <w:rPr>
          <w:vertAlign w:val="superscript"/>
        </w:rPr>
        <w:t>8</w:t>
      </w:r>
    </w:p>
    <w:p w14:paraId="27691C62" w14:textId="77777777" w:rsidR="0072615D" w:rsidRDefault="0072615D">
      <w:pPr>
        <w:pStyle w:val="Heading31"/>
        <w:keepNext/>
        <w:keepLines/>
        <w:framePr w:w="5875" w:h="317" w:wrap="none" w:hAnchor="page" w:x="3399" w:y="1"/>
        <w:pBdr>
          <w:bottom w:val="single" w:sz="4" w:space="0" w:color="auto"/>
        </w:pBdr>
      </w:pPr>
      <w:bookmarkStart w:id="140" w:name="bookmark140"/>
      <w:bookmarkStart w:id="141" w:name="bookmark141"/>
      <w:bookmarkStart w:id="142" w:name="bookmark142"/>
      <w:r>
        <w:rPr>
          <w:b w:val="0"/>
          <w:bCs w:val="0"/>
        </w:rPr>
        <w:t xml:space="preserve">Figura 1- 1. </w:t>
      </w:r>
      <w:r>
        <w:t>Calendario de vacunaciones de niños y adolescentes</w:t>
      </w:r>
      <w:bookmarkEnd w:id="140"/>
      <w:bookmarkEnd w:id="141"/>
      <w:bookmarkEnd w:id="142"/>
    </w:p>
    <w:p w14:paraId="067290F4" w14:textId="77777777" w:rsidR="0072615D" w:rsidRDefault="0072615D">
      <w:pPr>
        <w:pStyle w:val="Heading41"/>
        <w:keepNext/>
        <w:keepLines/>
        <w:framePr w:w="7805" w:h="552" w:wrap="none" w:hAnchor="page" w:x="2435" w:y="659"/>
        <w:spacing w:line="218" w:lineRule="auto"/>
        <w:jc w:val="center"/>
      </w:pPr>
      <w:bookmarkStart w:id="143" w:name="bookmark143"/>
      <w:bookmarkStart w:id="144" w:name="bookmark144"/>
      <w:bookmarkStart w:id="145" w:name="bookmark145"/>
      <w:r>
        <w:rPr>
          <w:color w:val="231F20"/>
          <w:w w:val="100"/>
        </w:rPr>
        <w:t>Calendario recomendado de vacunaciones de niños y adolescentes</w:t>
      </w:r>
      <w:r>
        <w:rPr>
          <w:color w:val="231F20"/>
          <w:w w:val="100"/>
        </w:rPr>
        <w:br/>
        <w:t>Estados Unidos, 2003</w:t>
      </w:r>
      <w:bookmarkEnd w:id="143"/>
      <w:bookmarkEnd w:id="144"/>
      <w:bookmarkEnd w:id="145"/>
    </w:p>
    <w:p w14:paraId="742FA0B4" w14:textId="77777777" w:rsidR="0072615D" w:rsidRDefault="0072615D">
      <w:pPr>
        <w:pStyle w:val="Bodytext20"/>
        <w:framePr w:w="2731" w:h="302" w:wrap="none" w:hAnchor="page" w:x="2540" w:y="1359"/>
        <w:spacing w:line="240" w:lineRule="auto"/>
        <w:jc w:val="center"/>
      </w:pPr>
      <w:r>
        <w:t>límites de edades recomendadas</w:t>
      </w:r>
    </w:p>
    <w:p w14:paraId="6234FED7" w14:textId="77777777" w:rsidR="0072615D" w:rsidRDefault="0072615D">
      <w:pPr>
        <w:pStyle w:val="Bodytext20"/>
        <w:framePr w:w="2434" w:h="298" w:wrap="none" w:hAnchor="page" w:x="6044" w:y="1350"/>
        <w:spacing w:line="240" w:lineRule="auto"/>
        <w:jc w:val="center"/>
      </w:pPr>
      <w:r>
        <w:t>vacunación para ponerse al día</w:t>
      </w:r>
    </w:p>
    <w:p w14:paraId="26217C36" w14:textId="77777777" w:rsidR="0072615D" w:rsidRDefault="0072615D">
      <w:pPr>
        <w:pStyle w:val="Bodytext20"/>
        <w:framePr w:w="1642" w:h="422" w:wrap="none" w:hAnchor="page" w:x="9654" w:y="1302"/>
        <w:spacing w:line="257" w:lineRule="auto"/>
        <w:jc w:val="center"/>
      </w:pPr>
      <w:r>
        <w:t>valoración inicial antes</w:t>
      </w:r>
      <w:r>
        <w:br/>
        <w:t>de la adolescencia</w:t>
      </w:r>
    </w:p>
    <w:p w14:paraId="6DA6F1FD" w14:textId="77777777" w:rsidR="0072615D" w:rsidRDefault="0072615D">
      <w:pPr>
        <w:pStyle w:val="Bodytext20"/>
        <w:framePr w:w="878" w:h="221" w:wrap="none" w:hAnchor="page" w:x="2358" w:y="1950"/>
        <w:spacing w:line="240" w:lineRule="auto"/>
      </w:pPr>
      <w:r>
        <w:t>Nacimiento</w:t>
      </w:r>
    </w:p>
    <w:p w14:paraId="389E76F7" w14:textId="77777777" w:rsidR="0072615D" w:rsidRDefault="0072615D">
      <w:pPr>
        <w:pStyle w:val="Bodytext20"/>
        <w:framePr w:w="312" w:h="360" w:wrap="none" w:hAnchor="page" w:x="3476" w:y="1811"/>
        <w:spacing w:line="240" w:lineRule="auto"/>
      </w:pPr>
      <w:r>
        <w:t>1</w:t>
      </w:r>
    </w:p>
    <w:p w14:paraId="3246A58B" w14:textId="77777777" w:rsidR="0072615D" w:rsidRDefault="0072615D">
      <w:pPr>
        <w:pStyle w:val="Bodytext20"/>
        <w:framePr w:w="312" w:h="360" w:wrap="none" w:hAnchor="page" w:x="3476" w:y="1811"/>
        <w:spacing w:line="180" w:lineRule="auto"/>
      </w:pPr>
      <w:r>
        <w:t>mes</w:t>
      </w:r>
    </w:p>
    <w:p w14:paraId="5B4987BB" w14:textId="77777777" w:rsidR="0072615D" w:rsidRDefault="0072615D">
      <w:pPr>
        <w:pStyle w:val="Bodytext20"/>
        <w:framePr w:w="442" w:h="360" w:wrap="none" w:hAnchor="page" w:x="4215" w:y="1811"/>
        <w:spacing w:line="182" w:lineRule="auto"/>
        <w:jc w:val="center"/>
      </w:pPr>
      <w:r>
        <w:t>2</w:t>
      </w:r>
      <w:r>
        <w:br/>
        <w:t>meses</w:t>
      </w:r>
    </w:p>
    <w:p w14:paraId="2EE900A7" w14:textId="77777777" w:rsidR="0072615D" w:rsidRDefault="0072615D">
      <w:pPr>
        <w:pStyle w:val="Bodytext20"/>
        <w:framePr w:w="442" w:h="365" w:wrap="none" w:hAnchor="page" w:x="5022" w:y="1806"/>
        <w:spacing w:line="240" w:lineRule="auto"/>
        <w:jc w:val="center"/>
      </w:pPr>
      <w:r>
        <w:t>4</w:t>
      </w:r>
    </w:p>
    <w:p w14:paraId="3BCAD9D7" w14:textId="77777777" w:rsidR="0072615D" w:rsidRDefault="0072615D">
      <w:pPr>
        <w:pStyle w:val="Bodytext20"/>
        <w:framePr w:w="442" w:h="365" w:wrap="none" w:hAnchor="page" w:x="5022" w:y="1806"/>
        <w:spacing w:line="180" w:lineRule="auto"/>
      </w:pPr>
      <w:r>
        <w:t>meses</w:t>
      </w:r>
    </w:p>
    <w:p w14:paraId="7013D868" w14:textId="77777777" w:rsidR="0072615D" w:rsidRDefault="0072615D">
      <w:pPr>
        <w:pStyle w:val="Bodytext20"/>
        <w:framePr w:w="442" w:h="360" w:wrap="none" w:hAnchor="page" w:x="5828" w:y="1811"/>
        <w:spacing w:line="240" w:lineRule="auto"/>
        <w:jc w:val="center"/>
      </w:pPr>
      <w:r>
        <w:t>6</w:t>
      </w:r>
    </w:p>
    <w:p w14:paraId="4461FCAD" w14:textId="77777777" w:rsidR="0072615D" w:rsidRDefault="0072615D">
      <w:pPr>
        <w:pStyle w:val="Bodytext20"/>
        <w:framePr w:w="442" w:h="360" w:wrap="none" w:hAnchor="page" w:x="5828" w:y="1811"/>
        <w:spacing w:line="180" w:lineRule="auto"/>
        <w:jc w:val="center"/>
      </w:pPr>
      <w:r>
        <w:t>meses</w:t>
      </w:r>
    </w:p>
    <w:p w14:paraId="7E274C17" w14:textId="77777777" w:rsidR="0072615D" w:rsidRDefault="0072615D">
      <w:pPr>
        <w:pStyle w:val="Bodytext20"/>
        <w:framePr w:w="446" w:h="360" w:wrap="none" w:hAnchor="page" w:x="6630" w:y="1811"/>
        <w:spacing w:line="240" w:lineRule="auto"/>
        <w:jc w:val="center"/>
      </w:pPr>
      <w:r>
        <w:t>12</w:t>
      </w:r>
    </w:p>
    <w:p w14:paraId="449F06FD" w14:textId="77777777" w:rsidR="0072615D" w:rsidRDefault="0072615D">
      <w:pPr>
        <w:pStyle w:val="Bodytext20"/>
        <w:framePr w:w="446" w:h="360" w:wrap="none" w:hAnchor="page" w:x="6630" w:y="1811"/>
        <w:spacing w:line="180" w:lineRule="auto"/>
      </w:pPr>
      <w:r>
        <w:t>meses</w:t>
      </w:r>
    </w:p>
    <w:p w14:paraId="23DC02D6" w14:textId="77777777" w:rsidR="0072615D" w:rsidRDefault="0072615D">
      <w:pPr>
        <w:pStyle w:val="Bodytext20"/>
        <w:framePr w:w="442" w:h="360" w:wrap="none" w:hAnchor="page" w:x="7436" w:y="1811"/>
        <w:spacing w:line="240" w:lineRule="auto"/>
      </w:pPr>
      <w:r>
        <w:t>15</w:t>
      </w:r>
    </w:p>
    <w:p w14:paraId="4A6586EF" w14:textId="77777777" w:rsidR="0072615D" w:rsidRDefault="0072615D">
      <w:pPr>
        <w:pStyle w:val="Bodytext20"/>
        <w:framePr w:w="442" w:h="360" w:wrap="none" w:hAnchor="page" w:x="7436" w:y="1811"/>
        <w:spacing w:line="180" w:lineRule="auto"/>
      </w:pPr>
      <w:r>
        <w:t>meses</w:t>
      </w:r>
    </w:p>
    <w:p w14:paraId="33F66BB2" w14:textId="77777777" w:rsidR="0072615D" w:rsidRDefault="0072615D">
      <w:pPr>
        <w:pStyle w:val="Bodytext20"/>
        <w:framePr w:w="442" w:h="360" w:wrap="none" w:hAnchor="page" w:x="8243" w:y="1811"/>
        <w:spacing w:line="240" w:lineRule="auto"/>
        <w:jc w:val="center"/>
      </w:pPr>
      <w:r>
        <w:t>18</w:t>
      </w:r>
    </w:p>
    <w:p w14:paraId="0F8E6296" w14:textId="77777777" w:rsidR="0072615D" w:rsidRDefault="0072615D">
      <w:pPr>
        <w:pStyle w:val="Bodytext20"/>
        <w:framePr w:w="442" w:h="360" w:wrap="none" w:hAnchor="page" w:x="8243" w:y="1811"/>
        <w:spacing w:line="180" w:lineRule="auto"/>
      </w:pPr>
      <w:r>
        <w:t>meses</w:t>
      </w:r>
    </w:p>
    <w:p w14:paraId="6468BC94" w14:textId="77777777" w:rsidR="0072615D" w:rsidRDefault="0072615D">
      <w:pPr>
        <w:pStyle w:val="Bodytext20"/>
        <w:framePr w:w="600" w:h="230" w:wrap="none" w:hAnchor="page" w:x="2492" w:y="2262"/>
        <w:spacing w:line="240" w:lineRule="auto"/>
      </w:pPr>
      <w:r>
        <w:t>HepB #</w:t>
      </w:r>
    </w:p>
    <w:p w14:paraId="21175A6D" w14:textId="77777777" w:rsidR="0072615D" w:rsidRDefault="0072615D">
      <w:pPr>
        <w:pStyle w:val="Bodytext60"/>
        <w:framePr w:w="1406" w:h="317" w:wrap="none" w:hAnchor="page" w:x="3337" w:y="2214"/>
        <w:spacing w:line="276" w:lineRule="auto"/>
        <w:ind w:left="0" w:firstLine="0"/>
        <w:jc w:val="center"/>
        <w:rPr>
          <w:sz w:val="11"/>
          <w:szCs w:val="11"/>
        </w:rPr>
      </w:pPr>
      <w:r>
        <w:rPr>
          <w:sz w:val="11"/>
          <w:szCs w:val="11"/>
        </w:rPr>
        <w:t>Sólo sí la madre no tiene el</w:t>
      </w:r>
      <w:r>
        <w:rPr>
          <w:sz w:val="11"/>
          <w:szCs w:val="11"/>
        </w:rPr>
        <w:br/>
        <w:t>antígeno de superficie de HB</w:t>
      </w:r>
    </w:p>
    <w:tbl>
      <w:tblPr>
        <w:tblOverlap w:val="never"/>
        <w:tblW w:w="0" w:type="auto"/>
        <w:tblLayout w:type="fixed"/>
        <w:tblCellMar>
          <w:left w:w="10" w:type="dxa"/>
          <w:right w:w="10" w:type="dxa"/>
        </w:tblCellMar>
        <w:tblLook w:val="04A0" w:firstRow="1" w:lastRow="0" w:firstColumn="1" w:lastColumn="0" w:noHBand="0" w:noVBand="1"/>
      </w:tblPr>
      <w:tblGrid>
        <w:gridCol w:w="802"/>
        <w:gridCol w:w="816"/>
        <w:gridCol w:w="734"/>
      </w:tblGrid>
      <w:tr w:rsidR="0072615D" w14:paraId="0DD47815" w14:textId="77777777">
        <w:tblPrEx>
          <w:tblCellMar>
            <w:top w:w="0" w:type="dxa"/>
            <w:bottom w:w="0" w:type="dxa"/>
          </w:tblCellMar>
        </w:tblPrEx>
        <w:trPr>
          <w:trHeight w:hRule="exact" w:val="293"/>
        </w:trPr>
        <w:tc>
          <w:tcPr>
            <w:tcW w:w="1618" w:type="dxa"/>
            <w:gridSpan w:val="2"/>
            <w:shd w:val="clear" w:color="auto" w:fill="BCBDC1"/>
            <w:vAlign w:val="bottom"/>
          </w:tcPr>
          <w:p w14:paraId="17F4C737" w14:textId="77777777" w:rsidR="0072615D" w:rsidRDefault="0072615D">
            <w:pPr>
              <w:pStyle w:val="Other0"/>
              <w:framePr w:w="2352" w:h="2832" w:wrap="none" w:hAnchor="page" w:x="4019" w:y="2531"/>
              <w:spacing w:line="240" w:lineRule="auto"/>
              <w:ind w:firstLine="0"/>
              <w:rPr>
                <w:sz w:val="16"/>
                <w:szCs w:val="16"/>
              </w:rPr>
            </w:pPr>
            <w:r>
              <w:rPr>
                <w:rFonts w:ascii="Times New Roman" w:eastAsia="Times New Roman" w:hAnsi="Times New Roman" w:cs="Times New Roman"/>
                <w:sz w:val="16"/>
                <w:szCs w:val="16"/>
              </w:rPr>
              <w:t>HepB #2</w:t>
            </w:r>
          </w:p>
        </w:tc>
        <w:tc>
          <w:tcPr>
            <w:tcW w:w="734" w:type="dxa"/>
            <w:tcBorders>
              <w:left w:val="single" w:sz="4" w:space="0" w:color="auto"/>
            </w:tcBorders>
            <w:shd w:val="clear" w:color="auto" w:fill="BCBDC1"/>
          </w:tcPr>
          <w:p w14:paraId="248B44A0" w14:textId="77777777" w:rsidR="0072615D" w:rsidRDefault="0072615D">
            <w:pPr>
              <w:framePr w:w="2352" w:h="2832" w:wrap="none" w:hAnchor="page" w:x="4019" w:y="2531"/>
              <w:rPr>
                <w:sz w:val="10"/>
                <w:szCs w:val="10"/>
              </w:rPr>
            </w:pPr>
          </w:p>
        </w:tc>
      </w:tr>
      <w:tr w:rsidR="0072615D" w14:paraId="12B95620" w14:textId="77777777">
        <w:tblPrEx>
          <w:tblCellMar>
            <w:top w:w="0" w:type="dxa"/>
            <w:bottom w:w="0" w:type="dxa"/>
          </w:tblCellMar>
        </w:tblPrEx>
        <w:trPr>
          <w:trHeight w:hRule="exact" w:val="384"/>
        </w:trPr>
        <w:tc>
          <w:tcPr>
            <w:tcW w:w="802" w:type="dxa"/>
            <w:tcBorders>
              <w:left w:val="single" w:sz="4" w:space="0" w:color="auto"/>
            </w:tcBorders>
            <w:shd w:val="clear" w:color="auto" w:fill="FFFFFF"/>
            <w:vAlign w:val="center"/>
          </w:tcPr>
          <w:p w14:paraId="2B0F7BD2" w14:textId="77777777" w:rsidR="0072615D" w:rsidRDefault="0072615D">
            <w:pPr>
              <w:pStyle w:val="Other0"/>
              <w:framePr w:w="2352" w:h="2832" w:wrap="none" w:hAnchor="page" w:x="4019" w:y="2531"/>
              <w:spacing w:line="240" w:lineRule="auto"/>
              <w:ind w:firstLine="0"/>
              <w:jc w:val="center"/>
              <w:rPr>
                <w:sz w:val="16"/>
                <w:szCs w:val="16"/>
              </w:rPr>
            </w:pPr>
            <w:r>
              <w:rPr>
                <w:rFonts w:ascii="Times New Roman" w:eastAsia="Times New Roman" w:hAnsi="Times New Roman" w:cs="Times New Roman"/>
                <w:sz w:val="16"/>
                <w:szCs w:val="16"/>
              </w:rPr>
              <w:t>DTaP</w:t>
            </w:r>
          </w:p>
        </w:tc>
        <w:tc>
          <w:tcPr>
            <w:tcW w:w="816" w:type="dxa"/>
            <w:tcBorders>
              <w:left w:val="single" w:sz="4" w:space="0" w:color="auto"/>
            </w:tcBorders>
            <w:shd w:val="clear" w:color="auto" w:fill="FFFFFF"/>
            <w:vAlign w:val="center"/>
          </w:tcPr>
          <w:p w14:paraId="0C0DF7FE" w14:textId="77777777" w:rsidR="0072615D" w:rsidRDefault="0072615D">
            <w:pPr>
              <w:pStyle w:val="Other0"/>
              <w:framePr w:w="2352" w:h="2832" w:wrap="none" w:hAnchor="page" w:x="4019" w:y="2531"/>
              <w:spacing w:line="240" w:lineRule="auto"/>
              <w:ind w:firstLine="0"/>
              <w:jc w:val="center"/>
              <w:rPr>
                <w:sz w:val="16"/>
                <w:szCs w:val="16"/>
              </w:rPr>
            </w:pPr>
            <w:r>
              <w:rPr>
                <w:rFonts w:ascii="Times New Roman" w:eastAsia="Times New Roman" w:hAnsi="Times New Roman" w:cs="Times New Roman"/>
                <w:sz w:val="16"/>
                <w:szCs w:val="16"/>
              </w:rPr>
              <w:t>DTaP</w:t>
            </w:r>
          </w:p>
        </w:tc>
        <w:tc>
          <w:tcPr>
            <w:tcW w:w="734" w:type="dxa"/>
            <w:tcBorders>
              <w:left w:val="single" w:sz="4" w:space="0" w:color="auto"/>
            </w:tcBorders>
            <w:shd w:val="clear" w:color="auto" w:fill="FFFFFF"/>
            <w:vAlign w:val="center"/>
          </w:tcPr>
          <w:p w14:paraId="0EEF7071" w14:textId="77777777" w:rsidR="0072615D" w:rsidRDefault="0072615D">
            <w:pPr>
              <w:pStyle w:val="Other0"/>
              <w:framePr w:w="2352" w:h="2832" w:wrap="none" w:hAnchor="page" w:x="4019" w:y="2531"/>
              <w:spacing w:line="240" w:lineRule="auto"/>
              <w:ind w:firstLine="200"/>
              <w:rPr>
                <w:sz w:val="16"/>
                <w:szCs w:val="16"/>
              </w:rPr>
            </w:pPr>
            <w:r>
              <w:rPr>
                <w:rFonts w:ascii="Times New Roman" w:eastAsia="Times New Roman" w:hAnsi="Times New Roman" w:cs="Times New Roman"/>
                <w:sz w:val="16"/>
                <w:szCs w:val="16"/>
              </w:rPr>
              <w:t>DTaP</w:t>
            </w:r>
          </w:p>
        </w:tc>
      </w:tr>
      <w:tr w:rsidR="0072615D" w14:paraId="7460417E" w14:textId="77777777">
        <w:tblPrEx>
          <w:tblCellMar>
            <w:top w:w="0" w:type="dxa"/>
            <w:bottom w:w="0" w:type="dxa"/>
          </w:tblCellMar>
        </w:tblPrEx>
        <w:trPr>
          <w:trHeight w:hRule="exact" w:val="576"/>
        </w:trPr>
        <w:tc>
          <w:tcPr>
            <w:tcW w:w="802" w:type="dxa"/>
            <w:tcBorders>
              <w:left w:val="single" w:sz="4" w:space="0" w:color="auto"/>
            </w:tcBorders>
            <w:shd w:val="clear" w:color="auto" w:fill="FFFFFF"/>
            <w:vAlign w:val="center"/>
          </w:tcPr>
          <w:p w14:paraId="6B29D081" w14:textId="77777777" w:rsidR="0072615D" w:rsidRDefault="0072615D">
            <w:pPr>
              <w:pStyle w:val="Other0"/>
              <w:framePr w:w="2352" w:h="2832" w:wrap="none" w:hAnchor="page" w:x="4019" w:y="2531"/>
              <w:spacing w:line="240" w:lineRule="auto"/>
              <w:ind w:firstLine="240"/>
              <w:rPr>
                <w:sz w:val="16"/>
                <w:szCs w:val="16"/>
              </w:rPr>
            </w:pPr>
            <w:r>
              <w:rPr>
                <w:rFonts w:ascii="Times New Roman" w:eastAsia="Times New Roman" w:hAnsi="Times New Roman" w:cs="Times New Roman"/>
                <w:sz w:val="16"/>
                <w:szCs w:val="16"/>
              </w:rPr>
              <w:t>Hib</w:t>
            </w:r>
          </w:p>
        </w:tc>
        <w:tc>
          <w:tcPr>
            <w:tcW w:w="816" w:type="dxa"/>
            <w:tcBorders>
              <w:left w:val="single" w:sz="4" w:space="0" w:color="auto"/>
            </w:tcBorders>
            <w:shd w:val="clear" w:color="auto" w:fill="FFFFFF"/>
            <w:vAlign w:val="center"/>
          </w:tcPr>
          <w:p w14:paraId="3E30DE9F" w14:textId="77777777" w:rsidR="0072615D" w:rsidRDefault="0072615D">
            <w:pPr>
              <w:pStyle w:val="Other0"/>
              <w:framePr w:w="2352" w:h="2832" w:wrap="none" w:hAnchor="page" w:x="4019" w:y="2531"/>
              <w:spacing w:line="240" w:lineRule="auto"/>
              <w:ind w:firstLine="0"/>
              <w:jc w:val="center"/>
              <w:rPr>
                <w:sz w:val="16"/>
                <w:szCs w:val="16"/>
              </w:rPr>
            </w:pPr>
            <w:r>
              <w:rPr>
                <w:rFonts w:ascii="Times New Roman" w:eastAsia="Times New Roman" w:hAnsi="Times New Roman" w:cs="Times New Roman"/>
                <w:sz w:val="16"/>
                <w:szCs w:val="16"/>
              </w:rPr>
              <w:t>Hib</w:t>
            </w:r>
          </w:p>
        </w:tc>
        <w:tc>
          <w:tcPr>
            <w:tcW w:w="734" w:type="dxa"/>
            <w:tcBorders>
              <w:left w:val="single" w:sz="4" w:space="0" w:color="auto"/>
            </w:tcBorders>
            <w:shd w:val="clear" w:color="auto" w:fill="FFFFFF"/>
            <w:vAlign w:val="center"/>
          </w:tcPr>
          <w:p w14:paraId="73D95A0B" w14:textId="77777777" w:rsidR="0072615D" w:rsidRDefault="0072615D">
            <w:pPr>
              <w:pStyle w:val="Other0"/>
              <w:framePr w:w="2352" w:h="2832" w:wrap="none" w:hAnchor="page" w:x="4019" w:y="2531"/>
              <w:spacing w:line="240" w:lineRule="auto"/>
              <w:ind w:firstLine="260"/>
              <w:rPr>
                <w:sz w:val="16"/>
                <w:szCs w:val="16"/>
              </w:rPr>
            </w:pPr>
            <w:r>
              <w:rPr>
                <w:rFonts w:ascii="Times New Roman" w:eastAsia="Times New Roman" w:hAnsi="Times New Roman" w:cs="Times New Roman"/>
                <w:sz w:val="16"/>
                <w:szCs w:val="16"/>
              </w:rPr>
              <w:t>Hib</w:t>
            </w:r>
          </w:p>
        </w:tc>
      </w:tr>
      <w:tr w:rsidR="0072615D" w14:paraId="6440566B" w14:textId="77777777">
        <w:tblPrEx>
          <w:tblCellMar>
            <w:top w:w="0" w:type="dxa"/>
            <w:bottom w:w="0" w:type="dxa"/>
          </w:tblCellMar>
        </w:tblPrEx>
        <w:trPr>
          <w:trHeight w:hRule="exact" w:val="221"/>
        </w:trPr>
        <w:tc>
          <w:tcPr>
            <w:tcW w:w="802" w:type="dxa"/>
            <w:tcBorders>
              <w:left w:val="single" w:sz="4" w:space="0" w:color="auto"/>
            </w:tcBorders>
            <w:shd w:val="clear" w:color="auto" w:fill="FFFFFF"/>
          </w:tcPr>
          <w:p w14:paraId="2BBD7563" w14:textId="77777777" w:rsidR="0072615D" w:rsidRDefault="0072615D">
            <w:pPr>
              <w:pStyle w:val="Other0"/>
              <w:framePr w:w="2352" w:h="2832" w:wrap="none" w:hAnchor="page" w:x="4019" w:y="2531"/>
              <w:spacing w:line="240" w:lineRule="auto"/>
              <w:ind w:firstLine="240"/>
              <w:rPr>
                <w:sz w:val="16"/>
                <w:szCs w:val="16"/>
              </w:rPr>
            </w:pPr>
            <w:r>
              <w:rPr>
                <w:rFonts w:ascii="Times New Roman" w:eastAsia="Times New Roman" w:hAnsi="Times New Roman" w:cs="Times New Roman"/>
                <w:sz w:val="16"/>
                <w:szCs w:val="16"/>
              </w:rPr>
              <w:t>IPV</w:t>
            </w:r>
          </w:p>
        </w:tc>
        <w:tc>
          <w:tcPr>
            <w:tcW w:w="816" w:type="dxa"/>
            <w:tcBorders>
              <w:left w:val="single" w:sz="4" w:space="0" w:color="auto"/>
            </w:tcBorders>
            <w:shd w:val="clear" w:color="auto" w:fill="FFFFFF"/>
          </w:tcPr>
          <w:p w14:paraId="1E4D1F20" w14:textId="77777777" w:rsidR="0072615D" w:rsidRDefault="0072615D">
            <w:pPr>
              <w:pStyle w:val="Other0"/>
              <w:framePr w:w="2352" w:h="2832" w:wrap="none" w:hAnchor="page" w:x="4019" w:y="2531"/>
              <w:spacing w:line="240" w:lineRule="auto"/>
              <w:ind w:firstLine="0"/>
              <w:jc w:val="center"/>
              <w:rPr>
                <w:sz w:val="16"/>
                <w:szCs w:val="16"/>
              </w:rPr>
            </w:pPr>
            <w:r>
              <w:rPr>
                <w:rFonts w:ascii="Times New Roman" w:eastAsia="Times New Roman" w:hAnsi="Times New Roman" w:cs="Times New Roman"/>
                <w:sz w:val="16"/>
                <w:szCs w:val="16"/>
              </w:rPr>
              <w:t>IPV</w:t>
            </w:r>
          </w:p>
        </w:tc>
        <w:tc>
          <w:tcPr>
            <w:tcW w:w="734" w:type="dxa"/>
            <w:tcBorders>
              <w:left w:val="single" w:sz="4" w:space="0" w:color="auto"/>
            </w:tcBorders>
            <w:shd w:val="clear" w:color="auto" w:fill="BCBDC1"/>
          </w:tcPr>
          <w:p w14:paraId="0FAFBF08" w14:textId="77777777" w:rsidR="0072615D" w:rsidRDefault="0072615D">
            <w:pPr>
              <w:framePr w:w="2352" w:h="2832" w:wrap="none" w:hAnchor="page" w:x="4019" w:y="2531"/>
              <w:rPr>
                <w:sz w:val="10"/>
                <w:szCs w:val="10"/>
              </w:rPr>
            </w:pPr>
          </w:p>
        </w:tc>
      </w:tr>
      <w:tr w:rsidR="0072615D" w14:paraId="64E907E9" w14:textId="77777777">
        <w:tblPrEx>
          <w:tblCellMar>
            <w:top w:w="0" w:type="dxa"/>
            <w:bottom w:w="0" w:type="dxa"/>
          </w:tblCellMar>
        </w:tblPrEx>
        <w:trPr>
          <w:trHeight w:hRule="exact" w:val="1358"/>
        </w:trPr>
        <w:tc>
          <w:tcPr>
            <w:tcW w:w="802" w:type="dxa"/>
            <w:tcBorders>
              <w:left w:val="single" w:sz="4" w:space="0" w:color="auto"/>
            </w:tcBorders>
            <w:shd w:val="clear" w:color="auto" w:fill="FFFFFF"/>
            <w:vAlign w:val="bottom"/>
          </w:tcPr>
          <w:p w14:paraId="13402FC6" w14:textId="77777777" w:rsidR="0072615D" w:rsidRDefault="0072615D">
            <w:pPr>
              <w:pStyle w:val="Other0"/>
              <w:framePr w:w="2352" w:h="2832" w:wrap="none" w:hAnchor="page" w:x="4019" w:y="2531"/>
              <w:spacing w:line="240" w:lineRule="auto"/>
              <w:ind w:firstLine="240"/>
              <w:rPr>
                <w:sz w:val="16"/>
                <w:szCs w:val="16"/>
              </w:rPr>
            </w:pPr>
            <w:r>
              <w:rPr>
                <w:rFonts w:ascii="Times New Roman" w:eastAsia="Times New Roman" w:hAnsi="Times New Roman" w:cs="Times New Roman"/>
                <w:sz w:val="16"/>
                <w:szCs w:val="16"/>
              </w:rPr>
              <w:t>PVC</w:t>
            </w:r>
          </w:p>
        </w:tc>
        <w:tc>
          <w:tcPr>
            <w:tcW w:w="816" w:type="dxa"/>
            <w:tcBorders>
              <w:left w:val="single" w:sz="4" w:space="0" w:color="auto"/>
            </w:tcBorders>
            <w:shd w:val="clear" w:color="auto" w:fill="FFFFFF"/>
            <w:vAlign w:val="bottom"/>
          </w:tcPr>
          <w:p w14:paraId="20757DCC" w14:textId="77777777" w:rsidR="0072615D" w:rsidRDefault="0072615D">
            <w:pPr>
              <w:pStyle w:val="Other0"/>
              <w:framePr w:w="2352" w:h="2832" w:wrap="none" w:hAnchor="page" w:x="4019" w:y="2531"/>
              <w:spacing w:line="240" w:lineRule="auto"/>
              <w:ind w:firstLine="240"/>
              <w:rPr>
                <w:sz w:val="16"/>
                <w:szCs w:val="16"/>
              </w:rPr>
            </w:pPr>
            <w:r>
              <w:rPr>
                <w:rFonts w:ascii="Times New Roman" w:eastAsia="Times New Roman" w:hAnsi="Times New Roman" w:cs="Times New Roman"/>
                <w:sz w:val="16"/>
                <w:szCs w:val="16"/>
              </w:rPr>
              <w:t>PVC</w:t>
            </w:r>
          </w:p>
        </w:tc>
        <w:tc>
          <w:tcPr>
            <w:tcW w:w="734" w:type="dxa"/>
            <w:tcBorders>
              <w:left w:val="single" w:sz="4" w:space="0" w:color="auto"/>
            </w:tcBorders>
            <w:shd w:val="clear" w:color="auto" w:fill="FFFFFF"/>
            <w:vAlign w:val="bottom"/>
          </w:tcPr>
          <w:p w14:paraId="5667BDCB" w14:textId="77777777" w:rsidR="0072615D" w:rsidRDefault="0072615D">
            <w:pPr>
              <w:pStyle w:val="Other0"/>
              <w:framePr w:w="2352" w:h="2832" w:wrap="none" w:hAnchor="page" w:x="4019" w:y="2531"/>
              <w:spacing w:line="240" w:lineRule="auto"/>
              <w:ind w:firstLine="200"/>
              <w:rPr>
                <w:sz w:val="16"/>
                <w:szCs w:val="16"/>
              </w:rPr>
            </w:pPr>
            <w:r>
              <w:rPr>
                <w:rFonts w:ascii="Times New Roman" w:eastAsia="Times New Roman" w:hAnsi="Times New Roman" w:cs="Times New Roman"/>
                <w:sz w:val="16"/>
                <w:szCs w:val="16"/>
              </w:rPr>
              <w:t>PVC</w:t>
            </w:r>
          </w:p>
        </w:tc>
      </w:tr>
    </w:tbl>
    <w:p w14:paraId="5AE15673" w14:textId="77777777" w:rsidR="0072615D" w:rsidRDefault="0072615D">
      <w:pPr>
        <w:framePr w:w="2352" w:h="2832" w:wrap="none" w:hAnchor="page" w:x="4019" w:y="2531"/>
        <w:spacing w:line="1" w:lineRule="exact"/>
      </w:pPr>
    </w:p>
    <w:p w14:paraId="11BE6DB2" w14:textId="77777777" w:rsidR="0072615D" w:rsidRDefault="0072615D">
      <w:pPr>
        <w:pStyle w:val="Bodytext20"/>
        <w:framePr w:w="3120" w:h="235" w:wrap="none" w:hAnchor="page" w:x="2315" w:y="5334"/>
        <w:spacing w:line="240" w:lineRule="auto"/>
      </w:pPr>
      <w:r>
        <w:t>vacunas por debajo de la línea de guiones se</w:t>
      </w:r>
    </w:p>
    <w:p w14:paraId="5182F910" w14:textId="77777777" w:rsidR="0072615D" w:rsidRDefault="0072615D">
      <w:pPr>
        <w:pStyle w:val="Bodytext20"/>
        <w:framePr w:w="682" w:h="230" w:wrap="none" w:hAnchor="page" w:x="6923" w:y="2559"/>
        <w:spacing w:line="240" w:lineRule="auto"/>
      </w:pPr>
      <w:r>
        <w:t>HepB #3</w:t>
      </w:r>
    </w:p>
    <w:p w14:paraId="2899CBE2" w14:textId="77777777" w:rsidR="0072615D" w:rsidRDefault="0072615D">
      <w:pPr>
        <w:pStyle w:val="Bodytext20"/>
        <w:framePr w:w="456" w:h="230" w:wrap="none" w:hAnchor="page" w:x="7825" w:y="2895"/>
        <w:spacing w:line="240" w:lineRule="auto"/>
      </w:pPr>
      <w:r>
        <w:t>DTaP</w:t>
      </w:r>
    </w:p>
    <w:p w14:paraId="2F2F5440" w14:textId="77777777" w:rsidR="0072615D" w:rsidRDefault="0072615D">
      <w:pPr>
        <w:pStyle w:val="Bodytext20"/>
        <w:framePr w:w="317" w:h="226" w:wrap="none" w:hAnchor="page" w:x="7091" w:y="3342"/>
        <w:spacing w:line="240" w:lineRule="auto"/>
        <w:jc w:val="center"/>
      </w:pPr>
      <w:r>
        <w:t>Hib</w:t>
      </w:r>
    </w:p>
    <w:p w14:paraId="45BFE91A" w14:textId="77777777" w:rsidR="0072615D" w:rsidRDefault="0072615D">
      <w:pPr>
        <w:pStyle w:val="Bodytext20"/>
        <w:framePr w:w="331" w:h="211" w:wrap="none" w:hAnchor="page" w:x="7091" w:y="3783"/>
        <w:spacing w:line="240" w:lineRule="auto"/>
      </w:pPr>
      <w:r>
        <w:t>IPV</w:t>
      </w:r>
    </w:p>
    <w:tbl>
      <w:tblPr>
        <w:tblOverlap w:val="never"/>
        <w:tblW w:w="0" w:type="auto"/>
        <w:tblLayout w:type="fixed"/>
        <w:tblCellMar>
          <w:left w:w="10" w:type="dxa"/>
          <w:right w:w="10" w:type="dxa"/>
        </w:tblCellMar>
        <w:tblLook w:val="04A0" w:firstRow="1" w:lastRow="0" w:firstColumn="1" w:lastColumn="0" w:noHBand="0" w:noVBand="1"/>
      </w:tblPr>
      <w:tblGrid>
        <w:gridCol w:w="802"/>
        <w:gridCol w:w="826"/>
      </w:tblGrid>
      <w:tr w:rsidR="0072615D" w14:paraId="30A9DCAF" w14:textId="77777777">
        <w:tblPrEx>
          <w:tblCellMar>
            <w:top w:w="0" w:type="dxa"/>
            <w:bottom w:w="0" w:type="dxa"/>
          </w:tblCellMar>
        </w:tblPrEx>
        <w:trPr>
          <w:trHeight w:hRule="exact" w:val="178"/>
        </w:trPr>
        <w:tc>
          <w:tcPr>
            <w:tcW w:w="802" w:type="dxa"/>
            <w:tcBorders>
              <w:left w:val="single" w:sz="4" w:space="0" w:color="auto"/>
            </w:tcBorders>
            <w:shd w:val="clear" w:color="auto" w:fill="FFFFFF"/>
            <w:vAlign w:val="bottom"/>
          </w:tcPr>
          <w:p w14:paraId="6E5E59B8" w14:textId="77777777" w:rsidR="0072615D" w:rsidRDefault="0072615D">
            <w:pPr>
              <w:pStyle w:val="Other0"/>
              <w:framePr w:w="1627" w:h="720" w:wrap="none" w:hAnchor="page" w:x="6447" w:y="3999"/>
              <w:tabs>
                <w:tab w:val="left" w:leader="underscore" w:pos="744"/>
              </w:tabs>
              <w:spacing w:line="240" w:lineRule="auto"/>
              <w:ind w:firstLine="0"/>
              <w:rPr>
                <w:sz w:val="8"/>
                <w:szCs w:val="8"/>
              </w:rPr>
            </w:pPr>
            <w:r>
              <w:rPr>
                <w:rFonts w:ascii="Times New Roman" w:eastAsia="Times New Roman" w:hAnsi="Times New Roman" w:cs="Times New Roman"/>
                <w:color w:val="BCBDC1"/>
                <w:sz w:val="8"/>
                <w:szCs w:val="8"/>
              </w:rPr>
              <w:tab/>
            </w:r>
          </w:p>
        </w:tc>
        <w:tc>
          <w:tcPr>
            <w:tcW w:w="826" w:type="dxa"/>
            <w:tcBorders>
              <w:right w:val="single" w:sz="4" w:space="0" w:color="auto"/>
            </w:tcBorders>
            <w:shd w:val="clear" w:color="auto" w:fill="FFFFFF"/>
            <w:vAlign w:val="bottom"/>
          </w:tcPr>
          <w:p w14:paraId="34A4C86D" w14:textId="77777777" w:rsidR="0072615D" w:rsidRDefault="0072615D">
            <w:pPr>
              <w:pStyle w:val="Other0"/>
              <w:framePr w:w="1627" w:h="720" w:wrap="none" w:hAnchor="page" w:x="6447" w:y="3999"/>
              <w:tabs>
                <w:tab w:val="left" w:leader="underscore" w:pos="749"/>
              </w:tabs>
              <w:spacing w:line="240" w:lineRule="auto"/>
              <w:ind w:firstLine="0"/>
              <w:jc w:val="right"/>
              <w:rPr>
                <w:sz w:val="8"/>
                <w:szCs w:val="8"/>
              </w:rPr>
            </w:pPr>
            <w:r>
              <w:rPr>
                <w:rFonts w:ascii="Times New Roman" w:eastAsia="Times New Roman" w:hAnsi="Times New Roman" w:cs="Times New Roman"/>
                <w:color w:val="BCBDC1"/>
                <w:sz w:val="8"/>
                <w:szCs w:val="8"/>
              </w:rPr>
              <w:tab/>
            </w:r>
          </w:p>
        </w:tc>
      </w:tr>
      <w:tr w:rsidR="0072615D" w14:paraId="030D5829" w14:textId="77777777">
        <w:tblPrEx>
          <w:tblCellMar>
            <w:top w:w="0" w:type="dxa"/>
            <w:bottom w:w="0" w:type="dxa"/>
          </w:tblCellMar>
        </w:tblPrEx>
        <w:trPr>
          <w:trHeight w:hRule="exact" w:val="226"/>
        </w:trPr>
        <w:tc>
          <w:tcPr>
            <w:tcW w:w="1628" w:type="dxa"/>
            <w:gridSpan w:val="2"/>
            <w:tcBorders>
              <w:left w:val="single" w:sz="4" w:space="0" w:color="auto"/>
              <w:right w:val="single" w:sz="4" w:space="0" w:color="auto"/>
            </w:tcBorders>
            <w:shd w:val="clear" w:color="auto" w:fill="BCBDC1"/>
          </w:tcPr>
          <w:p w14:paraId="7F83EC4E" w14:textId="77777777" w:rsidR="0072615D" w:rsidRDefault="0072615D">
            <w:pPr>
              <w:pStyle w:val="Other0"/>
              <w:framePr w:w="1627" w:h="720" w:wrap="none" w:hAnchor="page" w:x="6447" w:y="3999"/>
              <w:spacing w:line="240" w:lineRule="auto"/>
              <w:ind w:firstLine="0"/>
              <w:jc w:val="center"/>
              <w:rPr>
                <w:sz w:val="16"/>
                <w:szCs w:val="16"/>
              </w:rPr>
            </w:pPr>
            <w:r>
              <w:rPr>
                <w:rFonts w:ascii="Times New Roman" w:eastAsia="Times New Roman" w:hAnsi="Times New Roman" w:cs="Times New Roman"/>
                <w:sz w:val="16"/>
                <w:szCs w:val="16"/>
              </w:rPr>
              <w:t>MMR #1</w:t>
            </w:r>
          </w:p>
        </w:tc>
      </w:tr>
      <w:tr w:rsidR="0072615D" w14:paraId="3D2B740A" w14:textId="77777777">
        <w:tblPrEx>
          <w:tblCellMar>
            <w:top w:w="0" w:type="dxa"/>
            <w:bottom w:w="0" w:type="dxa"/>
          </w:tblCellMar>
        </w:tblPrEx>
        <w:trPr>
          <w:trHeight w:hRule="exact" w:val="317"/>
        </w:trPr>
        <w:tc>
          <w:tcPr>
            <w:tcW w:w="802" w:type="dxa"/>
            <w:tcBorders>
              <w:left w:val="single" w:sz="4" w:space="0" w:color="auto"/>
            </w:tcBorders>
            <w:shd w:val="clear" w:color="auto" w:fill="FFFFFF"/>
          </w:tcPr>
          <w:p w14:paraId="31FBDF0F" w14:textId="77777777" w:rsidR="0072615D" w:rsidRDefault="0072615D">
            <w:pPr>
              <w:framePr w:w="1627" w:h="720" w:wrap="none" w:hAnchor="page" w:x="6447" w:y="3999"/>
              <w:rPr>
                <w:sz w:val="10"/>
                <w:szCs w:val="10"/>
              </w:rPr>
            </w:pPr>
          </w:p>
        </w:tc>
        <w:tc>
          <w:tcPr>
            <w:tcW w:w="826" w:type="dxa"/>
            <w:tcBorders>
              <w:left w:val="single" w:sz="4" w:space="0" w:color="auto"/>
              <w:right w:val="single" w:sz="4" w:space="0" w:color="auto"/>
            </w:tcBorders>
            <w:shd w:val="clear" w:color="auto" w:fill="FFFFFF"/>
          </w:tcPr>
          <w:p w14:paraId="26A904D7" w14:textId="77777777" w:rsidR="0072615D" w:rsidRDefault="0072615D">
            <w:pPr>
              <w:framePr w:w="1627" w:h="720" w:wrap="none" w:hAnchor="page" w:x="6447" w:y="3999"/>
              <w:rPr>
                <w:sz w:val="10"/>
                <w:szCs w:val="10"/>
              </w:rPr>
            </w:pPr>
          </w:p>
        </w:tc>
      </w:tr>
    </w:tbl>
    <w:p w14:paraId="470F657F" w14:textId="77777777" w:rsidR="0072615D" w:rsidRDefault="0072615D">
      <w:pPr>
        <w:framePr w:w="1627" w:h="720" w:wrap="none" w:hAnchor="page" w:x="6447" w:y="3999"/>
        <w:spacing w:line="1" w:lineRule="exact"/>
      </w:pPr>
    </w:p>
    <w:p w14:paraId="34B58604" w14:textId="77777777" w:rsidR="0072615D" w:rsidRDefault="0072615D">
      <w:pPr>
        <w:pStyle w:val="Bodytext20"/>
        <w:framePr w:w="610" w:h="226" w:wrap="none" w:hAnchor="page" w:x="7345" w:y="4705"/>
        <w:spacing w:line="240" w:lineRule="auto"/>
      </w:pPr>
      <w:r>
        <w:t>Varicela</w:t>
      </w:r>
    </w:p>
    <w:p w14:paraId="32E308DE" w14:textId="77777777" w:rsidR="0072615D" w:rsidRDefault="0072615D">
      <w:pPr>
        <w:pStyle w:val="Bodytext20"/>
        <w:framePr w:w="394" w:h="197" w:wrap="none" w:hAnchor="page" w:x="7062" w:y="5089"/>
        <w:spacing w:line="240" w:lineRule="auto"/>
      </w:pPr>
      <w:r>
        <w:t>PCV</w:t>
      </w:r>
    </w:p>
    <w:p w14:paraId="4AD7F614" w14:textId="77777777" w:rsidR="0072615D" w:rsidRDefault="0072615D">
      <w:pPr>
        <w:pStyle w:val="Bodytext20"/>
        <w:framePr w:w="2131" w:h="278" w:wrap="none" w:hAnchor="page" w:x="5435" w:y="5291"/>
        <w:spacing w:line="240" w:lineRule="auto"/>
      </w:pPr>
      <w:r>
        <w:t>usan en poblaciones escogidas</w:t>
      </w:r>
    </w:p>
    <w:tbl>
      <w:tblPr>
        <w:tblOverlap w:val="never"/>
        <w:tblW w:w="0" w:type="auto"/>
        <w:tblLayout w:type="fixed"/>
        <w:tblCellMar>
          <w:left w:w="10" w:type="dxa"/>
          <w:right w:w="10" w:type="dxa"/>
        </w:tblCellMar>
        <w:tblLook w:val="04A0" w:firstRow="1" w:lastRow="0" w:firstColumn="1" w:lastColumn="0" w:noHBand="0" w:noVBand="1"/>
      </w:tblPr>
      <w:tblGrid>
        <w:gridCol w:w="840"/>
        <w:gridCol w:w="835"/>
        <w:gridCol w:w="758"/>
        <w:gridCol w:w="816"/>
      </w:tblGrid>
      <w:tr w:rsidR="0072615D" w14:paraId="02988639" w14:textId="77777777">
        <w:tblPrEx>
          <w:tblCellMar>
            <w:top w:w="0" w:type="dxa"/>
            <w:bottom w:w="0" w:type="dxa"/>
          </w:tblCellMar>
        </w:tblPrEx>
        <w:trPr>
          <w:trHeight w:hRule="exact" w:val="528"/>
        </w:trPr>
        <w:tc>
          <w:tcPr>
            <w:tcW w:w="840" w:type="dxa"/>
            <w:tcBorders>
              <w:top w:val="single" w:sz="4" w:space="0" w:color="auto"/>
              <w:left w:val="single" w:sz="4" w:space="0" w:color="auto"/>
            </w:tcBorders>
            <w:shd w:val="clear" w:color="auto" w:fill="FFFFFF"/>
            <w:vAlign w:val="center"/>
          </w:tcPr>
          <w:p w14:paraId="5A083767" w14:textId="77777777" w:rsidR="0072615D" w:rsidRDefault="0072615D">
            <w:pPr>
              <w:pStyle w:val="Other0"/>
              <w:framePr w:w="3250" w:h="4210" w:wrap="none" w:hAnchor="page" w:x="8823" w:y="1734"/>
              <w:spacing w:line="182" w:lineRule="auto"/>
              <w:ind w:firstLine="0"/>
              <w:jc w:val="center"/>
              <w:rPr>
                <w:sz w:val="16"/>
                <w:szCs w:val="16"/>
              </w:rPr>
            </w:pPr>
            <w:r>
              <w:rPr>
                <w:rFonts w:ascii="Times New Roman" w:eastAsia="Times New Roman" w:hAnsi="Times New Roman" w:cs="Times New Roman"/>
                <w:sz w:val="16"/>
                <w:szCs w:val="16"/>
              </w:rPr>
              <w:t>24 meses</w:t>
            </w:r>
          </w:p>
        </w:tc>
        <w:tc>
          <w:tcPr>
            <w:tcW w:w="835" w:type="dxa"/>
            <w:tcBorders>
              <w:top w:val="single" w:sz="4" w:space="0" w:color="auto"/>
              <w:left w:val="single" w:sz="4" w:space="0" w:color="auto"/>
            </w:tcBorders>
            <w:shd w:val="clear" w:color="auto" w:fill="FFFFFF"/>
            <w:vAlign w:val="center"/>
          </w:tcPr>
          <w:p w14:paraId="084257F8" w14:textId="77777777" w:rsidR="0072615D" w:rsidRDefault="0072615D">
            <w:pPr>
              <w:pStyle w:val="Other0"/>
              <w:framePr w:w="3250" w:h="4210" w:wrap="none" w:hAnchor="page" w:x="8823" w:y="1734"/>
              <w:spacing w:line="182" w:lineRule="auto"/>
              <w:ind w:firstLine="0"/>
              <w:jc w:val="center"/>
              <w:rPr>
                <w:sz w:val="16"/>
                <w:szCs w:val="16"/>
              </w:rPr>
            </w:pPr>
            <w:r>
              <w:rPr>
                <w:rFonts w:ascii="Times New Roman" w:eastAsia="Times New Roman" w:hAnsi="Times New Roman" w:cs="Times New Roman"/>
                <w:sz w:val="16"/>
                <w:szCs w:val="16"/>
              </w:rPr>
              <w:t>4-6 años</w:t>
            </w:r>
          </w:p>
        </w:tc>
        <w:tc>
          <w:tcPr>
            <w:tcW w:w="758" w:type="dxa"/>
            <w:tcBorders>
              <w:top w:val="single" w:sz="4" w:space="0" w:color="auto"/>
              <w:left w:val="single" w:sz="4" w:space="0" w:color="auto"/>
            </w:tcBorders>
            <w:shd w:val="clear" w:color="auto" w:fill="FFFFFF"/>
            <w:vAlign w:val="center"/>
          </w:tcPr>
          <w:p w14:paraId="743567A2" w14:textId="77777777" w:rsidR="0072615D" w:rsidRDefault="0072615D">
            <w:pPr>
              <w:pStyle w:val="Other0"/>
              <w:framePr w:w="3250" w:h="4210" w:wrap="none" w:hAnchor="page" w:x="8823" w:y="1734"/>
              <w:spacing w:line="182" w:lineRule="auto"/>
              <w:ind w:firstLine="0"/>
              <w:jc w:val="center"/>
              <w:rPr>
                <w:sz w:val="16"/>
                <w:szCs w:val="16"/>
              </w:rPr>
            </w:pPr>
            <w:r>
              <w:rPr>
                <w:rFonts w:ascii="Times New Roman" w:eastAsia="Times New Roman" w:hAnsi="Times New Roman" w:cs="Times New Roman"/>
                <w:sz w:val="16"/>
                <w:szCs w:val="16"/>
              </w:rPr>
              <w:t>11-12 años</w:t>
            </w:r>
          </w:p>
        </w:tc>
        <w:tc>
          <w:tcPr>
            <w:tcW w:w="816" w:type="dxa"/>
            <w:tcBorders>
              <w:top w:val="single" w:sz="4" w:space="0" w:color="auto"/>
              <w:left w:val="single" w:sz="4" w:space="0" w:color="auto"/>
              <w:right w:val="single" w:sz="4" w:space="0" w:color="auto"/>
            </w:tcBorders>
            <w:shd w:val="clear" w:color="auto" w:fill="FFFFFF"/>
            <w:vAlign w:val="center"/>
          </w:tcPr>
          <w:p w14:paraId="3FD5A7F0" w14:textId="77777777" w:rsidR="0072615D" w:rsidRDefault="0072615D">
            <w:pPr>
              <w:pStyle w:val="Other0"/>
              <w:framePr w:w="3250" w:h="4210" w:wrap="none" w:hAnchor="page" w:x="8823" w:y="1734"/>
              <w:spacing w:line="182" w:lineRule="auto"/>
              <w:ind w:firstLine="0"/>
              <w:jc w:val="center"/>
              <w:rPr>
                <w:sz w:val="16"/>
                <w:szCs w:val="16"/>
              </w:rPr>
            </w:pPr>
            <w:r>
              <w:rPr>
                <w:rFonts w:ascii="Times New Roman" w:eastAsia="Times New Roman" w:hAnsi="Times New Roman" w:cs="Times New Roman"/>
                <w:sz w:val="16"/>
                <w:szCs w:val="16"/>
              </w:rPr>
              <w:t>13-18 años</w:t>
            </w:r>
          </w:p>
        </w:tc>
      </w:tr>
      <w:tr w:rsidR="0072615D" w14:paraId="4DFD43E4" w14:textId="77777777">
        <w:tblPrEx>
          <w:tblCellMar>
            <w:top w:w="0" w:type="dxa"/>
            <w:bottom w:w="0" w:type="dxa"/>
          </w:tblCellMar>
        </w:tblPrEx>
        <w:trPr>
          <w:trHeight w:hRule="exact" w:val="350"/>
        </w:trPr>
        <w:tc>
          <w:tcPr>
            <w:tcW w:w="840" w:type="dxa"/>
            <w:tcBorders>
              <w:top w:val="single" w:sz="4" w:space="0" w:color="auto"/>
              <w:left w:val="single" w:sz="4" w:space="0" w:color="auto"/>
            </w:tcBorders>
            <w:shd w:val="clear" w:color="auto" w:fill="58585A"/>
          </w:tcPr>
          <w:p w14:paraId="3061D8A1" w14:textId="77777777" w:rsidR="0072615D" w:rsidRDefault="0072615D">
            <w:pPr>
              <w:framePr w:w="3250" w:h="4210" w:wrap="none" w:hAnchor="page" w:x="8823" w:y="1734"/>
              <w:rPr>
                <w:sz w:val="10"/>
                <w:szCs w:val="10"/>
              </w:rPr>
            </w:pPr>
          </w:p>
        </w:tc>
        <w:tc>
          <w:tcPr>
            <w:tcW w:w="1593" w:type="dxa"/>
            <w:gridSpan w:val="2"/>
            <w:tcBorders>
              <w:top w:val="single" w:sz="4" w:space="0" w:color="auto"/>
            </w:tcBorders>
            <w:shd w:val="clear" w:color="auto" w:fill="58585A"/>
            <w:vAlign w:val="bottom"/>
          </w:tcPr>
          <w:p w14:paraId="34C05A81" w14:textId="77777777" w:rsidR="0072615D" w:rsidRDefault="0072615D">
            <w:pPr>
              <w:pStyle w:val="Other0"/>
              <w:framePr w:w="3250" w:h="4210" w:wrap="none" w:hAnchor="page" w:x="8823" w:y="1734"/>
              <w:pBdr>
                <w:top w:val="single" w:sz="0" w:space="0" w:color="58585A"/>
                <w:left w:val="single" w:sz="0" w:space="0" w:color="58585A"/>
                <w:bottom w:val="single" w:sz="0" w:space="0" w:color="58585A"/>
                <w:right w:val="single" w:sz="0" w:space="0" w:color="58585A"/>
              </w:pBdr>
              <w:shd w:val="clear" w:color="auto" w:fill="58585A"/>
              <w:spacing w:line="240" w:lineRule="auto"/>
              <w:ind w:firstLine="0"/>
              <w:jc w:val="center"/>
              <w:rPr>
                <w:sz w:val="16"/>
                <w:szCs w:val="16"/>
              </w:rPr>
            </w:pPr>
            <w:r>
              <w:rPr>
                <w:rFonts w:ascii="Times New Roman" w:eastAsia="Times New Roman" w:hAnsi="Times New Roman" w:cs="Times New Roman"/>
                <w:color w:val="FFFFFF"/>
                <w:sz w:val="16"/>
                <w:szCs w:val="16"/>
              </w:rPr>
              <w:t>HepB series</w:t>
            </w:r>
          </w:p>
        </w:tc>
        <w:tc>
          <w:tcPr>
            <w:tcW w:w="816" w:type="dxa"/>
            <w:tcBorders>
              <w:top w:val="single" w:sz="4" w:space="0" w:color="auto"/>
            </w:tcBorders>
            <w:shd w:val="clear" w:color="auto" w:fill="58585A"/>
          </w:tcPr>
          <w:p w14:paraId="525CD251" w14:textId="77777777" w:rsidR="0072615D" w:rsidRDefault="0072615D">
            <w:pPr>
              <w:framePr w:w="3250" w:h="4210" w:wrap="none" w:hAnchor="page" w:x="8823" w:y="1734"/>
              <w:rPr>
                <w:sz w:val="10"/>
                <w:szCs w:val="10"/>
              </w:rPr>
            </w:pPr>
          </w:p>
        </w:tc>
      </w:tr>
      <w:tr w:rsidR="0072615D" w14:paraId="0B6B1C2C" w14:textId="77777777">
        <w:tblPrEx>
          <w:tblCellMar>
            <w:top w:w="0" w:type="dxa"/>
            <w:bottom w:w="0" w:type="dxa"/>
          </w:tblCellMar>
        </w:tblPrEx>
        <w:trPr>
          <w:trHeight w:hRule="exact" w:val="302"/>
        </w:trPr>
        <w:tc>
          <w:tcPr>
            <w:tcW w:w="840" w:type="dxa"/>
            <w:tcBorders>
              <w:left w:val="single" w:sz="4" w:space="0" w:color="auto"/>
            </w:tcBorders>
            <w:shd w:val="clear" w:color="auto" w:fill="FFFFFF"/>
          </w:tcPr>
          <w:p w14:paraId="08227333" w14:textId="77777777" w:rsidR="0072615D" w:rsidRDefault="0072615D">
            <w:pPr>
              <w:framePr w:w="3250" w:h="4210" w:wrap="none" w:hAnchor="page" w:x="8823" w:y="1734"/>
              <w:rPr>
                <w:sz w:val="10"/>
                <w:szCs w:val="10"/>
              </w:rPr>
            </w:pPr>
          </w:p>
        </w:tc>
        <w:tc>
          <w:tcPr>
            <w:tcW w:w="835" w:type="dxa"/>
            <w:shd w:val="clear" w:color="auto" w:fill="231F20"/>
          </w:tcPr>
          <w:p w14:paraId="2CAA1830" w14:textId="77777777" w:rsidR="0072615D" w:rsidRDefault="0072615D">
            <w:pPr>
              <w:framePr w:w="3250" w:h="4210" w:wrap="none" w:hAnchor="page" w:x="8823" w:y="1734"/>
              <w:rPr>
                <w:sz w:val="10"/>
                <w:szCs w:val="10"/>
              </w:rPr>
            </w:pPr>
          </w:p>
        </w:tc>
        <w:tc>
          <w:tcPr>
            <w:tcW w:w="758" w:type="dxa"/>
            <w:tcBorders>
              <w:left w:val="single" w:sz="4" w:space="0" w:color="auto"/>
            </w:tcBorders>
            <w:shd w:val="clear" w:color="auto" w:fill="231F20"/>
          </w:tcPr>
          <w:p w14:paraId="146EA6CF" w14:textId="77777777" w:rsidR="0072615D" w:rsidRDefault="0072615D">
            <w:pPr>
              <w:framePr w:w="3250" w:h="4210" w:wrap="none" w:hAnchor="page" w:x="8823" w:y="1734"/>
              <w:rPr>
                <w:sz w:val="10"/>
                <w:szCs w:val="10"/>
              </w:rPr>
            </w:pPr>
          </w:p>
        </w:tc>
        <w:tc>
          <w:tcPr>
            <w:tcW w:w="816" w:type="dxa"/>
            <w:shd w:val="clear" w:color="auto" w:fill="231F20"/>
          </w:tcPr>
          <w:p w14:paraId="7401FD9B" w14:textId="77777777" w:rsidR="0072615D" w:rsidRDefault="0072615D">
            <w:pPr>
              <w:framePr w:w="3250" w:h="4210" w:wrap="none" w:hAnchor="page" w:x="8823" w:y="1734"/>
              <w:rPr>
                <w:sz w:val="10"/>
                <w:szCs w:val="10"/>
              </w:rPr>
            </w:pPr>
          </w:p>
        </w:tc>
      </w:tr>
      <w:tr w:rsidR="0072615D" w14:paraId="01AFDFB1" w14:textId="77777777">
        <w:tblPrEx>
          <w:tblCellMar>
            <w:top w:w="0" w:type="dxa"/>
            <w:bottom w:w="0" w:type="dxa"/>
          </w:tblCellMar>
        </w:tblPrEx>
        <w:trPr>
          <w:trHeight w:hRule="exact" w:val="235"/>
        </w:trPr>
        <w:tc>
          <w:tcPr>
            <w:tcW w:w="840" w:type="dxa"/>
            <w:tcBorders>
              <w:left w:val="single" w:sz="4" w:space="0" w:color="auto"/>
            </w:tcBorders>
            <w:shd w:val="clear" w:color="auto" w:fill="FFFFFF"/>
          </w:tcPr>
          <w:p w14:paraId="27247703" w14:textId="77777777" w:rsidR="0072615D" w:rsidRDefault="0072615D">
            <w:pPr>
              <w:framePr w:w="3250" w:h="4210" w:wrap="none" w:hAnchor="page" w:x="8823" w:y="1734"/>
              <w:rPr>
                <w:sz w:val="10"/>
                <w:szCs w:val="10"/>
              </w:rPr>
            </w:pPr>
          </w:p>
        </w:tc>
        <w:tc>
          <w:tcPr>
            <w:tcW w:w="835" w:type="dxa"/>
            <w:shd w:val="clear" w:color="auto" w:fill="231F20"/>
          </w:tcPr>
          <w:p w14:paraId="3CF67C51" w14:textId="77777777" w:rsidR="0072615D" w:rsidRDefault="0072615D">
            <w:pPr>
              <w:framePr w:w="3250" w:h="4210" w:wrap="none" w:hAnchor="page" w:x="8823" w:y="1734"/>
              <w:rPr>
                <w:sz w:val="10"/>
                <w:szCs w:val="10"/>
              </w:rPr>
            </w:pPr>
          </w:p>
        </w:tc>
        <w:tc>
          <w:tcPr>
            <w:tcW w:w="1574" w:type="dxa"/>
            <w:gridSpan w:val="2"/>
            <w:shd w:val="clear" w:color="auto" w:fill="231F20"/>
          </w:tcPr>
          <w:p w14:paraId="570BFB2D" w14:textId="77777777" w:rsidR="0072615D" w:rsidRDefault="0072615D">
            <w:pPr>
              <w:framePr w:w="3250" w:h="4210" w:wrap="none" w:hAnchor="page" w:x="8823" w:y="1734"/>
              <w:rPr>
                <w:sz w:val="10"/>
                <w:szCs w:val="10"/>
              </w:rPr>
            </w:pPr>
          </w:p>
        </w:tc>
      </w:tr>
      <w:tr w:rsidR="0072615D" w14:paraId="0FCA1CB1" w14:textId="77777777">
        <w:tblPrEx>
          <w:tblCellMar>
            <w:top w:w="0" w:type="dxa"/>
            <w:bottom w:w="0" w:type="dxa"/>
          </w:tblCellMar>
        </w:tblPrEx>
        <w:trPr>
          <w:trHeight w:hRule="exact" w:val="1541"/>
        </w:trPr>
        <w:tc>
          <w:tcPr>
            <w:tcW w:w="840" w:type="dxa"/>
            <w:tcBorders>
              <w:left w:val="single" w:sz="4" w:space="0" w:color="auto"/>
            </w:tcBorders>
            <w:shd w:val="clear" w:color="auto" w:fill="FFFFFF"/>
          </w:tcPr>
          <w:p w14:paraId="532543D2" w14:textId="77777777" w:rsidR="0072615D" w:rsidRDefault="0072615D">
            <w:pPr>
              <w:framePr w:w="3250" w:h="4210" w:wrap="none" w:hAnchor="page" w:x="8823" w:y="1734"/>
              <w:rPr>
                <w:sz w:val="10"/>
                <w:szCs w:val="10"/>
              </w:rPr>
            </w:pPr>
          </w:p>
        </w:tc>
        <w:tc>
          <w:tcPr>
            <w:tcW w:w="835" w:type="dxa"/>
            <w:shd w:val="clear" w:color="auto" w:fill="231F20"/>
          </w:tcPr>
          <w:p w14:paraId="57A7A3CF" w14:textId="77777777" w:rsidR="0072615D" w:rsidRDefault="0072615D">
            <w:pPr>
              <w:framePr w:w="3250" w:h="4210" w:wrap="none" w:hAnchor="page" w:x="8823" w:y="1734"/>
              <w:rPr>
                <w:sz w:val="10"/>
                <w:szCs w:val="10"/>
              </w:rPr>
            </w:pPr>
          </w:p>
        </w:tc>
        <w:tc>
          <w:tcPr>
            <w:tcW w:w="758" w:type="dxa"/>
            <w:tcBorders>
              <w:left w:val="single" w:sz="4" w:space="0" w:color="auto"/>
            </w:tcBorders>
            <w:shd w:val="clear" w:color="auto" w:fill="231F20"/>
            <w:vAlign w:val="bottom"/>
          </w:tcPr>
          <w:p w14:paraId="554428D8" w14:textId="77777777" w:rsidR="0072615D" w:rsidRDefault="0072615D">
            <w:pPr>
              <w:pStyle w:val="Other0"/>
              <w:framePr w:w="3250" w:h="4210" w:wrap="none" w:hAnchor="page" w:x="8823" w:y="1734"/>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right"/>
              <w:rPr>
                <w:sz w:val="16"/>
                <w:szCs w:val="16"/>
              </w:rPr>
            </w:pPr>
            <w:r>
              <w:rPr>
                <w:rFonts w:ascii="Times New Roman" w:eastAsia="Times New Roman" w:hAnsi="Times New Roman" w:cs="Times New Roman"/>
                <w:color w:val="FFFFFF"/>
                <w:sz w:val="16"/>
                <w:szCs w:val="16"/>
              </w:rPr>
              <w:t>MM</w:t>
            </w:r>
          </w:p>
        </w:tc>
        <w:tc>
          <w:tcPr>
            <w:tcW w:w="816" w:type="dxa"/>
            <w:tcBorders>
              <w:left w:val="single" w:sz="4" w:space="0" w:color="auto"/>
            </w:tcBorders>
            <w:shd w:val="clear" w:color="auto" w:fill="58585A"/>
          </w:tcPr>
          <w:p w14:paraId="32DFCED8" w14:textId="77777777" w:rsidR="0072615D" w:rsidRDefault="0072615D">
            <w:pPr>
              <w:pStyle w:val="Other0"/>
              <w:framePr w:w="3250" w:h="4210" w:wrap="none" w:hAnchor="page" w:x="8823" w:y="1734"/>
              <w:pBdr>
                <w:top w:val="single" w:sz="0" w:space="0" w:color="58585A"/>
                <w:left w:val="single" w:sz="0" w:space="0" w:color="58585A"/>
                <w:bottom w:val="single" w:sz="0" w:space="0" w:color="58585A"/>
                <w:right w:val="single" w:sz="0" w:space="0" w:color="58585A"/>
              </w:pBdr>
              <w:shd w:val="clear" w:color="auto" w:fill="58585A"/>
              <w:spacing w:line="240" w:lineRule="auto"/>
              <w:ind w:firstLine="0"/>
              <w:jc w:val="both"/>
              <w:rPr>
                <w:sz w:val="16"/>
                <w:szCs w:val="16"/>
              </w:rPr>
            </w:pPr>
            <w:r>
              <w:rPr>
                <w:rFonts w:ascii="Times New Roman" w:eastAsia="Times New Roman" w:hAnsi="Times New Roman" w:cs="Times New Roman"/>
                <w:color w:val="FFFFFF"/>
                <w:sz w:val="16"/>
                <w:szCs w:val="16"/>
              </w:rPr>
              <w:t>■</w:t>
            </w:r>
          </w:p>
          <w:p w14:paraId="4F0F0F48" w14:textId="77777777" w:rsidR="0072615D" w:rsidRDefault="0072615D">
            <w:pPr>
              <w:pStyle w:val="Other0"/>
              <w:framePr w:w="3250" w:h="4210" w:wrap="none" w:hAnchor="page" w:x="8823" w:y="1734"/>
              <w:pBdr>
                <w:top w:val="single" w:sz="0" w:space="0" w:color="58585A"/>
                <w:left w:val="single" w:sz="0" w:space="0" w:color="58585A"/>
                <w:bottom w:val="single" w:sz="0" w:space="0" w:color="58585A"/>
                <w:right w:val="single" w:sz="0" w:space="0" w:color="58585A"/>
              </w:pBdr>
              <w:shd w:val="clear" w:color="auto" w:fill="58585A"/>
              <w:spacing w:line="211" w:lineRule="auto"/>
              <w:ind w:firstLine="0"/>
              <w:rPr>
                <w:sz w:val="16"/>
                <w:szCs w:val="16"/>
              </w:rPr>
            </w:pPr>
            <w:r>
              <w:rPr>
                <w:rFonts w:ascii="Times New Roman" w:eastAsia="Times New Roman" w:hAnsi="Times New Roman" w:cs="Times New Roman"/>
                <w:color w:val="FFFFFF"/>
                <w:sz w:val="16"/>
                <w:szCs w:val="16"/>
              </w:rPr>
              <w:t>R #2</w:t>
            </w:r>
          </w:p>
        </w:tc>
      </w:tr>
      <w:tr w:rsidR="0072615D" w14:paraId="69EBB5FD" w14:textId="77777777">
        <w:tblPrEx>
          <w:tblCellMar>
            <w:top w:w="0" w:type="dxa"/>
            <w:bottom w:w="0" w:type="dxa"/>
          </w:tblCellMar>
        </w:tblPrEx>
        <w:trPr>
          <w:trHeight w:hRule="exact" w:val="235"/>
        </w:trPr>
        <w:tc>
          <w:tcPr>
            <w:tcW w:w="840" w:type="dxa"/>
            <w:tcBorders>
              <w:left w:val="single" w:sz="4" w:space="0" w:color="auto"/>
            </w:tcBorders>
            <w:shd w:val="clear" w:color="auto" w:fill="58585A"/>
          </w:tcPr>
          <w:p w14:paraId="57BB7C7B" w14:textId="77777777" w:rsidR="0072615D" w:rsidRDefault="0072615D">
            <w:pPr>
              <w:framePr w:w="3250" w:h="4210" w:wrap="none" w:hAnchor="page" w:x="8823" w:y="1734"/>
              <w:rPr>
                <w:sz w:val="10"/>
                <w:szCs w:val="10"/>
              </w:rPr>
            </w:pPr>
          </w:p>
        </w:tc>
        <w:tc>
          <w:tcPr>
            <w:tcW w:w="2409" w:type="dxa"/>
            <w:gridSpan w:val="3"/>
            <w:shd w:val="clear" w:color="auto" w:fill="58585A"/>
          </w:tcPr>
          <w:p w14:paraId="4EA34DC7" w14:textId="77777777" w:rsidR="0072615D" w:rsidRDefault="0072615D">
            <w:pPr>
              <w:pStyle w:val="Other0"/>
              <w:framePr w:w="3250" w:h="4210" w:wrap="none" w:hAnchor="page" w:x="8823" w:y="1734"/>
              <w:pBdr>
                <w:top w:val="single" w:sz="0" w:space="0" w:color="58585A"/>
                <w:left w:val="single" w:sz="0" w:space="0" w:color="58585A"/>
                <w:bottom w:val="single" w:sz="0" w:space="0" w:color="58585A"/>
                <w:right w:val="single" w:sz="0" w:space="0" w:color="58585A"/>
              </w:pBdr>
              <w:shd w:val="clear" w:color="auto" w:fill="58585A"/>
              <w:spacing w:line="240" w:lineRule="auto"/>
              <w:ind w:firstLine="520"/>
              <w:rPr>
                <w:sz w:val="16"/>
                <w:szCs w:val="16"/>
              </w:rPr>
            </w:pPr>
            <w:r>
              <w:rPr>
                <w:rFonts w:ascii="Times New Roman" w:eastAsia="Times New Roman" w:hAnsi="Times New Roman" w:cs="Times New Roman"/>
                <w:color w:val="FFFFFF"/>
                <w:sz w:val="16"/>
                <w:szCs w:val="16"/>
              </w:rPr>
              <w:t>Varicela</w:t>
            </w:r>
          </w:p>
        </w:tc>
      </w:tr>
      <w:tr w:rsidR="0072615D" w14:paraId="7AC59B6D" w14:textId="77777777">
        <w:tblPrEx>
          <w:tblCellMar>
            <w:top w:w="0" w:type="dxa"/>
            <w:bottom w:w="0" w:type="dxa"/>
          </w:tblCellMar>
        </w:tblPrEx>
        <w:trPr>
          <w:trHeight w:hRule="exact" w:val="139"/>
        </w:trPr>
        <w:tc>
          <w:tcPr>
            <w:tcW w:w="840" w:type="dxa"/>
            <w:tcBorders>
              <w:top w:val="single" w:sz="4" w:space="0" w:color="auto"/>
              <w:left w:val="single" w:sz="4" w:space="0" w:color="auto"/>
            </w:tcBorders>
            <w:shd w:val="clear" w:color="auto" w:fill="58585A"/>
          </w:tcPr>
          <w:p w14:paraId="12B19DEE" w14:textId="77777777" w:rsidR="0072615D" w:rsidRDefault="0072615D">
            <w:pPr>
              <w:framePr w:w="3250" w:h="4210" w:wrap="none" w:hAnchor="page" w:x="8823" w:y="1734"/>
              <w:rPr>
                <w:sz w:val="10"/>
                <w:szCs w:val="10"/>
              </w:rPr>
            </w:pPr>
          </w:p>
        </w:tc>
        <w:tc>
          <w:tcPr>
            <w:tcW w:w="835" w:type="dxa"/>
            <w:tcBorders>
              <w:top w:val="single" w:sz="4" w:space="0" w:color="auto"/>
            </w:tcBorders>
            <w:shd w:val="clear" w:color="auto" w:fill="FFFFFF"/>
          </w:tcPr>
          <w:p w14:paraId="43045FF8" w14:textId="77777777" w:rsidR="0072615D" w:rsidRDefault="0072615D">
            <w:pPr>
              <w:framePr w:w="3250" w:h="4210" w:wrap="none" w:hAnchor="page" w:x="8823" w:y="1734"/>
              <w:rPr>
                <w:sz w:val="10"/>
                <w:szCs w:val="10"/>
              </w:rPr>
            </w:pPr>
          </w:p>
        </w:tc>
        <w:tc>
          <w:tcPr>
            <w:tcW w:w="758" w:type="dxa"/>
            <w:shd w:val="clear" w:color="auto" w:fill="231F20"/>
          </w:tcPr>
          <w:p w14:paraId="19E282E4" w14:textId="77777777" w:rsidR="0072615D" w:rsidRDefault="0072615D">
            <w:pPr>
              <w:framePr w:w="3250" w:h="4210" w:wrap="none" w:hAnchor="page" w:x="8823" w:y="1734"/>
              <w:rPr>
                <w:sz w:val="10"/>
                <w:szCs w:val="10"/>
              </w:rPr>
            </w:pPr>
          </w:p>
        </w:tc>
        <w:tc>
          <w:tcPr>
            <w:tcW w:w="816" w:type="dxa"/>
            <w:tcBorders>
              <w:top w:val="single" w:sz="4" w:space="0" w:color="auto"/>
              <w:right w:val="single" w:sz="4" w:space="0" w:color="auto"/>
            </w:tcBorders>
            <w:shd w:val="clear" w:color="auto" w:fill="FFFFFF"/>
          </w:tcPr>
          <w:p w14:paraId="21C4177B" w14:textId="77777777" w:rsidR="0072615D" w:rsidRDefault="0072615D">
            <w:pPr>
              <w:framePr w:w="3250" w:h="4210" w:wrap="none" w:hAnchor="page" w:x="8823" w:y="1734"/>
              <w:rPr>
                <w:sz w:val="10"/>
                <w:szCs w:val="10"/>
              </w:rPr>
            </w:pPr>
          </w:p>
        </w:tc>
      </w:tr>
      <w:tr w:rsidR="0072615D" w14:paraId="34EBB107" w14:textId="77777777">
        <w:tblPrEx>
          <w:tblCellMar>
            <w:top w:w="0" w:type="dxa"/>
            <w:bottom w:w="0" w:type="dxa"/>
          </w:tblCellMar>
        </w:tblPrEx>
        <w:trPr>
          <w:trHeight w:hRule="exact" w:val="254"/>
        </w:trPr>
        <w:tc>
          <w:tcPr>
            <w:tcW w:w="840" w:type="dxa"/>
            <w:tcBorders>
              <w:left w:val="single" w:sz="4" w:space="0" w:color="auto"/>
            </w:tcBorders>
            <w:shd w:val="clear" w:color="auto" w:fill="58585A"/>
          </w:tcPr>
          <w:p w14:paraId="09E8AB53" w14:textId="77777777" w:rsidR="0072615D" w:rsidRDefault="0072615D">
            <w:pPr>
              <w:pStyle w:val="Other0"/>
              <w:framePr w:w="3250" w:h="4210" w:wrap="none" w:hAnchor="page" w:x="8823" w:y="1734"/>
              <w:pBdr>
                <w:top w:val="single" w:sz="0" w:space="0" w:color="58585A"/>
                <w:left w:val="single" w:sz="0" w:space="0" w:color="58585A"/>
                <w:bottom w:val="single" w:sz="0" w:space="0" w:color="58585A"/>
                <w:right w:val="single" w:sz="0" w:space="0" w:color="58585A"/>
              </w:pBdr>
              <w:shd w:val="clear" w:color="auto" w:fill="58585A"/>
              <w:spacing w:line="240" w:lineRule="auto"/>
              <w:ind w:firstLine="480"/>
              <w:rPr>
                <w:sz w:val="16"/>
                <w:szCs w:val="16"/>
              </w:rPr>
            </w:pPr>
            <w:r>
              <w:rPr>
                <w:rFonts w:ascii="Times New Roman" w:eastAsia="Times New Roman" w:hAnsi="Times New Roman" w:cs="Times New Roman"/>
                <w:color w:val="FFFFFF"/>
                <w:sz w:val="16"/>
                <w:szCs w:val="16"/>
              </w:rPr>
              <w:t>PCV</w:t>
            </w:r>
          </w:p>
        </w:tc>
        <w:tc>
          <w:tcPr>
            <w:tcW w:w="1593" w:type="dxa"/>
            <w:gridSpan w:val="2"/>
            <w:shd w:val="clear" w:color="auto" w:fill="BCBDC1"/>
          </w:tcPr>
          <w:p w14:paraId="3E01330B" w14:textId="77777777" w:rsidR="0072615D" w:rsidRDefault="0072615D">
            <w:pPr>
              <w:pStyle w:val="Other0"/>
              <w:framePr w:w="3250" w:h="4210" w:wrap="none" w:hAnchor="page" w:x="8823" w:y="1734"/>
              <w:spacing w:line="240" w:lineRule="auto"/>
              <w:ind w:firstLine="0"/>
              <w:jc w:val="center"/>
              <w:rPr>
                <w:sz w:val="16"/>
                <w:szCs w:val="16"/>
              </w:rPr>
            </w:pPr>
            <w:r>
              <w:rPr>
                <w:rFonts w:ascii="Times New Roman" w:eastAsia="Times New Roman" w:hAnsi="Times New Roman" w:cs="Times New Roman"/>
                <w:sz w:val="16"/>
                <w:szCs w:val="16"/>
              </w:rPr>
              <w:t>PPV</w:t>
            </w:r>
          </w:p>
        </w:tc>
        <w:tc>
          <w:tcPr>
            <w:tcW w:w="816" w:type="dxa"/>
            <w:tcBorders>
              <w:right w:val="single" w:sz="4" w:space="0" w:color="auto"/>
            </w:tcBorders>
            <w:shd w:val="clear" w:color="auto" w:fill="BCBDC1"/>
          </w:tcPr>
          <w:p w14:paraId="4F10070F" w14:textId="77777777" w:rsidR="0072615D" w:rsidRDefault="0072615D">
            <w:pPr>
              <w:framePr w:w="3250" w:h="4210" w:wrap="none" w:hAnchor="page" w:x="8823" w:y="1734"/>
              <w:rPr>
                <w:sz w:val="10"/>
                <w:szCs w:val="10"/>
              </w:rPr>
            </w:pPr>
          </w:p>
        </w:tc>
      </w:tr>
      <w:tr w:rsidR="0072615D" w14:paraId="705DD39B" w14:textId="77777777">
        <w:tblPrEx>
          <w:tblCellMar>
            <w:top w:w="0" w:type="dxa"/>
            <w:bottom w:w="0" w:type="dxa"/>
          </w:tblCellMar>
        </w:tblPrEx>
        <w:trPr>
          <w:trHeight w:hRule="exact" w:val="288"/>
        </w:trPr>
        <w:tc>
          <w:tcPr>
            <w:tcW w:w="840" w:type="dxa"/>
            <w:tcBorders>
              <w:left w:val="single" w:sz="4" w:space="0" w:color="auto"/>
            </w:tcBorders>
            <w:shd w:val="clear" w:color="auto" w:fill="FFFFFF"/>
          </w:tcPr>
          <w:p w14:paraId="50F32692" w14:textId="77777777" w:rsidR="0072615D" w:rsidRDefault="0072615D">
            <w:pPr>
              <w:framePr w:w="3250" w:h="4210" w:wrap="none" w:hAnchor="page" w:x="8823" w:y="1734"/>
              <w:rPr>
                <w:sz w:val="10"/>
                <w:szCs w:val="10"/>
              </w:rPr>
            </w:pPr>
          </w:p>
        </w:tc>
        <w:tc>
          <w:tcPr>
            <w:tcW w:w="835" w:type="dxa"/>
            <w:tcBorders>
              <w:left w:val="single" w:sz="4" w:space="0" w:color="auto"/>
            </w:tcBorders>
            <w:shd w:val="clear" w:color="auto" w:fill="FFFFFF"/>
          </w:tcPr>
          <w:p w14:paraId="1B1B7E64" w14:textId="77777777" w:rsidR="0072615D" w:rsidRDefault="0072615D">
            <w:pPr>
              <w:framePr w:w="3250" w:h="4210" w:wrap="none" w:hAnchor="page" w:x="8823" w:y="1734"/>
              <w:rPr>
                <w:sz w:val="10"/>
                <w:szCs w:val="10"/>
              </w:rPr>
            </w:pPr>
          </w:p>
        </w:tc>
        <w:tc>
          <w:tcPr>
            <w:tcW w:w="758" w:type="dxa"/>
            <w:tcBorders>
              <w:left w:val="single" w:sz="4" w:space="0" w:color="auto"/>
            </w:tcBorders>
            <w:shd w:val="clear" w:color="auto" w:fill="231F20"/>
          </w:tcPr>
          <w:p w14:paraId="08CC8385" w14:textId="77777777" w:rsidR="0072615D" w:rsidRDefault="0072615D">
            <w:pPr>
              <w:framePr w:w="3250" w:h="4210" w:wrap="none" w:hAnchor="page" w:x="8823" w:y="1734"/>
              <w:rPr>
                <w:sz w:val="10"/>
                <w:szCs w:val="10"/>
              </w:rPr>
            </w:pPr>
          </w:p>
        </w:tc>
        <w:tc>
          <w:tcPr>
            <w:tcW w:w="816" w:type="dxa"/>
            <w:tcBorders>
              <w:left w:val="single" w:sz="4" w:space="0" w:color="auto"/>
              <w:right w:val="single" w:sz="4" w:space="0" w:color="auto"/>
            </w:tcBorders>
            <w:shd w:val="clear" w:color="auto" w:fill="FFFFFF"/>
          </w:tcPr>
          <w:p w14:paraId="28DE39D8" w14:textId="77777777" w:rsidR="0072615D" w:rsidRDefault="0072615D">
            <w:pPr>
              <w:framePr w:w="3250" w:h="4210" w:wrap="none" w:hAnchor="page" w:x="8823" w:y="1734"/>
              <w:rPr>
                <w:sz w:val="10"/>
                <w:szCs w:val="10"/>
              </w:rPr>
            </w:pPr>
          </w:p>
        </w:tc>
      </w:tr>
      <w:tr w:rsidR="0072615D" w14:paraId="4060527B" w14:textId="77777777">
        <w:tblPrEx>
          <w:tblCellMar>
            <w:top w:w="0" w:type="dxa"/>
            <w:bottom w:w="0" w:type="dxa"/>
          </w:tblCellMar>
        </w:tblPrEx>
        <w:trPr>
          <w:trHeight w:hRule="exact" w:val="226"/>
        </w:trPr>
        <w:tc>
          <w:tcPr>
            <w:tcW w:w="3249" w:type="dxa"/>
            <w:gridSpan w:val="4"/>
            <w:tcBorders>
              <w:left w:val="single" w:sz="4" w:space="0" w:color="auto"/>
              <w:right w:val="single" w:sz="4" w:space="0" w:color="auto"/>
            </w:tcBorders>
            <w:shd w:val="clear" w:color="auto" w:fill="BCBDC1"/>
            <w:vAlign w:val="bottom"/>
          </w:tcPr>
          <w:p w14:paraId="5A8BCDBB" w14:textId="77777777" w:rsidR="0072615D" w:rsidRDefault="0072615D">
            <w:pPr>
              <w:pStyle w:val="Other0"/>
              <w:framePr w:w="3250" w:h="4210" w:wrap="none" w:hAnchor="page" w:x="8823" w:y="1734"/>
              <w:spacing w:line="240" w:lineRule="auto"/>
              <w:ind w:firstLine="0"/>
              <w:jc w:val="center"/>
              <w:rPr>
                <w:sz w:val="16"/>
                <w:szCs w:val="16"/>
              </w:rPr>
            </w:pPr>
            <w:r>
              <w:rPr>
                <w:rFonts w:ascii="Times New Roman" w:eastAsia="Times New Roman" w:hAnsi="Times New Roman" w:cs="Times New Roman"/>
                <w:sz w:val="16"/>
                <w:szCs w:val="16"/>
              </w:rPr>
              <w:t>Hepatitis A series</w:t>
            </w:r>
          </w:p>
        </w:tc>
      </w:tr>
      <w:tr w:rsidR="0072615D" w14:paraId="12C5982C" w14:textId="77777777">
        <w:tblPrEx>
          <w:tblCellMar>
            <w:top w:w="0" w:type="dxa"/>
            <w:bottom w:w="0" w:type="dxa"/>
          </w:tblCellMar>
        </w:tblPrEx>
        <w:trPr>
          <w:trHeight w:hRule="exact" w:val="110"/>
        </w:trPr>
        <w:tc>
          <w:tcPr>
            <w:tcW w:w="840" w:type="dxa"/>
            <w:tcBorders>
              <w:left w:val="single" w:sz="4" w:space="0" w:color="auto"/>
            </w:tcBorders>
            <w:shd w:val="clear" w:color="auto" w:fill="FFFFFF"/>
          </w:tcPr>
          <w:p w14:paraId="4A490077" w14:textId="77777777" w:rsidR="0072615D" w:rsidRDefault="0072615D">
            <w:pPr>
              <w:framePr w:w="3250" w:h="4210" w:wrap="none" w:hAnchor="page" w:x="8823" w:y="1734"/>
              <w:rPr>
                <w:sz w:val="10"/>
                <w:szCs w:val="10"/>
              </w:rPr>
            </w:pPr>
          </w:p>
        </w:tc>
        <w:tc>
          <w:tcPr>
            <w:tcW w:w="835" w:type="dxa"/>
            <w:shd w:val="clear" w:color="auto" w:fill="FFFFFF"/>
          </w:tcPr>
          <w:p w14:paraId="6DA3AF84" w14:textId="77777777" w:rsidR="0072615D" w:rsidRDefault="0072615D">
            <w:pPr>
              <w:pStyle w:val="Other0"/>
              <w:framePr w:w="3250" w:h="4210" w:wrap="none" w:hAnchor="page" w:x="8823" w:y="1734"/>
              <w:spacing w:line="240" w:lineRule="auto"/>
              <w:ind w:firstLine="0"/>
              <w:jc w:val="right"/>
              <w:rPr>
                <w:sz w:val="16"/>
                <w:szCs w:val="16"/>
              </w:rPr>
            </w:pPr>
            <w:r>
              <w:rPr>
                <w:rFonts w:ascii="Times New Roman" w:eastAsia="Times New Roman" w:hAnsi="Times New Roman" w:cs="Times New Roman"/>
                <w:sz w:val="16"/>
                <w:szCs w:val="16"/>
              </w:rPr>
              <w:t>1</w:t>
            </w:r>
          </w:p>
        </w:tc>
        <w:tc>
          <w:tcPr>
            <w:tcW w:w="758" w:type="dxa"/>
            <w:shd w:val="clear" w:color="auto" w:fill="231F20"/>
            <w:vAlign w:val="bottom"/>
          </w:tcPr>
          <w:p w14:paraId="3B91566F" w14:textId="77777777" w:rsidR="0072615D" w:rsidRDefault="0072615D">
            <w:pPr>
              <w:pStyle w:val="Other0"/>
              <w:framePr w:w="3250" w:h="4210" w:wrap="none" w:hAnchor="page" w:x="8823" w:y="1734"/>
              <w:pBdr>
                <w:top w:val="single" w:sz="0" w:space="0" w:color="231F20"/>
                <w:left w:val="single" w:sz="0" w:space="0" w:color="231F20"/>
                <w:bottom w:val="single" w:sz="0" w:space="0" w:color="231F20"/>
                <w:right w:val="single" w:sz="0" w:space="0" w:color="231F20"/>
              </w:pBdr>
              <w:shd w:val="clear" w:color="auto" w:fill="231F20"/>
              <w:tabs>
                <w:tab w:val="left" w:leader="underscore" w:pos="734"/>
              </w:tabs>
              <w:spacing w:line="240" w:lineRule="auto"/>
              <w:ind w:firstLine="0"/>
              <w:jc w:val="right"/>
              <w:rPr>
                <w:sz w:val="16"/>
                <w:szCs w:val="16"/>
              </w:rPr>
            </w:pPr>
            <w:r>
              <w:rPr>
                <w:rFonts w:ascii="Times New Roman" w:eastAsia="Times New Roman" w:hAnsi="Times New Roman" w:cs="Times New Roman"/>
                <w:color w:val="BCBDC1"/>
                <w:sz w:val="16"/>
                <w:szCs w:val="16"/>
              </w:rPr>
              <w:tab/>
            </w:r>
          </w:p>
        </w:tc>
        <w:tc>
          <w:tcPr>
            <w:tcW w:w="816" w:type="dxa"/>
            <w:tcBorders>
              <w:right w:val="single" w:sz="4" w:space="0" w:color="auto"/>
            </w:tcBorders>
            <w:shd w:val="clear" w:color="auto" w:fill="FFFFFF"/>
          </w:tcPr>
          <w:p w14:paraId="51ADC75A" w14:textId="77777777" w:rsidR="0072615D" w:rsidRDefault="0072615D">
            <w:pPr>
              <w:pStyle w:val="Other0"/>
              <w:framePr w:w="3250" w:h="4210" w:wrap="none" w:hAnchor="page" w:x="8823" w:y="1734"/>
              <w:spacing w:line="240" w:lineRule="auto"/>
              <w:ind w:firstLine="0"/>
              <w:rPr>
                <w:sz w:val="16"/>
                <w:szCs w:val="16"/>
              </w:rPr>
            </w:pPr>
            <w:r>
              <w:rPr>
                <w:rFonts w:ascii="Times New Roman" w:eastAsia="Times New Roman" w:hAnsi="Times New Roman" w:cs="Times New Roman"/>
                <w:sz w:val="16"/>
                <w:szCs w:val="16"/>
              </w:rPr>
              <w:t>1</w:t>
            </w:r>
          </w:p>
        </w:tc>
      </w:tr>
    </w:tbl>
    <w:p w14:paraId="416B869B" w14:textId="77777777" w:rsidR="0072615D" w:rsidRDefault="0072615D">
      <w:pPr>
        <w:framePr w:w="3250" w:h="4210" w:wrap="none" w:hAnchor="page" w:x="8823" w:y="1734"/>
        <w:spacing w:line="1" w:lineRule="exact"/>
      </w:pPr>
    </w:p>
    <w:p w14:paraId="5517D21B" w14:textId="77777777" w:rsidR="0072615D" w:rsidRDefault="0072615D">
      <w:pPr>
        <w:pStyle w:val="Bodytext20"/>
        <w:framePr w:w="696" w:h="226" w:wrap="none" w:hAnchor="page" w:x="8545" w:y="5929"/>
        <w:spacing w:line="240" w:lineRule="auto"/>
      </w:pPr>
      <w:r>
        <w:t>Influenza</w:t>
      </w:r>
    </w:p>
    <w:p w14:paraId="0DE441EF" w14:textId="77777777" w:rsidR="0072615D" w:rsidRDefault="0072615D">
      <w:pPr>
        <w:pStyle w:val="Bodytext50"/>
        <w:framePr w:w="11366" w:h="725" w:wrap="none" w:hAnchor="page" w:x="601" w:y="6279"/>
        <w:jc w:val="both"/>
      </w:pPr>
      <w:r>
        <w:t xml:space="preserve">El calendario indica las edades recomendadas para la administración habitual de las vacunas autorizadas en la actualidad, al primero de diciembre de 2002 en Estados Unidos para niños hasta los 18 años de vida. En cualquier visita ulterior, cuando esté indicado y sea factible, se administrarán las dosis que faltaron en la edad recomendada. </w:t>
      </w:r>
      <w:r>
        <w:rPr>
          <w:color w:val="58585A"/>
        </w:rPr>
        <w:t xml:space="preserve">■ </w:t>
      </w:r>
      <w:r>
        <w:t>Indica grupos de edad en que está justificado un esfuerzo especial para aplicar las vacunas que no se administraron. En el transcurso del año es posible que se aprueben y recomienden nuevas vacunas. Cabe utilizar vacunas aprobadas (combinaciones) siempre que convenga el uso de cualquiera de los componentes de la combinación y no haya contraindicación con otros componentes de la vacuna. Las personas que aplican vacunas deben consultar la información proporcionada por el fabricante, en busca de recomendaciones detalladas.</w:t>
      </w:r>
    </w:p>
    <w:p w14:paraId="08C2256D" w14:textId="77777777" w:rsidR="0072615D" w:rsidRDefault="0072615D">
      <w:pPr>
        <w:pStyle w:val="Bodytext50"/>
        <w:framePr w:w="3058" w:h="168" w:wrap="none" w:hAnchor="page" w:x="8958" w:y="6980"/>
        <w:jc w:val="right"/>
      </w:pPr>
      <w:r>
        <w:t>(Consúltese la página siguiente para mayor información)</w:t>
      </w:r>
    </w:p>
    <w:p w14:paraId="1B227189" w14:textId="77777777" w:rsidR="0072615D" w:rsidRDefault="0072615D">
      <w:pPr>
        <w:pStyle w:val="Bodytext80"/>
        <w:framePr w:w="192" w:h="4238" w:hRule="exact" w:wrap="none" w:hAnchor="page" w:x="12390" w:y="97"/>
        <w:tabs>
          <w:tab w:val="left" w:pos="2640"/>
        </w:tabs>
        <w:textDirection w:val="tbRl"/>
      </w:pPr>
      <w:r>
        <w:rPr>
          <w:sz w:val="16"/>
          <w:szCs w:val="16"/>
        </w:rPr>
        <w:t>26</w:t>
      </w:r>
      <w:r>
        <w:rPr>
          <w:sz w:val="16"/>
          <w:szCs w:val="16"/>
        </w:rPr>
        <w:tab/>
      </w:r>
      <w:r>
        <w:t>INMUNIZACIÓN ACTIVA</w:t>
      </w:r>
    </w:p>
    <w:p w14:paraId="136A4B52" w14:textId="77777777" w:rsidR="0072615D" w:rsidRDefault="0072615D">
      <w:pPr>
        <w:spacing w:line="360" w:lineRule="exact"/>
      </w:pPr>
    </w:p>
    <w:p w14:paraId="6FD84541" w14:textId="77777777" w:rsidR="0072615D" w:rsidRDefault="0072615D">
      <w:pPr>
        <w:spacing w:line="360" w:lineRule="exact"/>
      </w:pPr>
    </w:p>
    <w:p w14:paraId="56E5BEDB" w14:textId="77777777" w:rsidR="0072615D" w:rsidRDefault="0072615D">
      <w:pPr>
        <w:spacing w:line="360" w:lineRule="exact"/>
      </w:pPr>
    </w:p>
    <w:p w14:paraId="46D7B54B" w14:textId="77777777" w:rsidR="0072615D" w:rsidRDefault="0072615D">
      <w:pPr>
        <w:spacing w:line="360" w:lineRule="exact"/>
      </w:pPr>
    </w:p>
    <w:p w14:paraId="5C52E100" w14:textId="77777777" w:rsidR="0072615D" w:rsidRDefault="0072615D">
      <w:pPr>
        <w:spacing w:line="360" w:lineRule="exact"/>
      </w:pPr>
    </w:p>
    <w:p w14:paraId="728EA646" w14:textId="77777777" w:rsidR="0072615D" w:rsidRDefault="0072615D">
      <w:pPr>
        <w:spacing w:line="360" w:lineRule="exact"/>
      </w:pPr>
    </w:p>
    <w:p w14:paraId="658DAD22" w14:textId="77777777" w:rsidR="0072615D" w:rsidRDefault="0072615D">
      <w:pPr>
        <w:spacing w:line="360" w:lineRule="exact"/>
      </w:pPr>
    </w:p>
    <w:p w14:paraId="0737EC2A" w14:textId="77777777" w:rsidR="0072615D" w:rsidRDefault="0072615D">
      <w:pPr>
        <w:spacing w:line="360" w:lineRule="exact"/>
      </w:pPr>
    </w:p>
    <w:p w14:paraId="076BAF93" w14:textId="77777777" w:rsidR="0072615D" w:rsidRDefault="0072615D">
      <w:pPr>
        <w:spacing w:line="360" w:lineRule="exact"/>
      </w:pPr>
    </w:p>
    <w:p w14:paraId="493B433D" w14:textId="77777777" w:rsidR="0072615D" w:rsidRDefault="0072615D">
      <w:pPr>
        <w:spacing w:line="360" w:lineRule="exact"/>
      </w:pPr>
    </w:p>
    <w:p w14:paraId="018F54C7" w14:textId="77777777" w:rsidR="0072615D" w:rsidRDefault="0072615D">
      <w:pPr>
        <w:spacing w:line="360" w:lineRule="exact"/>
      </w:pPr>
    </w:p>
    <w:p w14:paraId="72B4130F" w14:textId="77777777" w:rsidR="0072615D" w:rsidRDefault="0072615D">
      <w:pPr>
        <w:spacing w:line="360" w:lineRule="exact"/>
      </w:pPr>
    </w:p>
    <w:p w14:paraId="014C0C35" w14:textId="77777777" w:rsidR="0072615D" w:rsidRDefault="0072615D">
      <w:pPr>
        <w:spacing w:line="360" w:lineRule="exact"/>
      </w:pPr>
    </w:p>
    <w:p w14:paraId="5D7CFF88" w14:textId="77777777" w:rsidR="0072615D" w:rsidRDefault="0072615D">
      <w:pPr>
        <w:spacing w:line="360" w:lineRule="exact"/>
      </w:pPr>
    </w:p>
    <w:p w14:paraId="1F63D9AE" w14:textId="77777777" w:rsidR="0072615D" w:rsidRDefault="0072615D">
      <w:pPr>
        <w:spacing w:line="360" w:lineRule="exact"/>
      </w:pPr>
    </w:p>
    <w:p w14:paraId="54A29BE9" w14:textId="77777777" w:rsidR="0072615D" w:rsidRDefault="0072615D">
      <w:pPr>
        <w:spacing w:line="360" w:lineRule="exact"/>
      </w:pPr>
    </w:p>
    <w:p w14:paraId="7D442038" w14:textId="77777777" w:rsidR="0072615D" w:rsidRDefault="0072615D">
      <w:pPr>
        <w:spacing w:line="360" w:lineRule="exact"/>
      </w:pPr>
    </w:p>
    <w:p w14:paraId="3994F7BC" w14:textId="77777777" w:rsidR="0072615D" w:rsidRDefault="0072615D">
      <w:pPr>
        <w:spacing w:line="360" w:lineRule="exact"/>
      </w:pPr>
    </w:p>
    <w:p w14:paraId="22F0B6A6" w14:textId="77777777" w:rsidR="0072615D" w:rsidRDefault="0072615D">
      <w:pPr>
        <w:spacing w:after="666" w:line="1" w:lineRule="exact"/>
      </w:pPr>
    </w:p>
    <w:p w14:paraId="079BBF7F" w14:textId="77777777" w:rsidR="0072615D" w:rsidRDefault="0072615D">
      <w:pPr>
        <w:spacing w:line="1" w:lineRule="exact"/>
        <w:sectPr w:rsidR="0072615D" w:rsidSect="0072615D">
          <w:headerReference w:type="even" r:id="rId83"/>
          <w:headerReference w:type="default" r:id="rId84"/>
          <w:footerReference w:type="even" r:id="rId85"/>
          <w:footerReference w:type="default" r:id="rId86"/>
          <w:footnotePr>
            <w:numFmt w:val="chicago"/>
          </w:footnotePr>
          <w:pgSz w:w="13022" w:h="8501" w:orient="landscape"/>
          <w:pgMar w:top="408" w:right="442" w:bottom="408" w:left="600" w:header="0" w:footer="3" w:gutter="0"/>
          <w:cols w:space="720"/>
          <w:noEndnote/>
          <w:docGrid w:linePitch="360"/>
          <w15:footnoteColumns w:val="1"/>
        </w:sectPr>
      </w:pPr>
    </w:p>
    <w:p w14:paraId="7D0E1FA8" w14:textId="77777777" w:rsidR="0072615D" w:rsidRDefault="0072615D">
      <w:pPr>
        <w:pStyle w:val="Heading31"/>
        <w:keepNext/>
        <w:keepLines/>
        <w:pBdr>
          <w:bottom w:val="single" w:sz="4" w:space="0" w:color="auto"/>
        </w:pBdr>
        <w:jc w:val="center"/>
        <w:sectPr w:rsidR="0072615D" w:rsidSect="0072615D">
          <w:footnotePr>
            <w:numFmt w:val="chicago"/>
          </w:footnotePr>
          <w:pgSz w:w="13022" w:h="8501" w:orient="landscape"/>
          <w:pgMar w:top="1085" w:right="1099" w:bottom="266" w:left="734" w:header="0" w:footer="3" w:gutter="0"/>
          <w:cols w:space="720"/>
          <w:noEndnote/>
          <w:docGrid w:linePitch="360"/>
          <w15:footnoteColumns w:val="1"/>
        </w:sectPr>
      </w:pPr>
      <w:bookmarkStart w:id="146" w:name="bookmark146"/>
      <w:bookmarkStart w:id="147" w:name="bookmark147"/>
      <w:bookmarkStart w:id="148" w:name="bookmark148"/>
      <w:r>
        <w:rPr>
          <w:b w:val="0"/>
          <w:bCs w:val="0"/>
        </w:rPr>
        <w:t xml:space="preserve">Figura 1- 1. </w:t>
      </w:r>
      <w:r>
        <w:t>Calendario de vacunaciones de niños y adolescentes</w:t>
      </w:r>
      <w:bookmarkEnd w:id="146"/>
      <w:bookmarkEnd w:id="147"/>
      <w:bookmarkEnd w:id="148"/>
    </w:p>
    <w:p w14:paraId="21E17CE6" w14:textId="77777777" w:rsidR="0072615D" w:rsidRDefault="0072615D">
      <w:pPr>
        <w:spacing w:before="28" w:after="28" w:line="240" w:lineRule="exact"/>
        <w:rPr>
          <w:sz w:val="19"/>
          <w:szCs w:val="19"/>
        </w:rPr>
      </w:pPr>
    </w:p>
    <w:p w14:paraId="6281499C" w14:textId="77777777" w:rsidR="0072615D" w:rsidRDefault="0072615D">
      <w:pPr>
        <w:spacing w:line="1" w:lineRule="exact"/>
        <w:sectPr w:rsidR="0072615D" w:rsidSect="0072615D">
          <w:footnotePr>
            <w:numFmt w:val="chicago"/>
          </w:footnotePr>
          <w:type w:val="continuous"/>
          <w:pgSz w:w="13022" w:h="8501" w:orient="landscape"/>
          <w:pgMar w:top="1085" w:right="0" w:bottom="266" w:left="0" w:header="0" w:footer="3" w:gutter="0"/>
          <w:cols w:space="720"/>
          <w:noEndnote/>
          <w:docGrid w:linePitch="360"/>
          <w15:footnoteColumns w:val="1"/>
        </w:sectPr>
      </w:pPr>
    </w:p>
    <w:p w14:paraId="14F1DF82" w14:textId="77777777" w:rsidR="0072615D" w:rsidRDefault="0072615D">
      <w:pPr>
        <w:spacing w:line="1" w:lineRule="exact"/>
      </w:pPr>
      <w:r>
        <w:rPr>
          <w:noProof/>
        </w:rPr>
        <mc:AlternateContent>
          <mc:Choice Requires="wps">
            <w:drawing>
              <wp:anchor distT="228600" distB="254000" distL="114300" distR="114300" simplePos="0" relativeHeight="251661312" behindDoc="0" locked="0" layoutInCell="1" allowOverlap="1" wp14:anchorId="2E04957B" wp14:editId="00E7596B">
                <wp:simplePos x="0" y="0"/>
                <wp:positionH relativeFrom="page">
                  <wp:posOffset>594360</wp:posOffset>
                </wp:positionH>
                <wp:positionV relativeFrom="paragraph">
                  <wp:posOffset>3435350</wp:posOffset>
                </wp:positionV>
                <wp:extent cx="6861175" cy="530225"/>
                <wp:effectExtent l="0" t="0" r="0" b="0"/>
                <wp:wrapTopAndBottom/>
                <wp:docPr id="88" name="Shape 88"/>
                <wp:cNvGraphicFramePr/>
                <a:graphic xmlns:a="http://schemas.openxmlformats.org/drawingml/2006/main">
                  <a:graphicData uri="http://schemas.microsoft.com/office/word/2010/wordprocessingShape">
                    <wps:wsp>
                      <wps:cNvSpPr txBox="1"/>
                      <wps:spPr>
                        <a:xfrm>
                          <a:off x="0" y="0"/>
                          <a:ext cx="6861175" cy="530225"/>
                        </a:xfrm>
                        <a:prstGeom prst="rect">
                          <a:avLst/>
                        </a:prstGeom>
                        <a:noFill/>
                      </wps:spPr>
                      <wps:txbx>
                        <w:txbxContent>
                          <w:p w14:paraId="229F4AC4" w14:textId="77777777" w:rsidR="0072615D" w:rsidRDefault="0072615D">
                            <w:pPr>
                              <w:pStyle w:val="Bodytext80"/>
                              <w:spacing w:after="140"/>
                              <w:jc w:val="center"/>
                            </w:pPr>
                            <w:r>
                              <w:t>Para obtener más información sobre vacunas, incluidas precauciones y contraindicaciones para la vacunación y la escasez de vacunas, visitar la página the National</w:t>
                            </w:r>
                            <w:r>
                              <w:br/>
                              <w:t xml:space="preserve">Immunization Program Website en </w:t>
                            </w:r>
                            <w:hyperlink r:id="rId87" w:history="1">
                              <w:r>
                                <w:t>www.cdc.gov/nip</w:t>
                              </w:r>
                            </w:hyperlink>
                            <w:r>
                              <w:t xml:space="preserve"> o llamar a National Immunization Information al 800-232-2522 (habla inglesa) u 800-232-0233 (habla hispana).</w:t>
                            </w:r>
                          </w:p>
                          <w:p w14:paraId="5403F7D3" w14:textId="77777777" w:rsidR="0072615D" w:rsidRDefault="0072615D">
                            <w:pPr>
                              <w:pStyle w:val="Bodytext80"/>
                              <w:jc w:val="center"/>
                            </w:pPr>
                            <w:r>
                              <w:rPr>
                                <w:b/>
                                <w:bCs/>
                              </w:rPr>
                              <w:t xml:space="preserve">Aprobado por el Advisory Committee on Immunization Practices </w:t>
                            </w:r>
                            <w:r>
                              <w:rPr>
                                <w:u w:val="single"/>
                              </w:rPr>
                              <w:t>(</w:t>
                            </w:r>
                            <w:hyperlink r:id="rId88" w:history="1">
                              <w:r>
                                <w:rPr>
                                  <w:u w:val="single"/>
                                </w:rPr>
                                <w:t>www.cdc.gov/nip/org</w:t>
                              </w:r>
                            </w:hyperlink>
                            <w:r>
                              <w:rPr>
                                <w:u w:val="single"/>
                              </w:rPr>
                              <w:t>)</w:t>
                            </w:r>
                            <w:r>
                              <w:t xml:space="preserve">, </w:t>
                            </w:r>
                            <w:r>
                              <w:rPr>
                                <w:b/>
                                <w:bCs/>
                              </w:rPr>
                              <w:t xml:space="preserve">la American Academy of Pediatrics </w:t>
                            </w:r>
                            <w:r>
                              <w:rPr>
                                <w:u w:val="single"/>
                              </w:rPr>
                              <w:t>(</w:t>
                            </w:r>
                            <w:hyperlink r:id="rId89" w:history="1">
                              <w:r>
                                <w:rPr>
                                  <w:u w:val="single"/>
                                </w:rPr>
                                <w:t>www.aap.org</w:t>
                              </w:r>
                            </w:hyperlink>
                            <w:r>
                              <w:rPr>
                                <w:u w:val="single"/>
                              </w:rPr>
                              <w:t>)</w:t>
                            </w:r>
                            <w:r>
                              <w:t xml:space="preserve">, </w:t>
                            </w:r>
                            <w:r>
                              <w:rPr>
                                <w:b/>
                                <w:bCs/>
                              </w:rPr>
                              <w:t>y la American Academy</w:t>
                            </w:r>
                            <w:r>
                              <w:rPr>
                                <w:b/>
                                <w:bCs/>
                              </w:rPr>
                              <w:br/>
                              <w:t xml:space="preserve">of Family Physicians </w:t>
                            </w:r>
                            <w:r>
                              <w:rPr>
                                <w:u w:val="single"/>
                              </w:rPr>
                              <w:t>(</w:t>
                            </w:r>
                            <w:hyperlink r:id="rId90" w:history="1">
                              <w:r>
                                <w:rPr>
                                  <w:u w:val="single"/>
                                </w:rPr>
                                <w:t>www.aafp.org</w:t>
                              </w:r>
                            </w:hyperlink>
                            <w:r>
                              <w:rPr>
                                <w:u w:val="single"/>
                              </w:rPr>
                              <w:t>)</w:t>
                            </w:r>
                            <w:r>
                              <w:t>.</w:t>
                            </w:r>
                          </w:p>
                        </w:txbxContent>
                      </wps:txbx>
                      <wps:bodyPr lIns="0" tIns="0" rIns="0" bIns="0"/>
                    </wps:wsp>
                  </a:graphicData>
                </a:graphic>
              </wp:anchor>
            </w:drawing>
          </mc:Choice>
          <mc:Fallback>
            <w:pict>
              <v:shape w14:anchorId="2E04957B" id="Shape 88" o:spid="_x0000_s1028" type="#_x0000_t202" style="position:absolute;margin-left:46.8pt;margin-top:270.5pt;width:540.25pt;height:41.75pt;z-index:251661312;visibility:visible;mso-wrap-style:square;mso-wrap-distance-left:9pt;mso-wrap-distance-top:18pt;mso-wrap-distance-right:9pt;mso-wrap-distance-bottom:2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" filled="f" stroked="f">
                <v:textbox inset="0,0,0,0">
                  <w:txbxContent>
                    <w:p w14:paraId="229F4AC4" w14:textId="77777777" w:rsidR="0072615D" w:rsidRDefault="0072615D">
                      <w:pPr>
                        <w:pStyle w:val="Bodytext80"/>
                        <w:spacing w:after="140"/>
                        <w:jc w:val="center"/>
                      </w:pPr>
                      <w:r>
                        <w:t>Para obtener más información sobre vacunas, incluidas precauciones y contraindicaciones para la vacunación y la escasez de vacunas, visitar la página the National</w:t>
                      </w:r>
                      <w:r>
                        <w:br/>
                        <w:t xml:space="preserve">Immunization Program Website en </w:t>
                      </w:r>
                      <w:hyperlink r:id="rId91" w:history="1">
                        <w:r>
                          <w:t>www.cdc.gov/nip</w:t>
                        </w:r>
                      </w:hyperlink>
                      <w:r>
                        <w:t xml:space="preserve"> o llamar a National Immunization Information al 800-232-2522 (habla inglesa) u 800-232-0233 (habla hispana).</w:t>
                      </w:r>
                    </w:p>
                    <w:p w14:paraId="5403F7D3" w14:textId="77777777" w:rsidR="0072615D" w:rsidRDefault="0072615D">
                      <w:pPr>
                        <w:pStyle w:val="Bodytext80"/>
                        <w:jc w:val="center"/>
                      </w:pPr>
                      <w:r>
                        <w:rPr>
                          <w:b/>
                          <w:bCs/>
                        </w:rPr>
                        <w:t xml:space="preserve">Aprobado por el Advisory Committee on Immunization Practices </w:t>
                      </w:r>
                      <w:r>
                        <w:rPr>
                          <w:u w:val="single"/>
                        </w:rPr>
                        <w:t>(</w:t>
                      </w:r>
                      <w:hyperlink r:id="rId92" w:history="1">
                        <w:r>
                          <w:rPr>
                            <w:u w:val="single"/>
                          </w:rPr>
                          <w:t>www.cdc.gov/nip/org</w:t>
                        </w:r>
                      </w:hyperlink>
                      <w:r>
                        <w:rPr>
                          <w:u w:val="single"/>
                        </w:rPr>
                        <w:t>)</w:t>
                      </w:r>
                      <w:r>
                        <w:t xml:space="preserve">, </w:t>
                      </w:r>
                      <w:r>
                        <w:rPr>
                          <w:b/>
                          <w:bCs/>
                        </w:rPr>
                        <w:t xml:space="preserve">la American Academy of Pediatrics </w:t>
                      </w:r>
                      <w:r>
                        <w:rPr>
                          <w:u w:val="single"/>
                        </w:rPr>
                        <w:t>(</w:t>
                      </w:r>
                      <w:hyperlink r:id="rId93" w:history="1">
                        <w:r>
                          <w:rPr>
                            <w:u w:val="single"/>
                          </w:rPr>
                          <w:t>www.aap.org</w:t>
                        </w:r>
                      </w:hyperlink>
                      <w:r>
                        <w:rPr>
                          <w:u w:val="single"/>
                        </w:rPr>
                        <w:t>)</w:t>
                      </w:r>
                      <w:r>
                        <w:t xml:space="preserve">, </w:t>
                      </w:r>
                      <w:r>
                        <w:rPr>
                          <w:b/>
                          <w:bCs/>
                        </w:rPr>
                        <w:t>y la American Academy</w:t>
                      </w:r>
                      <w:r>
                        <w:rPr>
                          <w:b/>
                          <w:bCs/>
                        </w:rPr>
                        <w:br/>
                        <w:t xml:space="preserve">of Family Physicians </w:t>
                      </w:r>
                      <w:r>
                        <w:rPr>
                          <w:u w:val="single"/>
                        </w:rPr>
                        <w:t>(</w:t>
                      </w:r>
                      <w:hyperlink r:id="rId94" w:history="1">
                        <w:r>
                          <w:rPr>
                            <w:u w:val="single"/>
                          </w:rPr>
                          <w:t>www.aafp.org</w:t>
                        </w:r>
                      </w:hyperlink>
                      <w:r>
                        <w:rPr>
                          <w:u w:val="single"/>
                        </w:rPr>
                        <w:t>)</w:t>
                      </w:r>
                      <w:r>
                        <w:t>.</w:t>
                      </w:r>
                    </w:p>
                  </w:txbxContent>
                </v:textbox>
                <w10:wrap type="topAndBottom" anchorx="page"/>
              </v:shape>
            </w:pict>
          </mc:Fallback>
        </mc:AlternateContent>
      </w:r>
      <w:r>
        <w:rPr>
          <w:noProof/>
        </w:rPr>
        <mc:AlternateContent>
          <mc:Choice Requires="wps">
            <w:drawing>
              <wp:anchor distT="0" distB="0" distL="114300" distR="114300" simplePos="0" relativeHeight="251662336" behindDoc="0" locked="0" layoutInCell="1" allowOverlap="1" wp14:anchorId="465E0728" wp14:editId="20456698">
                <wp:simplePos x="0" y="0"/>
                <wp:positionH relativeFrom="page">
                  <wp:posOffset>7867015</wp:posOffset>
                </wp:positionH>
                <wp:positionV relativeFrom="paragraph">
                  <wp:posOffset>1261745</wp:posOffset>
                </wp:positionV>
                <wp:extent cx="121920" cy="2679065"/>
                <wp:effectExtent l="0" t="0" r="0" b="0"/>
                <wp:wrapSquare wrapText="bothSides"/>
                <wp:docPr id="90" name="Shape 90"/>
                <wp:cNvGraphicFramePr/>
                <a:graphic xmlns:a="http://schemas.openxmlformats.org/drawingml/2006/main">
                  <a:graphicData uri="http://schemas.microsoft.com/office/word/2010/wordprocessingShape">
                    <wps:wsp>
                      <wps:cNvSpPr txBox="1"/>
                      <wps:spPr>
                        <a:xfrm>
                          <a:off x="0" y="0"/>
                          <a:ext cx="121920" cy="2679065"/>
                        </a:xfrm>
                        <a:prstGeom prst="rect">
                          <a:avLst/>
                        </a:prstGeom>
                        <a:noFill/>
                      </wps:spPr>
                      <wps:txbx>
                        <w:txbxContent>
                          <w:p w14:paraId="43F37EE6" w14:textId="77777777" w:rsidR="0072615D" w:rsidRDefault="0072615D">
                            <w:pPr>
                              <w:pStyle w:val="Bodytext80"/>
                              <w:tabs>
                                <w:tab w:val="left" w:pos="3994"/>
                              </w:tabs>
                              <w:rPr>
                                <w:sz w:val="16"/>
                                <w:szCs w:val="16"/>
                              </w:rPr>
                            </w:pPr>
                            <w:r>
                              <w:t>INMUNIZACIÓN ACTIVA</w:t>
                            </w:r>
                            <w:r>
                              <w:tab/>
                            </w:r>
                            <w:r>
                              <w:rPr>
                                <w:sz w:val="16"/>
                                <w:szCs w:val="16"/>
                              </w:rPr>
                              <w:t>27</w:t>
                            </w:r>
                          </w:p>
                        </w:txbxContent>
                      </wps:txbx>
                      <wps:bodyPr vert="vert" lIns="0" tIns="0" rIns="0" bIns="0" upright="1"/>
                    </wps:wsp>
                  </a:graphicData>
                </a:graphic>
              </wp:anchor>
            </w:drawing>
          </mc:Choice>
          <mc:Fallback>
            <w:pict>
              <v:shape w14:anchorId="465E0728" id="Shape 90" o:spid="_x0000_s1029" type="#_x0000_t202" style="position:absolute;margin-left:619.45pt;margin-top:99.35pt;width:9.6pt;height:210.95pt;z-index:2516623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" filled="f" stroked="f">
                <v:textbox style="layout-flow:vertical" inset="0,0,0,0">
                  <w:txbxContent>
                    <w:p w14:paraId="43F37EE6" w14:textId="77777777" w:rsidR="0072615D" w:rsidRDefault="0072615D">
                      <w:pPr>
                        <w:pStyle w:val="Bodytext80"/>
                        <w:tabs>
                          <w:tab w:val="left" w:pos="3994"/>
                        </w:tabs>
                        <w:rPr>
                          <w:sz w:val="16"/>
                          <w:szCs w:val="16"/>
                        </w:rPr>
                      </w:pPr>
                      <w:r>
                        <w:t>INMUNIZACIÓN ACTIVA</w:t>
                      </w:r>
                      <w:r>
                        <w:tab/>
                      </w:r>
                      <w:r>
                        <w:rPr>
                          <w:sz w:val="16"/>
                          <w:szCs w:val="16"/>
                        </w:rPr>
                        <w:t>27</w:t>
                      </w:r>
                    </w:p>
                  </w:txbxContent>
                </v:textbox>
                <w10:wrap type="square" anchorx="page"/>
              </v:shape>
            </w:pict>
          </mc:Fallback>
        </mc:AlternateContent>
      </w:r>
    </w:p>
    <w:p w14:paraId="1E183F0B" w14:textId="77777777" w:rsidR="0072615D" w:rsidRDefault="0072615D">
      <w:pPr>
        <w:pStyle w:val="Bodytext50"/>
        <w:numPr>
          <w:ilvl w:val="0"/>
          <w:numId w:val="22"/>
        </w:numPr>
        <w:tabs>
          <w:tab w:val="left" w:pos="226"/>
        </w:tabs>
      </w:pPr>
      <w:bookmarkStart w:id="149" w:name="bookmark149"/>
      <w:bookmarkEnd w:id="149"/>
      <w:r>
        <w:rPr>
          <w:b/>
          <w:bCs/>
        </w:rPr>
        <w:t xml:space="preserve">Vacuna antihepatítica B (HepB). </w:t>
      </w:r>
      <w:r>
        <w:t>Todo lactante debe recibir la primera dosis de la vacuna mencionada poco después de nacer y antes de retornar a su hogar; también puede administrarse la primera dosis cuando tenga dos meses de vida si la madre no tiene el antígeno de superficie HB. Se podrá utilizar sólo la vacuna monovalente para la dosis en el neonato. También cabe recurrir a la vacuna monovalente o mixta para completar la serie. Una vez aplicada la dosis neonatal se administran cuatro dosis más. La segunda debe administrarse como mínimo cuatro semanas después de la primera, excepto en el caso de vacunas mixtas que no pueden ser administradas antes de las seis semanas de vida. La tercera dosis se administrará 16 semanas (como mínimo) después de la primera y como mínimo ocho semanas después de la segunda. La última dosis en la serie (tercera o cuarta) no se administrará antes de los seis meses de vida.</w:t>
      </w:r>
    </w:p>
    <w:p w14:paraId="2337410B" w14:textId="77777777" w:rsidR="0072615D" w:rsidRDefault="0072615D">
      <w:pPr>
        <w:pStyle w:val="Bodytext50"/>
        <w:ind w:firstLine="360"/>
      </w:pPr>
      <w:r>
        <w:rPr>
          <w:u w:val="single"/>
        </w:rPr>
        <w:t>Hijos de madres con el antígeno de superficie de HB:</w:t>
      </w:r>
      <w:r>
        <w:t xml:space="preserve"> deben recibir la vacuna HepB y concentrado inmunoglobulínico contra hepatitis B </w:t>
      </w:r>
      <w:r>
        <w:rPr>
          <w:i/>
          <w:iCs/>
        </w:rPr>
        <w:t>(hepatitis B immune globulin,</w:t>
      </w:r>
      <w:r>
        <w:t xml:space="preserve"> HBIG) a razón de 0.5 ml en término de 12 h del nacimiento en sitios independientes. Se recomienda aplicar la segunda dosis cuando tenga el pequeño uno a dos meses de vida. La última dosis de la serie no debe administrarse antes de los seis meses de edad. Es importante buscar en estos pequeños el antígeno de superficie de HB y anticuerpos contra él, entre los nueve y 15 meses de vida.</w:t>
      </w:r>
    </w:p>
    <w:p w14:paraId="19C717BE" w14:textId="77777777" w:rsidR="0072615D" w:rsidRDefault="0072615D">
      <w:pPr>
        <w:pStyle w:val="Bodytext50"/>
        <w:ind w:firstLine="360"/>
      </w:pPr>
      <w:r>
        <w:rPr>
          <w:u w:val="single"/>
        </w:rPr>
        <w:t>Hijos de madres de las que se desconoce su estado respecto del antígeno de superficie de HB:</w:t>
      </w:r>
      <w:r>
        <w:t xml:space="preserve"> deben recibir la primera dosis de la serie de vacunas HepB en término de 12 h del nacimiento. Conviene obtener sangre de la madre lo más pronto posible para conocer su estado en cuanto al antígeno mencionado: si se detecta dicho antígeno, el lactante deberá recibir el concentrado inmunoglobulínico contra HB tan pronto sea posible (que no rebase un lapso de una semana). Se recomienda usar la segunda dosis entre el primero y segundo meses de vida. No se administrará antes de los seis meses de edad la última dosis de la serie de vacunas.</w:t>
      </w:r>
    </w:p>
    <w:p w14:paraId="05E69836" w14:textId="77777777" w:rsidR="0072615D" w:rsidRDefault="0072615D">
      <w:pPr>
        <w:pStyle w:val="Bodytext50"/>
        <w:numPr>
          <w:ilvl w:val="0"/>
          <w:numId w:val="22"/>
        </w:numPr>
        <w:tabs>
          <w:tab w:val="left" w:pos="222"/>
        </w:tabs>
      </w:pPr>
      <w:bookmarkStart w:id="150" w:name="bookmark150"/>
      <w:bookmarkEnd w:id="150"/>
      <w:r>
        <w:rPr>
          <w:b/>
          <w:bCs/>
        </w:rPr>
        <w:t xml:space="preserve">Toxoides diftérico y tetánico y vacuna acelular contra tos ferina (DTaP). Es posible administrar la cuarta dosis de DTaP. </w:t>
      </w:r>
      <w:r>
        <w:t>incluso desde los 12 meses de vida, a condición de que hayan transcurrido seis meses desde la tercera y haya pocas posibilidades de que el niño, entre los 15 y 18 meses retorne con el médico. Se recomienda usar toxoides tetánico y diftérico (Td) entre los 11 y 12 años si han transcurrido como mínimo cinco años desde la última dosis de una vacuna que contenía los dos toxoides. Se recomienda cada 10 años nuevos refuerzos sistemáticamente de este toxoide.</w:t>
      </w:r>
    </w:p>
    <w:p w14:paraId="7A6A0E54" w14:textId="77777777" w:rsidR="0072615D" w:rsidRDefault="0072615D">
      <w:pPr>
        <w:pStyle w:val="Bodytext50"/>
        <w:numPr>
          <w:ilvl w:val="0"/>
          <w:numId w:val="22"/>
        </w:numPr>
        <w:tabs>
          <w:tab w:val="left" w:pos="231"/>
        </w:tabs>
      </w:pPr>
      <w:bookmarkStart w:id="151" w:name="bookmark151"/>
      <w:bookmarkEnd w:id="151"/>
      <w:r>
        <w:rPr>
          <w:b/>
          <w:bCs/>
        </w:rPr>
        <w:t xml:space="preserve">Vacuna conjugada de </w:t>
      </w:r>
      <w:r>
        <w:rPr>
          <w:b/>
          <w:bCs/>
          <w:i/>
          <w:iCs/>
        </w:rPr>
        <w:t>Haemophilus influenzae</w:t>
      </w:r>
      <w:r>
        <w:rPr>
          <w:b/>
          <w:bCs/>
        </w:rPr>
        <w:t xml:space="preserve"> tipo b (Hib). </w:t>
      </w:r>
      <w:r>
        <w:t>Se han autorizado para usar en niños tres vacunas conjugadas de Hib. Si a los dos y a los cuatro meses se aplicó PRP-OMP (PedvaxHIB® o ComVax® [Merck]) no se necesita otra dosis a los seis meses de vida. Conviene no usar combinaciones de DTaP/Hib como vacunación primaria a los dos, cuatro o seis meses de vida, pero pueden utilizarse como refuerzos después de aplicar cualquier vacuna de Haemophilus influenzae tipo b.</w:t>
      </w:r>
    </w:p>
    <w:p w14:paraId="51B4ADFE" w14:textId="77777777" w:rsidR="0072615D" w:rsidRDefault="0072615D">
      <w:pPr>
        <w:pStyle w:val="Bodytext50"/>
        <w:numPr>
          <w:ilvl w:val="0"/>
          <w:numId w:val="22"/>
        </w:numPr>
        <w:tabs>
          <w:tab w:val="left" w:pos="226"/>
        </w:tabs>
      </w:pPr>
      <w:bookmarkStart w:id="152" w:name="bookmark152"/>
      <w:bookmarkEnd w:id="152"/>
      <w:r>
        <w:rPr>
          <w:b/>
          <w:bCs/>
        </w:rPr>
        <w:t xml:space="preserve">Vacuna contra sarampión, parotiditis y rubéola (MMR) </w:t>
      </w:r>
      <w:r>
        <w:t>(triple). Se recomienda sistemáticamente aplicar la segunda dosis de MMR entre los cuatro y seis años de vida pero puede aplicarse en cualquier visita a condición de que hayan transcurrido cuatro semanas, como mínimo, desde la primera dosis y que ambas dosis sean administradas al comenzar los 12 meses o después de esa fecha. Los niños que no recibieron la segunda dosis deben completar el calendario, en la visita que hagan al tener 11 a 12 años de vida.</w:t>
      </w:r>
    </w:p>
    <w:p w14:paraId="1B83BE52" w14:textId="77777777" w:rsidR="0072615D" w:rsidRDefault="0072615D">
      <w:pPr>
        <w:pStyle w:val="Bodytext50"/>
        <w:numPr>
          <w:ilvl w:val="0"/>
          <w:numId w:val="22"/>
        </w:numPr>
        <w:tabs>
          <w:tab w:val="left" w:pos="226"/>
        </w:tabs>
      </w:pPr>
      <w:bookmarkStart w:id="153" w:name="bookmark153"/>
      <w:bookmarkEnd w:id="153"/>
      <w:r>
        <w:rPr>
          <w:b/>
          <w:bCs/>
        </w:rPr>
        <w:t xml:space="preserve">Vacuna contra varicela. </w:t>
      </w:r>
      <w:r>
        <w:t>Es recomendable aplicar dicha vacuna en cualquier visita a los 12 meses de vida o después de esa fecha en niños susceptibles, es decir los que no tienen antecedente fiable de haber padecido varicela. Las personas susceptibles de 13 años o mayores deben recibir dos dosis con una diferencia de cuatro semanas.</w:t>
      </w:r>
    </w:p>
    <w:p w14:paraId="2829097C" w14:textId="77777777" w:rsidR="0072615D" w:rsidRDefault="0072615D">
      <w:pPr>
        <w:pStyle w:val="Bodytext50"/>
        <w:numPr>
          <w:ilvl w:val="0"/>
          <w:numId w:val="22"/>
        </w:numPr>
        <w:tabs>
          <w:tab w:val="left" w:pos="236"/>
        </w:tabs>
      </w:pPr>
      <w:bookmarkStart w:id="154" w:name="bookmark154"/>
      <w:bookmarkEnd w:id="154"/>
      <w:r>
        <w:rPr>
          <w:b/>
          <w:bCs/>
        </w:rPr>
        <w:t xml:space="preserve">Vacunas antineumocócicas. </w:t>
      </w:r>
      <w:r>
        <w:t xml:space="preserve">La vacuna del conjugado neumocócico heptavalente </w:t>
      </w:r>
      <w:r>
        <w:rPr>
          <w:i/>
          <w:iCs/>
        </w:rPr>
        <w:t>(pneumococcal conjugate vaccine,</w:t>
      </w:r>
      <w:r>
        <w:t xml:space="preserve"> PCV) se recomienda para todos los niños de dos a 23 meses de edad; también es recomendable para algunos que tienen 24 a 59 meses. La vacuna de polisacárido neumocócico </w:t>
      </w:r>
      <w:r>
        <w:rPr>
          <w:i/>
          <w:iCs/>
        </w:rPr>
        <w:t>(pneumococcalpolysaccharide vaccine,</w:t>
      </w:r>
      <w:r>
        <w:t xml:space="preserve"> PPV) puede recomendarse además de PCV en algunos grupos de alto riesgo. Consúltese </w:t>
      </w:r>
      <w:r>
        <w:rPr>
          <w:i/>
          <w:iCs/>
        </w:rPr>
        <w:t>MMWR</w:t>
      </w:r>
      <w:r>
        <w:t xml:space="preserve"> 2000;49 (RR-9):1-38.</w:t>
      </w:r>
    </w:p>
    <w:p w14:paraId="495DAEA4" w14:textId="77777777" w:rsidR="0072615D" w:rsidRDefault="0072615D">
      <w:pPr>
        <w:pStyle w:val="Bodytext50"/>
        <w:numPr>
          <w:ilvl w:val="0"/>
          <w:numId w:val="22"/>
        </w:numPr>
        <w:tabs>
          <w:tab w:val="left" w:pos="231"/>
        </w:tabs>
      </w:pPr>
      <w:bookmarkStart w:id="155" w:name="bookmark155"/>
      <w:bookmarkEnd w:id="155"/>
      <w:r>
        <w:rPr>
          <w:b/>
          <w:bCs/>
        </w:rPr>
        <w:t xml:space="preserve">Vacuna contra hepatitis A. </w:t>
      </w:r>
      <w:r>
        <w:t xml:space="preserve">La vacuna en cuestión es recomendable para niños y adolescentes en estados o regiones escogidos y en algunos grupos de alto riesgo; conviene consultar a la autoridad en salud pública en la localidad en que vive el lector. Los niños y adolescentes en los estados, regiones y en los grupos de alto riesgo que no han sido vacunados contra la hepatitis A pueden comenzar la serie de vacunas contra dicha enfermedad en cualquier visita al médico. Las dos dosis de la serie deben administrarse con una diferencia de seis meses, como mínimo. Consúltese </w:t>
      </w:r>
      <w:r>
        <w:rPr>
          <w:i/>
          <w:iCs/>
        </w:rPr>
        <w:t>MMWR</w:t>
      </w:r>
      <w:r>
        <w:t xml:space="preserve"> 1999;48(RR-12);1-37.</w:t>
      </w:r>
    </w:p>
    <w:p w14:paraId="2A01A631" w14:textId="77777777" w:rsidR="0072615D" w:rsidRDefault="0072615D">
      <w:pPr>
        <w:pStyle w:val="Bodytext50"/>
        <w:numPr>
          <w:ilvl w:val="0"/>
          <w:numId w:val="22"/>
        </w:numPr>
        <w:tabs>
          <w:tab w:val="left" w:pos="231"/>
        </w:tabs>
        <w:sectPr w:rsidR="0072615D" w:rsidSect="0072615D">
          <w:footnotePr>
            <w:numFmt w:val="chicago"/>
          </w:footnotePr>
          <w:type w:val="continuous"/>
          <w:pgSz w:w="13022" w:h="8501" w:orient="landscape"/>
          <w:pgMar w:top="1085" w:right="1099" w:bottom="266" w:left="734" w:header="0" w:footer="3" w:gutter="0"/>
          <w:cols w:num="2" w:space="413"/>
          <w:noEndnote/>
          <w:docGrid w:linePitch="360"/>
          <w15:footnoteColumns w:val="1"/>
        </w:sectPr>
      </w:pPr>
      <w:bookmarkStart w:id="156" w:name="bookmark156"/>
      <w:bookmarkEnd w:id="156"/>
      <w:r>
        <w:rPr>
          <w:b/>
          <w:bCs/>
        </w:rPr>
        <w:t xml:space="preserve">Vacuna contra la influenza. </w:t>
      </w:r>
      <w:r>
        <w:t xml:space="preserve">Se recomienda aplicar cada año la vacuna mencionada a niños de seis meses o mayores y que tienen algunos factores de riesgo (incluidos [aunque no exclusivamente] asma, cardiopatías, enfermedad drepanocítica, infección por VIH, diabetes y miembros de la familia y dentro del núcleo familiar de personas en grupos de alto riesgo; consúltese </w:t>
      </w:r>
      <w:r>
        <w:rPr>
          <w:i/>
          <w:iCs/>
        </w:rPr>
        <w:t>MMWR</w:t>
      </w:r>
      <w:r>
        <w:t xml:space="preserve"> 2002;51[RR-3];1-31), y se puede administrar a todos los demás que deseen inmunidad. Además, se insta a los padres de niños sanos de seis a 23 meses de vida para que les apliquen la vacuna contra la influenza si es factible porque los menores en esa categoría están expuestos a un riesgo sustancialmente mayor de hospitalizaciones por influenza. Los niños de 12 años o menores deben recibir la vacuna en una dosis adecuada a su edad (0.25 ml si tienen seis a 35 meses o 0.5 ml si tienen tres años o más de vida). Los niños de ocho años y menores que reciben la vacuna contra la influenza por primera vez también deben recibir dos dosis con una diferencia de cuatro semanas, como mínimo.</w:t>
      </w:r>
    </w:p>
    <w:p w14:paraId="1C516CC3" w14:textId="77777777" w:rsidR="0072615D" w:rsidRDefault="0072615D">
      <w:pPr>
        <w:rPr>
          <w:sz w:val="2"/>
          <w:szCs w:val="2"/>
        </w:rPr>
        <w:sectPr w:rsidR="0072615D" w:rsidSect="0072615D">
          <w:footnotePr>
            <w:numFmt w:val="chicago"/>
          </w:footnotePr>
          <w:type w:val="continuous"/>
          <w:pgSz w:w="13022" w:h="8501" w:orient="landscape"/>
          <w:pgMar w:top="1085" w:right="1099" w:bottom="266" w:left="734" w:header="0" w:footer="3" w:gutter="0"/>
          <w:cols w:num="2" w:space="413"/>
          <w:noEndnote/>
          <w:docGrid w:linePitch="360"/>
          <w15:footnoteColumns w:val="1"/>
        </w:sectPr>
      </w:pPr>
    </w:p>
    <w:p w14:paraId="7AC628D6" w14:textId="77777777" w:rsidR="0072615D" w:rsidRDefault="0072615D">
      <w:pPr>
        <w:pStyle w:val="Heading31"/>
        <w:keepNext/>
        <w:keepLines/>
        <w:framePr w:w="8592" w:h="557" w:wrap="none" w:hAnchor="page" w:x="2055" w:y="1"/>
        <w:spacing w:line="211" w:lineRule="auto"/>
        <w:jc w:val="center"/>
      </w:pPr>
      <w:bookmarkStart w:id="157" w:name="bookmark157"/>
      <w:bookmarkStart w:id="158" w:name="bookmark158"/>
      <w:bookmarkStart w:id="159" w:name="bookmark159"/>
      <w:r>
        <w:rPr>
          <w:b w:val="0"/>
          <w:bCs w:val="0"/>
        </w:rPr>
        <w:t xml:space="preserve">Cuadro 1- 6. </w:t>
      </w:r>
      <w:r>
        <w:t>Calendario para poner al día a niños y adolescentes que comenzaron tardíamente</w:t>
      </w:r>
      <w:r>
        <w:br/>
        <w:t>o que tienen un retraso mayor de un mes en sus vacunaciones*</w:t>
      </w:r>
      <w:bookmarkEnd w:id="157"/>
      <w:bookmarkEnd w:id="158"/>
      <w:bookmarkEnd w:id="159"/>
    </w:p>
    <w:tbl>
      <w:tblPr>
        <w:tblOverlap w:val="never"/>
        <w:tblW w:w="0" w:type="auto"/>
        <w:tblLayout w:type="fixed"/>
        <w:tblCellMar>
          <w:left w:w="10" w:type="dxa"/>
          <w:right w:w="10" w:type="dxa"/>
        </w:tblCellMar>
        <w:tblLook w:val="04A0" w:firstRow="1" w:lastRow="0" w:firstColumn="1" w:lastColumn="0" w:noHBand="0" w:noVBand="1"/>
      </w:tblPr>
      <w:tblGrid>
        <w:gridCol w:w="1886"/>
        <w:gridCol w:w="1920"/>
        <w:gridCol w:w="2899"/>
        <w:gridCol w:w="1987"/>
        <w:gridCol w:w="2678"/>
      </w:tblGrid>
      <w:tr w:rsidR="0072615D" w14:paraId="3489E6C8" w14:textId="77777777">
        <w:tblPrEx>
          <w:tblCellMar>
            <w:top w:w="0" w:type="dxa"/>
            <w:bottom w:w="0" w:type="dxa"/>
          </w:tblCellMar>
        </w:tblPrEx>
        <w:trPr>
          <w:trHeight w:hRule="exact" w:val="269"/>
        </w:trPr>
        <w:tc>
          <w:tcPr>
            <w:tcW w:w="11370" w:type="dxa"/>
            <w:gridSpan w:val="5"/>
            <w:shd w:val="clear" w:color="auto" w:fill="231F20"/>
            <w:vAlign w:val="bottom"/>
          </w:tcPr>
          <w:p w14:paraId="1F199C32" w14:textId="77777777" w:rsidR="0072615D" w:rsidRDefault="0072615D">
            <w:pPr>
              <w:pStyle w:val="Other0"/>
              <w:framePr w:w="11371" w:h="2304" w:vSpace="216" w:wrap="none" w:hAnchor="page" w:x="635" w:y="601"/>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Niños de cuatro meses a seis años de edad</w:t>
            </w:r>
          </w:p>
        </w:tc>
      </w:tr>
      <w:tr w:rsidR="0072615D" w14:paraId="0290E88B" w14:textId="77777777">
        <w:tblPrEx>
          <w:tblCellMar>
            <w:top w:w="0" w:type="dxa"/>
            <w:bottom w:w="0" w:type="dxa"/>
          </w:tblCellMar>
        </w:tblPrEx>
        <w:trPr>
          <w:trHeight w:hRule="exact" w:val="523"/>
        </w:trPr>
        <w:tc>
          <w:tcPr>
            <w:tcW w:w="1886" w:type="dxa"/>
            <w:vMerge w:val="restart"/>
            <w:tcBorders>
              <w:top w:val="single" w:sz="4" w:space="0" w:color="auto"/>
            </w:tcBorders>
            <w:shd w:val="clear" w:color="auto" w:fill="231F20"/>
            <w:vAlign w:val="bottom"/>
          </w:tcPr>
          <w:p w14:paraId="29675E79" w14:textId="77777777" w:rsidR="0072615D" w:rsidRDefault="0072615D">
            <w:pPr>
              <w:pStyle w:val="Other0"/>
              <w:framePr w:w="11371" w:h="2304" w:vSpace="216" w:wrap="none" w:hAnchor="page" w:x="635" w:y="601"/>
              <w:pBdr>
                <w:top w:val="single" w:sz="0" w:space="0" w:color="231F20"/>
                <w:left w:val="single" w:sz="0" w:space="0" w:color="231F20"/>
                <w:bottom w:val="single" w:sz="0" w:space="0" w:color="231F20"/>
                <w:right w:val="single" w:sz="0" w:space="0" w:color="231F20"/>
              </w:pBdr>
              <w:shd w:val="clear" w:color="auto" w:fill="231F20"/>
              <w:spacing w:line="226" w:lineRule="auto"/>
              <w:ind w:firstLine="0"/>
              <w:rPr>
                <w:sz w:val="24"/>
                <w:szCs w:val="24"/>
              </w:rPr>
            </w:pPr>
            <w:r>
              <w:rPr>
                <w:rFonts w:ascii="Arial" w:eastAsia="Arial" w:hAnsi="Arial" w:cs="Arial"/>
                <w:b/>
                <w:bCs/>
                <w:color w:val="FFFFFF"/>
                <w:w w:val="70"/>
                <w:sz w:val="24"/>
                <w:szCs w:val="24"/>
              </w:rPr>
              <w:t>Dosis 1 (edad mínima)</w:t>
            </w:r>
          </w:p>
        </w:tc>
        <w:tc>
          <w:tcPr>
            <w:tcW w:w="9484" w:type="dxa"/>
            <w:gridSpan w:val="4"/>
            <w:tcBorders>
              <w:top w:val="single" w:sz="4" w:space="0" w:color="auto"/>
            </w:tcBorders>
            <w:shd w:val="clear" w:color="auto" w:fill="231F20"/>
          </w:tcPr>
          <w:p w14:paraId="7DA01D4C" w14:textId="77777777" w:rsidR="0072615D" w:rsidRDefault="0072615D">
            <w:pPr>
              <w:pStyle w:val="Other0"/>
              <w:framePr w:w="11371" w:h="2304" w:vSpace="216" w:wrap="none" w:hAnchor="page" w:x="635" w:y="601"/>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Intervalo mínimo entre una y otra dosis</w:t>
            </w:r>
          </w:p>
        </w:tc>
      </w:tr>
      <w:tr w:rsidR="0072615D" w14:paraId="41BBE5C6" w14:textId="77777777">
        <w:tblPrEx>
          <w:tblCellMar>
            <w:top w:w="0" w:type="dxa"/>
            <w:bottom w:w="0" w:type="dxa"/>
          </w:tblCellMar>
        </w:tblPrEx>
        <w:trPr>
          <w:trHeight w:hRule="exact" w:val="331"/>
        </w:trPr>
        <w:tc>
          <w:tcPr>
            <w:tcW w:w="1886" w:type="dxa"/>
            <w:vMerge/>
            <w:shd w:val="clear" w:color="auto" w:fill="231F20"/>
            <w:vAlign w:val="bottom"/>
          </w:tcPr>
          <w:p w14:paraId="0C35E0C2" w14:textId="77777777" w:rsidR="0072615D" w:rsidRDefault="0072615D">
            <w:pPr>
              <w:framePr w:w="11371" w:h="2304" w:vSpace="216" w:wrap="none" w:hAnchor="page" w:x="635" w:y="601"/>
            </w:pPr>
          </w:p>
        </w:tc>
        <w:tc>
          <w:tcPr>
            <w:tcW w:w="1920" w:type="dxa"/>
            <w:tcBorders>
              <w:top w:val="single" w:sz="4" w:space="0" w:color="auto"/>
            </w:tcBorders>
            <w:shd w:val="clear" w:color="auto" w:fill="231F20"/>
          </w:tcPr>
          <w:p w14:paraId="09FC382A" w14:textId="77777777" w:rsidR="0072615D" w:rsidRDefault="0072615D">
            <w:pPr>
              <w:pStyle w:val="Other0"/>
              <w:framePr w:w="11371" w:h="2304" w:vSpace="216" w:wrap="none" w:hAnchor="page" w:x="635" w:y="601"/>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Dosis 1 a dosis 2</w:t>
            </w:r>
          </w:p>
        </w:tc>
        <w:tc>
          <w:tcPr>
            <w:tcW w:w="2899" w:type="dxa"/>
            <w:tcBorders>
              <w:top w:val="single" w:sz="4" w:space="0" w:color="auto"/>
            </w:tcBorders>
            <w:shd w:val="clear" w:color="auto" w:fill="231F20"/>
          </w:tcPr>
          <w:p w14:paraId="2C036AE2" w14:textId="77777777" w:rsidR="0072615D" w:rsidRDefault="0072615D">
            <w:pPr>
              <w:pStyle w:val="Other0"/>
              <w:framePr w:w="11371" w:h="2304" w:vSpace="216" w:wrap="none" w:hAnchor="page" w:x="635" w:y="601"/>
              <w:pBdr>
                <w:top w:val="single" w:sz="0" w:space="0" w:color="231F20"/>
                <w:left w:val="single" w:sz="0" w:space="0" w:color="231F20"/>
                <w:bottom w:val="single" w:sz="0" w:space="0" w:color="231F20"/>
                <w:right w:val="single" w:sz="0" w:space="0" w:color="231F20"/>
              </w:pBdr>
              <w:shd w:val="clear" w:color="auto" w:fill="231F20"/>
              <w:spacing w:line="240" w:lineRule="auto"/>
              <w:ind w:firstLine="800"/>
              <w:rPr>
                <w:sz w:val="24"/>
                <w:szCs w:val="24"/>
              </w:rPr>
            </w:pPr>
            <w:r>
              <w:rPr>
                <w:rFonts w:ascii="Arial" w:eastAsia="Arial" w:hAnsi="Arial" w:cs="Arial"/>
                <w:b/>
                <w:bCs/>
                <w:color w:val="FFFFFF"/>
                <w:w w:val="70"/>
                <w:sz w:val="24"/>
                <w:szCs w:val="24"/>
              </w:rPr>
              <w:t>Dosis 2 a dosis 3</w:t>
            </w:r>
          </w:p>
        </w:tc>
        <w:tc>
          <w:tcPr>
            <w:tcW w:w="1987" w:type="dxa"/>
            <w:tcBorders>
              <w:top w:val="single" w:sz="4" w:space="0" w:color="auto"/>
            </w:tcBorders>
            <w:shd w:val="clear" w:color="auto" w:fill="231F20"/>
          </w:tcPr>
          <w:p w14:paraId="1A281D33" w14:textId="77777777" w:rsidR="0072615D" w:rsidRDefault="0072615D">
            <w:pPr>
              <w:pStyle w:val="Other0"/>
              <w:framePr w:w="11371" w:h="2304" w:vSpace="216" w:wrap="none" w:hAnchor="page" w:x="635" w:y="601"/>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Dosis 3 a dosis 4</w:t>
            </w:r>
          </w:p>
        </w:tc>
        <w:tc>
          <w:tcPr>
            <w:tcW w:w="2678" w:type="dxa"/>
            <w:tcBorders>
              <w:top w:val="single" w:sz="4" w:space="0" w:color="auto"/>
            </w:tcBorders>
            <w:shd w:val="clear" w:color="auto" w:fill="231F20"/>
          </w:tcPr>
          <w:p w14:paraId="0FF4E9D9" w14:textId="77777777" w:rsidR="0072615D" w:rsidRDefault="0072615D">
            <w:pPr>
              <w:pStyle w:val="Other0"/>
              <w:framePr w:w="11371" w:h="2304" w:vSpace="216" w:wrap="none" w:hAnchor="page" w:x="635" w:y="601"/>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Dosis 4 a dosis 5</w:t>
            </w:r>
          </w:p>
        </w:tc>
      </w:tr>
      <w:tr w:rsidR="0072615D" w14:paraId="6B78F02C" w14:textId="77777777">
        <w:tblPrEx>
          <w:tblCellMar>
            <w:top w:w="0" w:type="dxa"/>
            <w:bottom w:w="0" w:type="dxa"/>
          </w:tblCellMar>
        </w:tblPrEx>
        <w:trPr>
          <w:trHeight w:hRule="exact" w:val="293"/>
        </w:trPr>
        <w:tc>
          <w:tcPr>
            <w:tcW w:w="1886" w:type="dxa"/>
            <w:shd w:val="clear" w:color="auto" w:fill="FFFFFF"/>
            <w:vAlign w:val="bottom"/>
          </w:tcPr>
          <w:p w14:paraId="606AC2C1" w14:textId="77777777" w:rsidR="0072615D" w:rsidRDefault="0072615D">
            <w:pPr>
              <w:pStyle w:val="Other0"/>
              <w:framePr w:w="11371" w:h="2304" w:vSpace="216" w:wrap="none" w:hAnchor="page" w:x="635" w:y="601"/>
              <w:spacing w:line="240" w:lineRule="auto"/>
              <w:ind w:firstLine="0"/>
              <w:rPr>
                <w:sz w:val="16"/>
                <w:szCs w:val="16"/>
              </w:rPr>
            </w:pPr>
            <w:r>
              <w:rPr>
                <w:rFonts w:ascii="Times New Roman" w:eastAsia="Times New Roman" w:hAnsi="Times New Roman" w:cs="Times New Roman"/>
                <w:sz w:val="16"/>
                <w:szCs w:val="16"/>
              </w:rPr>
              <w:t>DTaP (6 semanas)</w:t>
            </w:r>
          </w:p>
        </w:tc>
        <w:tc>
          <w:tcPr>
            <w:tcW w:w="1920" w:type="dxa"/>
            <w:shd w:val="clear" w:color="auto" w:fill="FFFFFF"/>
            <w:vAlign w:val="bottom"/>
          </w:tcPr>
          <w:p w14:paraId="7ABE608B" w14:textId="77777777" w:rsidR="0072615D" w:rsidRDefault="0072615D">
            <w:pPr>
              <w:pStyle w:val="Other0"/>
              <w:framePr w:w="11371" w:h="2304" w:vSpace="216" w:wrap="none" w:hAnchor="page" w:x="635" w:y="601"/>
              <w:spacing w:line="240" w:lineRule="auto"/>
              <w:ind w:firstLine="420"/>
              <w:rPr>
                <w:sz w:val="16"/>
                <w:szCs w:val="16"/>
              </w:rPr>
            </w:pPr>
            <w:r>
              <w:rPr>
                <w:rFonts w:ascii="Times New Roman" w:eastAsia="Times New Roman" w:hAnsi="Times New Roman" w:cs="Times New Roman"/>
                <w:b/>
                <w:bCs/>
                <w:sz w:val="16"/>
                <w:szCs w:val="16"/>
              </w:rPr>
              <w:t>4 semanas</w:t>
            </w:r>
          </w:p>
        </w:tc>
        <w:tc>
          <w:tcPr>
            <w:tcW w:w="2899" w:type="dxa"/>
            <w:shd w:val="clear" w:color="auto" w:fill="FFFFFF"/>
            <w:vAlign w:val="bottom"/>
          </w:tcPr>
          <w:p w14:paraId="748AAD0E" w14:textId="77777777" w:rsidR="0072615D" w:rsidRDefault="0072615D">
            <w:pPr>
              <w:pStyle w:val="Other0"/>
              <w:framePr w:w="11371" w:h="2304" w:vSpace="216" w:wrap="none" w:hAnchor="page" w:x="635" w:y="601"/>
              <w:spacing w:line="240" w:lineRule="auto"/>
              <w:ind w:firstLine="800"/>
              <w:rPr>
                <w:sz w:val="16"/>
                <w:szCs w:val="16"/>
              </w:rPr>
            </w:pPr>
            <w:r>
              <w:rPr>
                <w:rFonts w:ascii="Times New Roman" w:eastAsia="Times New Roman" w:hAnsi="Times New Roman" w:cs="Times New Roman"/>
                <w:b/>
                <w:bCs/>
                <w:sz w:val="16"/>
                <w:szCs w:val="16"/>
              </w:rPr>
              <w:t>4 semanas</w:t>
            </w:r>
          </w:p>
        </w:tc>
        <w:tc>
          <w:tcPr>
            <w:tcW w:w="1987" w:type="dxa"/>
            <w:shd w:val="clear" w:color="auto" w:fill="FFFFFF"/>
            <w:vAlign w:val="bottom"/>
          </w:tcPr>
          <w:p w14:paraId="071DD5F8" w14:textId="77777777" w:rsidR="0072615D" w:rsidRDefault="0072615D">
            <w:pPr>
              <w:pStyle w:val="Other0"/>
              <w:framePr w:w="11371" w:h="2304" w:vSpace="216" w:wrap="none" w:hAnchor="page" w:x="635" w:y="601"/>
              <w:spacing w:line="240" w:lineRule="auto"/>
              <w:ind w:firstLine="140"/>
              <w:rPr>
                <w:sz w:val="16"/>
                <w:szCs w:val="16"/>
              </w:rPr>
            </w:pPr>
            <w:r>
              <w:rPr>
                <w:rFonts w:ascii="Times New Roman" w:eastAsia="Times New Roman" w:hAnsi="Times New Roman" w:cs="Times New Roman"/>
                <w:b/>
                <w:bCs/>
                <w:sz w:val="16"/>
                <w:szCs w:val="16"/>
              </w:rPr>
              <w:t>6 meses</w:t>
            </w:r>
          </w:p>
        </w:tc>
        <w:tc>
          <w:tcPr>
            <w:tcW w:w="2678" w:type="dxa"/>
            <w:shd w:val="clear" w:color="auto" w:fill="FFFFFF"/>
            <w:vAlign w:val="bottom"/>
          </w:tcPr>
          <w:p w14:paraId="1EA64384" w14:textId="77777777" w:rsidR="0072615D" w:rsidRDefault="0072615D">
            <w:pPr>
              <w:pStyle w:val="Other0"/>
              <w:framePr w:w="11371" w:h="2304" w:vSpace="216" w:wrap="none" w:hAnchor="page" w:x="635" w:y="601"/>
              <w:spacing w:line="240" w:lineRule="auto"/>
              <w:ind w:firstLine="420"/>
              <w:rPr>
                <w:sz w:val="16"/>
                <w:szCs w:val="16"/>
              </w:rPr>
            </w:pPr>
            <w:r>
              <w:rPr>
                <w:rFonts w:ascii="Times New Roman" w:eastAsia="Times New Roman" w:hAnsi="Times New Roman" w:cs="Times New Roman"/>
                <w:b/>
                <w:bCs/>
                <w:sz w:val="16"/>
                <w:szCs w:val="16"/>
              </w:rPr>
              <w:t>6 meses</w:t>
            </w:r>
            <w:r>
              <w:rPr>
                <w:rFonts w:ascii="Times New Roman" w:eastAsia="Times New Roman" w:hAnsi="Times New Roman" w:cs="Times New Roman"/>
                <w:b/>
                <w:bCs/>
                <w:sz w:val="16"/>
                <w:szCs w:val="16"/>
                <w:vertAlign w:val="superscript"/>
              </w:rPr>
              <w:t>1</w:t>
            </w:r>
          </w:p>
        </w:tc>
      </w:tr>
      <w:tr w:rsidR="0072615D" w14:paraId="368DC9AD" w14:textId="77777777">
        <w:tblPrEx>
          <w:tblCellMar>
            <w:top w:w="0" w:type="dxa"/>
            <w:bottom w:w="0" w:type="dxa"/>
          </w:tblCellMar>
        </w:tblPrEx>
        <w:trPr>
          <w:trHeight w:hRule="exact" w:val="226"/>
        </w:trPr>
        <w:tc>
          <w:tcPr>
            <w:tcW w:w="1886" w:type="dxa"/>
            <w:shd w:val="clear" w:color="auto" w:fill="FFFFFF"/>
          </w:tcPr>
          <w:p w14:paraId="19A2C44B" w14:textId="77777777" w:rsidR="0072615D" w:rsidRDefault="0072615D">
            <w:pPr>
              <w:pStyle w:val="Other0"/>
              <w:framePr w:w="11371" w:h="2304" w:vSpace="216" w:wrap="none" w:hAnchor="page" w:x="635" w:y="601"/>
              <w:spacing w:line="240" w:lineRule="auto"/>
              <w:ind w:firstLine="0"/>
              <w:rPr>
                <w:sz w:val="16"/>
                <w:szCs w:val="16"/>
              </w:rPr>
            </w:pPr>
            <w:r>
              <w:rPr>
                <w:rFonts w:ascii="Times New Roman" w:eastAsia="Times New Roman" w:hAnsi="Times New Roman" w:cs="Times New Roman"/>
                <w:sz w:val="16"/>
                <w:szCs w:val="16"/>
              </w:rPr>
              <w:t>IPV (6 semanas)</w:t>
            </w:r>
          </w:p>
        </w:tc>
        <w:tc>
          <w:tcPr>
            <w:tcW w:w="1920" w:type="dxa"/>
            <w:shd w:val="clear" w:color="auto" w:fill="FFFFFF"/>
          </w:tcPr>
          <w:p w14:paraId="145131EA" w14:textId="77777777" w:rsidR="0072615D" w:rsidRDefault="0072615D">
            <w:pPr>
              <w:pStyle w:val="Other0"/>
              <w:framePr w:w="11371" w:h="2304" w:vSpace="216" w:wrap="none" w:hAnchor="page" w:x="635" w:y="601"/>
              <w:spacing w:line="240" w:lineRule="auto"/>
              <w:ind w:firstLine="420"/>
              <w:rPr>
                <w:sz w:val="16"/>
                <w:szCs w:val="16"/>
              </w:rPr>
            </w:pPr>
            <w:r>
              <w:rPr>
                <w:rFonts w:ascii="Times New Roman" w:eastAsia="Times New Roman" w:hAnsi="Times New Roman" w:cs="Times New Roman"/>
                <w:b/>
                <w:bCs/>
                <w:sz w:val="16"/>
                <w:szCs w:val="16"/>
              </w:rPr>
              <w:t>4 semanas</w:t>
            </w:r>
          </w:p>
        </w:tc>
        <w:tc>
          <w:tcPr>
            <w:tcW w:w="2899" w:type="dxa"/>
            <w:shd w:val="clear" w:color="auto" w:fill="FFFFFF"/>
          </w:tcPr>
          <w:p w14:paraId="09F4881F" w14:textId="77777777" w:rsidR="0072615D" w:rsidRDefault="0072615D">
            <w:pPr>
              <w:pStyle w:val="Other0"/>
              <w:framePr w:w="11371" w:h="2304" w:vSpace="216" w:wrap="none" w:hAnchor="page" w:x="635" w:y="601"/>
              <w:spacing w:line="240" w:lineRule="auto"/>
              <w:ind w:firstLine="800"/>
              <w:rPr>
                <w:sz w:val="16"/>
                <w:szCs w:val="16"/>
              </w:rPr>
            </w:pPr>
            <w:r>
              <w:rPr>
                <w:rFonts w:ascii="Times New Roman" w:eastAsia="Times New Roman" w:hAnsi="Times New Roman" w:cs="Times New Roman"/>
                <w:b/>
                <w:bCs/>
                <w:sz w:val="16"/>
                <w:szCs w:val="16"/>
              </w:rPr>
              <w:t>4 semanas</w:t>
            </w:r>
          </w:p>
        </w:tc>
        <w:tc>
          <w:tcPr>
            <w:tcW w:w="1987" w:type="dxa"/>
            <w:shd w:val="clear" w:color="auto" w:fill="FFFFFF"/>
          </w:tcPr>
          <w:p w14:paraId="0516C3E3" w14:textId="77777777" w:rsidR="0072615D" w:rsidRDefault="0072615D">
            <w:pPr>
              <w:pStyle w:val="Other0"/>
              <w:framePr w:w="11371" w:h="2304" w:vSpace="216" w:wrap="none" w:hAnchor="page" w:x="635" w:y="601"/>
              <w:spacing w:line="240" w:lineRule="auto"/>
              <w:ind w:firstLine="140"/>
              <w:rPr>
                <w:sz w:val="16"/>
                <w:szCs w:val="16"/>
              </w:rPr>
            </w:pPr>
            <w:r>
              <w:rPr>
                <w:rFonts w:ascii="Times New Roman" w:eastAsia="Times New Roman" w:hAnsi="Times New Roman" w:cs="Times New Roman"/>
                <w:b/>
                <w:bCs/>
                <w:sz w:val="16"/>
                <w:szCs w:val="16"/>
              </w:rPr>
              <w:t>4 semanas</w:t>
            </w:r>
            <w:r>
              <w:rPr>
                <w:rFonts w:ascii="Times New Roman" w:eastAsia="Times New Roman" w:hAnsi="Times New Roman" w:cs="Times New Roman"/>
                <w:b/>
                <w:bCs/>
                <w:sz w:val="16"/>
                <w:szCs w:val="16"/>
                <w:vertAlign w:val="superscript"/>
              </w:rPr>
              <w:t>2</w:t>
            </w:r>
          </w:p>
        </w:tc>
        <w:tc>
          <w:tcPr>
            <w:tcW w:w="2678" w:type="dxa"/>
            <w:shd w:val="clear" w:color="auto" w:fill="FFFFFF"/>
          </w:tcPr>
          <w:p w14:paraId="55659EE6" w14:textId="77777777" w:rsidR="0072615D" w:rsidRDefault="0072615D">
            <w:pPr>
              <w:framePr w:w="11371" w:h="2304" w:vSpace="216" w:wrap="none" w:hAnchor="page" w:x="635" w:y="601"/>
              <w:rPr>
                <w:sz w:val="10"/>
                <w:szCs w:val="10"/>
              </w:rPr>
            </w:pPr>
          </w:p>
        </w:tc>
      </w:tr>
      <w:tr w:rsidR="0072615D" w14:paraId="3B387700" w14:textId="77777777">
        <w:tblPrEx>
          <w:tblCellMar>
            <w:top w:w="0" w:type="dxa"/>
            <w:bottom w:w="0" w:type="dxa"/>
          </w:tblCellMar>
        </w:tblPrEx>
        <w:trPr>
          <w:trHeight w:hRule="exact" w:val="451"/>
        </w:trPr>
        <w:tc>
          <w:tcPr>
            <w:tcW w:w="1886" w:type="dxa"/>
            <w:shd w:val="clear" w:color="auto" w:fill="FFFFFF"/>
          </w:tcPr>
          <w:p w14:paraId="787ECFCE" w14:textId="77777777" w:rsidR="0072615D" w:rsidRDefault="0072615D">
            <w:pPr>
              <w:pStyle w:val="Other0"/>
              <w:framePr w:w="11371" w:h="2304" w:vSpace="216" w:wrap="none" w:hAnchor="page" w:x="635" w:y="601"/>
              <w:spacing w:line="240" w:lineRule="auto"/>
              <w:ind w:firstLine="0"/>
              <w:rPr>
                <w:sz w:val="16"/>
                <w:szCs w:val="16"/>
              </w:rPr>
            </w:pPr>
            <w:r>
              <w:rPr>
                <w:rFonts w:ascii="Times New Roman" w:eastAsia="Times New Roman" w:hAnsi="Times New Roman" w:cs="Times New Roman"/>
                <w:sz w:val="16"/>
                <w:szCs w:val="16"/>
              </w:rPr>
              <w:t>HepB</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(nacimiento)</w:t>
            </w:r>
          </w:p>
        </w:tc>
        <w:tc>
          <w:tcPr>
            <w:tcW w:w="1920" w:type="dxa"/>
            <w:shd w:val="clear" w:color="auto" w:fill="FFFFFF"/>
          </w:tcPr>
          <w:p w14:paraId="33F7097F" w14:textId="77777777" w:rsidR="0072615D" w:rsidRDefault="0072615D">
            <w:pPr>
              <w:pStyle w:val="Other0"/>
              <w:framePr w:w="11371" w:h="2304" w:vSpace="216" w:wrap="none" w:hAnchor="page" w:x="635" w:y="601"/>
              <w:spacing w:line="240" w:lineRule="auto"/>
              <w:ind w:firstLine="420"/>
              <w:rPr>
                <w:sz w:val="16"/>
                <w:szCs w:val="16"/>
              </w:rPr>
            </w:pPr>
            <w:r>
              <w:rPr>
                <w:rFonts w:ascii="Times New Roman" w:eastAsia="Times New Roman" w:hAnsi="Times New Roman" w:cs="Times New Roman"/>
                <w:b/>
                <w:bCs/>
                <w:sz w:val="16"/>
                <w:szCs w:val="16"/>
              </w:rPr>
              <w:t>4 semanas</w:t>
            </w:r>
          </w:p>
        </w:tc>
        <w:tc>
          <w:tcPr>
            <w:tcW w:w="2899" w:type="dxa"/>
            <w:shd w:val="clear" w:color="auto" w:fill="FFFFFF"/>
            <w:vAlign w:val="bottom"/>
          </w:tcPr>
          <w:p w14:paraId="27342A20" w14:textId="77777777" w:rsidR="0072615D" w:rsidRDefault="0072615D">
            <w:pPr>
              <w:pStyle w:val="Other0"/>
              <w:framePr w:w="11371" w:h="2304" w:vSpace="216" w:wrap="none" w:hAnchor="page" w:x="635" w:y="601"/>
              <w:spacing w:line="283" w:lineRule="auto"/>
              <w:ind w:left="800" w:firstLine="0"/>
              <w:rPr>
                <w:sz w:val="16"/>
                <w:szCs w:val="16"/>
              </w:rPr>
            </w:pPr>
            <w:r>
              <w:rPr>
                <w:rFonts w:ascii="Times New Roman" w:eastAsia="Times New Roman" w:hAnsi="Times New Roman" w:cs="Times New Roman"/>
                <w:b/>
                <w:bCs/>
                <w:sz w:val="16"/>
                <w:szCs w:val="16"/>
              </w:rPr>
              <w:t xml:space="preserve">3 semanas </w:t>
            </w:r>
            <w:r>
              <w:rPr>
                <w:rFonts w:ascii="Times New Roman" w:eastAsia="Times New Roman" w:hAnsi="Times New Roman" w:cs="Times New Roman"/>
                <w:sz w:val="16"/>
                <w:szCs w:val="16"/>
              </w:rPr>
              <w:t>(y 16 semanas después de la primera dosis)</w:t>
            </w:r>
          </w:p>
        </w:tc>
        <w:tc>
          <w:tcPr>
            <w:tcW w:w="1987" w:type="dxa"/>
            <w:shd w:val="clear" w:color="auto" w:fill="FFFFFF"/>
          </w:tcPr>
          <w:p w14:paraId="1740D110" w14:textId="77777777" w:rsidR="0072615D" w:rsidRDefault="0072615D">
            <w:pPr>
              <w:framePr w:w="11371" w:h="2304" w:vSpace="216" w:wrap="none" w:hAnchor="page" w:x="635" w:y="601"/>
              <w:rPr>
                <w:sz w:val="10"/>
                <w:szCs w:val="10"/>
              </w:rPr>
            </w:pPr>
          </w:p>
        </w:tc>
        <w:tc>
          <w:tcPr>
            <w:tcW w:w="2678" w:type="dxa"/>
            <w:shd w:val="clear" w:color="auto" w:fill="FFFFFF"/>
          </w:tcPr>
          <w:p w14:paraId="2CA11892" w14:textId="77777777" w:rsidR="0072615D" w:rsidRDefault="0072615D">
            <w:pPr>
              <w:framePr w:w="11371" w:h="2304" w:vSpace="216" w:wrap="none" w:hAnchor="page" w:x="635" w:y="601"/>
              <w:rPr>
                <w:sz w:val="10"/>
                <w:szCs w:val="10"/>
              </w:rPr>
            </w:pPr>
          </w:p>
        </w:tc>
      </w:tr>
      <w:tr w:rsidR="0072615D" w14:paraId="72D6C3B8" w14:textId="77777777">
        <w:tblPrEx>
          <w:tblCellMar>
            <w:top w:w="0" w:type="dxa"/>
            <w:bottom w:w="0" w:type="dxa"/>
          </w:tblCellMar>
        </w:tblPrEx>
        <w:trPr>
          <w:trHeight w:hRule="exact" w:val="211"/>
        </w:trPr>
        <w:tc>
          <w:tcPr>
            <w:tcW w:w="1886" w:type="dxa"/>
            <w:shd w:val="clear" w:color="auto" w:fill="FFFFFF"/>
          </w:tcPr>
          <w:p w14:paraId="003A0C4D" w14:textId="77777777" w:rsidR="0072615D" w:rsidRDefault="0072615D">
            <w:pPr>
              <w:pStyle w:val="Other0"/>
              <w:framePr w:w="11371" w:h="2304" w:vSpace="216" w:wrap="none" w:hAnchor="page" w:x="635" w:y="601"/>
              <w:spacing w:line="240" w:lineRule="auto"/>
              <w:ind w:firstLine="0"/>
              <w:rPr>
                <w:sz w:val="16"/>
                <w:szCs w:val="16"/>
              </w:rPr>
            </w:pPr>
            <w:r>
              <w:rPr>
                <w:rFonts w:ascii="Times New Roman" w:eastAsia="Times New Roman" w:hAnsi="Times New Roman" w:cs="Times New Roman"/>
                <w:sz w:val="16"/>
                <w:szCs w:val="16"/>
              </w:rPr>
              <w:t>MMR (12 meses)</w:t>
            </w:r>
          </w:p>
        </w:tc>
        <w:tc>
          <w:tcPr>
            <w:tcW w:w="1920" w:type="dxa"/>
            <w:shd w:val="clear" w:color="auto" w:fill="FFFFFF"/>
          </w:tcPr>
          <w:p w14:paraId="4DF69C85" w14:textId="77777777" w:rsidR="0072615D" w:rsidRDefault="0072615D">
            <w:pPr>
              <w:pStyle w:val="Other0"/>
              <w:framePr w:w="11371" w:h="2304" w:vSpace="216" w:wrap="none" w:hAnchor="page" w:x="635" w:y="601"/>
              <w:spacing w:line="240" w:lineRule="auto"/>
              <w:ind w:firstLine="420"/>
              <w:rPr>
                <w:sz w:val="16"/>
                <w:szCs w:val="16"/>
              </w:rPr>
            </w:pPr>
            <w:r>
              <w:rPr>
                <w:rFonts w:ascii="Times New Roman" w:eastAsia="Times New Roman" w:hAnsi="Times New Roman" w:cs="Times New Roman"/>
                <w:b/>
                <w:bCs/>
                <w:sz w:val="16"/>
                <w:szCs w:val="16"/>
              </w:rPr>
              <w:t>4 semanas</w:t>
            </w:r>
            <w:r>
              <w:rPr>
                <w:rFonts w:ascii="Times New Roman" w:eastAsia="Times New Roman" w:hAnsi="Times New Roman" w:cs="Times New Roman"/>
                <w:b/>
                <w:bCs/>
                <w:sz w:val="16"/>
                <w:szCs w:val="16"/>
                <w:vertAlign w:val="superscript"/>
              </w:rPr>
              <w:t>4</w:t>
            </w:r>
          </w:p>
        </w:tc>
        <w:tc>
          <w:tcPr>
            <w:tcW w:w="2899" w:type="dxa"/>
            <w:shd w:val="clear" w:color="auto" w:fill="FFFFFF"/>
          </w:tcPr>
          <w:p w14:paraId="08DF7D27" w14:textId="77777777" w:rsidR="0072615D" w:rsidRDefault="0072615D">
            <w:pPr>
              <w:framePr w:w="11371" w:h="2304" w:vSpace="216" w:wrap="none" w:hAnchor="page" w:x="635" w:y="601"/>
              <w:rPr>
                <w:sz w:val="10"/>
                <w:szCs w:val="10"/>
              </w:rPr>
            </w:pPr>
          </w:p>
        </w:tc>
        <w:tc>
          <w:tcPr>
            <w:tcW w:w="1987" w:type="dxa"/>
            <w:shd w:val="clear" w:color="auto" w:fill="FFFFFF"/>
          </w:tcPr>
          <w:p w14:paraId="00D0F313" w14:textId="77777777" w:rsidR="0072615D" w:rsidRDefault="0072615D">
            <w:pPr>
              <w:framePr w:w="11371" w:h="2304" w:vSpace="216" w:wrap="none" w:hAnchor="page" w:x="635" w:y="601"/>
              <w:rPr>
                <w:sz w:val="10"/>
                <w:szCs w:val="10"/>
              </w:rPr>
            </w:pPr>
          </w:p>
        </w:tc>
        <w:tc>
          <w:tcPr>
            <w:tcW w:w="2678" w:type="dxa"/>
            <w:shd w:val="clear" w:color="auto" w:fill="FFFFFF"/>
          </w:tcPr>
          <w:p w14:paraId="6B09D254" w14:textId="77777777" w:rsidR="0072615D" w:rsidRDefault="0072615D">
            <w:pPr>
              <w:framePr w:w="11371" w:h="2304" w:vSpace="216" w:wrap="none" w:hAnchor="page" w:x="635" w:y="601"/>
              <w:rPr>
                <w:sz w:val="10"/>
                <w:szCs w:val="10"/>
              </w:rPr>
            </w:pPr>
          </w:p>
        </w:tc>
      </w:tr>
    </w:tbl>
    <w:p w14:paraId="341F621B" w14:textId="77777777" w:rsidR="0072615D" w:rsidRDefault="0072615D">
      <w:pPr>
        <w:framePr w:w="11371" w:h="2304" w:vSpace="216" w:wrap="none" w:hAnchor="page" w:x="635" w:y="601"/>
        <w:spacing w:line="1" w:lineRule="exact"/>
      </w:pPr>
    </w:p>
    <w:p w14:paraId="33036DD1" w14:textId="77777777" w:rsidR="0072615D" w:rsidRDefault="0072615D">
      <w:pPr>
        <w:pStyle w:val="Tablecaption0"/>
        <w:framePr w:w="1387" w:h="216" w:wrap="none" w:hAnchor="page" w:x="669" w:y="2905"/>
        <w:spacing w:line="240" w:lineRule="auto"/>
        <w:ind w:left="0"/>
        <w:rPr>
          <w:sz w:val="16"/>
          <w:szCs w:val="16"/>
        </w:rPr>
      </w:pPr>
      <w:r>
        <w:rPr>
          <w:sz w:val="16"/>
          <w:szCs w:val="16"/>
        </w:rPr>
        <w:t>Varicela (12 meses)</w:t>
      </w:r>
    </w:p>
    <w:tbl>
      <w:tblPr>
        <w:tblOverlap w:val="never"/>
        <w:tblW w:w="0" w:type="auto"/>
        <w:tblLayout w:type="fixed"/>
        <w:tblCellMar>
          <w:left w:w="10" w:type="dxa"/>
          <w:right w:w="10" w:type="dxa"/>
        </w:tblCellMar>
        <w:tblLook w:val="04A0" w:firstRow="1" w:lastRow="0" w:firstColumn="1" w:lastColumn="0" w:noHBand="0" w:noVBand="1"/>
      </w:tblPr>
      <w:tblGrid>
        <w:gridCol w:w="1733"/>
        <w:gridCol w:w="2669"/>
        <w:gridCol w:w="2438"/>
        <w:gridCol w:w="2150"/>
      </w:tblGrid>
      <w:tr w:rsidR="0072615D" w14:paraId="431E95C5" w14:textId="77777777">
        <w:tblPrEx>
          <w:tblCellMar>
            <w:top w:w="0" w:type="dxa"/>
            <w:bottom w:w="0" w:type="dxa"/>
          </w:tblCellMar>
        </w:tblPrEx>
        <w:trPr>
          <w:trHeight w:hRule="exact" w:val="221"/>
        </w:trPr>
        <w:tc>
          <w:tcPr>
            <w:tcW w:w="1733" w:type="dxa"/>
            <w:shd w:val="clear" w:color="auto" w:fill="FFFFFF"/>
          </w:tcPr>
          <w:p w14:paraId="2598B3C2" w14:textId="77777777" w:rsidR="0072615D" w:rsidRDefault="0072615D">
            <w:pPr>
              <w:pStyle w:val="Other0"/>
              <w:framePr w:w="8990" w:h="2376" w:vSpace="691" w:wrap="none" w:hAnchor="page" w:x="683" w:y="3121"/>
              <w:spacing w:line="240" w:lineRule="auto"/>
              <w:ind w:firstLine="0"/>
              <w:rPr>
                <w:sz w:val="16"/>
                <w:szCs w:val="16"/>
              </w:rPr>
            </w:pPr>
            <w:r>
              <w:rPr>
                <w:rFonts w:ascii="Times New Roman" w:eastAsia="Times New Roman" w:hAnsi="Times New Roman" w:cs="Times New Roman"/>
                <w:sz w:val="16"/>
                <w:szCs w:val="16"/>
              </w:rPr>
              <w:t>Hib</w:t>
            </w:r>
            <w:r>
              <w:rPr>
                <w:rFonts w:ascii="Times New Roman" w:eastAsia="Times New Roman" w:hAnsi="Times New Roman" w:cs="Times New Roman"/>
                <w:sz w:val="16"/>
                <w:szCs w:val="16"/>
                <w:vertAlign w:val="superscript"/>
              </w:rPr>
              <w:t>5</w:t>
            </w:r>
            <w:r>
              <w:rPr>
                <w:rFonts w:ascii="Times New Roman" w:eastAsia="Times New Roman" w:hAnsi="Times New Roman" w:cs="Times New Roman"/>
                <w:sz w:val="16"/>
                <w:szCs w:val="16"/>
              </w:rPr>
              <w:t xml:space="preserve"> (6 semanas)</w:t>
            </w:r>
          </w:p>
        </w:tc>
        <w:tc>
          <w:tcPr>
            <w:tcW w:w="2669" w:type="dxa"/>
            <w:shd w:val="clear" w:color="auto" w:fill="FFFFFF"/>
          </w:tcPr>
          <w:p w14:paraId="6E34E23B" w14:textId="77777777" w:rsidR="0072615D" w:rsidRDefault="0072615D">
            <w:pPr>
              <w:pStyle w:val="Other0"/>
              <w:framePr w:w="8990" w:h="2376" w:vSpace="691" w:wrap="none" w:hAnchor="page" w:x="683" w:y="3121"/>
              <w:spacing w:line="240" w:lineRule="auto"/>
              <w:ind w:firstLine="520"/>
              <w:rPr>
                <w:sz w:val="16"/>
                <w:szCs w:val="16"/>
              </w:rPr>
            </w:pPr>
            <w:r>
              <w:rPr>
                <w:rFonts w:ascii="Times New Roman" w:eastAsia="Times New Roman" w:hAnsi="Times New Roman" w:cs="Times New Roman"/>
                <w:b/>
                <w:bCs/>
                <w:sz w:val="16"/>
                <w:szCs w:val="16"/>
              </w:rPr>
              <w:t xml:space="preserve">4 semanas: </w:t>
            </w:r>
            <w:r>
              <w:rPr>
                <w:rFonts w:ascii="Times New Roman" w:eastAsia="Times New Roman" w:hAnsi="Times New Roman" w:cs="Times New Roman"/>
                <w:sz w:val="16"/>
                <w:szCs w:val="16"/>
              </w:rPr>
              <w:t>si se administró</w:t>
            </w:r>
          </w:p>
        </w:tc>
        <w:tc>
          <w:tcPr>
            <w:tcW w:w="2438" w:type="dxa"/>
            <w:shd w:val="clear" w:color="auto" w:fill="FFFFFF"/>
          </w:tcPr>
          <w:p w14:paraId="7DD7D995" w14:textId="77777777" w:rsidR="0072615D" w:rsidRDefault="0072615D">
            <w:pPr>
              <w:pStyle w:val="Other0"/>
              <w:framePr w:w="8990" w:h="2376" w:vSpace="691" w:wrap="none" w:hAnchor="page" w:x="683" w:y="3121"/>
              <w:tabs>
                <w:tab w:val="left" w:pos="2411"/>
              </w:tabs>
              <w:spacing w:line="240" w:lineRule="auto"/>
              <w:ind w:firstLine="160"/>
              <w:rPr>
                <w:sz w:val="16"/>
                <w:szCs w:val="16"/>
              </w:rPr>
            </w:pPr>
            <w:r>
              <w:rPr>
                <w:rFonts w:ascii="Times New Roman" w:eastAsia="Times New Roman" w:hAnsi="Times New Roman" w:cs="Times New Roman"/>
                <w:b/>
                <w:bCs/>
                <w:sz w:val="16"/>
                <w:szCs w:val="16"/>
              </w:rPr>
              <w:t>4 semanas</w:t>
            </w:r>
            <w:r>
              <w:rPr>
                <w:rFonts w:ascii="Times New Roman" w:eastAsia="Times New Roman" w:hAnsi="Times New Roman" w:cs="Times New Roman"/>
                <w:b/>
                <w:bCs/>
                <w:sz w:val="16"/>
                <w:szCs w:val="16"/>
                <w:vertAlign w:val="superscript"/>
              </w:rPr>
              <w:t>6</w:t>
            </w:r>
            <w:r>
              <w:rPr>
                <w:rFonts w:ascii="Times New Roman" w:eastAsia="Times New Roman" w:hAnsi="Times New Roman" w:cs="Times New Roman"/>
                <w:b/>
                <w:bCs/>
                <w:sz w:val="16"/>
                <w:szCs w:val="16"/>
              </w:rPr>
              <w:t xml:space="preserve">: </w:t>
            </w:r>
            <w:r>
              <w:rPr>
                <w:rFonts w:ascii="Times New Roman" w:eastAsia="Times New Roman" w:hAnsi="Times New Roman" w:cs="Times New Roman"/>
                <w:sz w:val="16"/>
                <w:szCs w:val="16"/>
              </w:rPr>
              <w:t>si el niño</w:t>
            </w:r>
            <w:r>
              <w:rPr>
                <w:rFonts w:ascii="Times New Roman" w:eastAsia="Times New Roman" w:hAnsi="Times New Roman" w:cs="Times New Roman"/>
                <w:sz w:val="16"/>
                <w:szCs w:val="16"/>
              </w:rPr>
              <w:tab/>
              <w:t>«</w:t>
            </w:r>
          </w:p>
        </w:tc>
        <w:tc>
          <w:tcPr>
            <w:tcW w:w="2150" w:type="dxa"/>
            <w:shd w:val="clear" w:color="auto" w:fill="FFFFFF"/>
          </w:tcPr>
          <w:p w14:paraId="5CC3158C" w14:textId="77777777" w:rsidR="0072615D" w:rsidRDefault="0072615D">
            <w:pPr>
              <w:pStyle w:val="Other0"/>
              <w:framePr w:w="8990" w:h="2376" w:vSpace="691" w:wrap="none" w:hAnchor="page" w:x="683" w:y="3121"/>
              <w:spacing w:line="240" w:lineRule="auto"/>
              <w:ind w:firstLine="0"/>
              <w:rPr>
                <w:sz w:val="16"/>
                <w:szCs w:val="16"/>
              </w:rPr>
            </w:pPr>
            <w:r>
              <w:rPr>
                <w:rFonts w:ascii="Times New Roman" w:eastAsia="Times New Roman" w:hAnsi="Times New Roman" w:cs="Times New Roman"/>
                <w:b/>
                <w:bCs/>
                <w:sz w:val="16"/>
                <w:szCs w:val="16"/>
              </w:rPr>
              <w:t xml:space="preserve">8 semanas (dosis final): </w:t>
            </w:r>
            <w:r>
              <w:rPr>
                <w:rFonts w:ascii="Times New Roman" w:eastAsia="Times New Roman" w:hAnsi="Times New Roman" w:cs="Times New Roman"/>
                <w:sz w:val="16"/>
                <w:szCs w:val="16"/>
              </w:rPr>
              <w:t>esta</w:t>
            </w:r>
          </w:p>
        </w:tc>
      </w:tr>
      <w:tr w:rsidR="0072615D" w14:paraId="5CA03BAD" w14:textId="77777777">
        <w:tblPrEx>
          <w:tblCellMar>
            <w:top w:w="0" w:type="dxa"/>
            <w:bottom w:w="0" w:type="dxa"/>
          </w:tblCellMar>
        </w:tblPrEx>
        <w:trPr>
          <w:trHeight w:hRule="exact" w:val="211"/>
        </w:trPr>
        <w:tc>
          <w:tcPr>
            <w:tcW w:w="1733" w:type="dxa"/>
            <w:shd w:val="clear" w:color="auto" w:fill="FFFFFF"/>
          </w:tcPr>
          <w:p w14:paraId="07646E5A" w14:textId="77777777" w:rsidR="0072615D" w:rsidRDefault="0072615D">
            <w:pPr>
              <w:framePr w:w="8990" w:h="2376" w:vSpace="691" w:wrap="none" w:hAnchor="page" w:x="683" w:y="3121"/>
              <w:rPr>
                <w:sz w:val="10"/>
                <w:szCs w:val="10"/>
              </w:rPr>
            </w:pPr>
          </w:p>
        </w:tc>
        <w:tc>
          <w:tcPr>
            <w:tcW w:w="2669" w:type="dxa"/>
            <w:shd w:val="clear" w:color="auto" w:fill="FFFFFF"/>
          </w:tcPr>
          <w:p w14:paraId="32EA269F" w14:textId="77777777" w:rsidR="0072615D" w:rsidRDefault="0072615D">
            <w:pPr>
              <w:pStyle w:val="Other0"/>
              <w:framePr w:w="8990" w:h="2376" w:vSpace="691" w:wrap="none" w:hAnchor="page" w:x="683" w:y="3121"/>
              <w:spacing w:line="240" w:lineRule="auto"/>
              <w:ind w:firstLine="620"/>
              <w:rPr>
                <w:sz w:val="16"/>
                <w:szCs w:val="16"/>
              </w:rPr>
            </w:pPr>
            <w:r>
              <w:rPr>
                <w:rFonts w:ascii="Times New Roman" w:eastAsia="Times New Roman" w:hAnsi="Times New Roman" w:cs="Times New Roman"/>
                <w:sz w:val="16"/>
                <w:szCs w:val="16"/>
              </w:rPr>
              <w:t>la dosis antes de los 12 meses</w:t>
            </w:r>
          </w:p>
        </w:tc>
        <w:tc>
          <w:tcPr>
            <w:tcW w:w="2438" w:type="dxa"/>
            <w:shd w:val="clear" w:color="auto" w:fill="FFFFFF"/>
          </w:tcPr>
          <w:p w14:paraId="5BD876E1" w14:textId="77777777" w:rsidR="0072615D" w:rsidRDefault="0072615D">
            <w:pPr>
              <w:pStyle w:val="Other0"/>
              <w:framePr w:w="8990" w:h="2376" w:vSpace="691" w:wrap="none" w:hAnchor="page" w:x="683" w:y="3121"/>
              <w:spacing w:line="240" w:lineRule="auto"/>
              <w:ind w:firstLine="260"/>
              <w:rPr>
                <w:sz w:val="16"/>
                <w:szCs w:val="16"/>
              </w:rPr>
            </w:pPr>
            <w:r>
              <w:rPr>
                <w:rFonts w:ascii="Times New Roman" w:eastAsia="Times New Roman" w:hAnsi="Times New Roman" w:cs="Times New Roman"/>
                <w:sz w:val="16"/>
                <w:szCs w:val="16"/>
              </w:rPr>
              <w:t>actualmente tiene más</w:t>
            </w:r>
          </w:p>
        </w:tc>
        <w:tc>
          <w:tcPr>
            <w:tcW w:w="2150" w:type="dxa"/>
            <w:shd w:val="clear" w:color="auto" w:fill="FFFFFF"/>
          </w:tcPr>
          <w:p w14:paraId="1A557CC4" w14:textId="77777777" w:rsidR="0072615D" w:rsidRDefault="0072615D">
            <w:pPr>
              <w:pStyle w:val="Other0"/>
              <w:framePr w:w="8990" w:h="2376" w:vSpace="691" w:wrap="none" w:hAnchor="page" w:x="683" w:y="3121"/>
              <w:spacing w:line="240" w:lineRule="auto"/>
              <w:ind w:firstLine="0"/>
              <w:rPr>
                <w:sz w:val="16"/>
                <w:szCs w:val="16"/>
              </w:rPr>
            </w:pPr>
            <w:r>
              <w:rPr>
                <w:rFonts w:ascii="Times New Roman" w:eastAsia="Times New Roman" w:hAnsi="Times New Roman" w:cs="Times New Roman"/>
                <w:sz w:val="16"/>
                <w:szCs w:val="16"/>
              </w:rPr>
              <w:t>dosis será necesaria sólo en</w:t>
            </w:r>
          </w:p>
        </w:tc>
      </w:tr>
      <w:tr w:rsidR="0072615D" w14:paraId="2EFB48E2" w14:textId="77777777">
        <w:tblPrEx>
          <w:tblCellMar>
            <w:top w:w="0" w:type="dxa"/>
            <w:bottom w:w="0" w:type="dxa"/>
          </w:tblCellMar>
        </w:tblPrEx>
        <w:trPr>
          <w:trHeight w:hRule="exact" w:val="216"/>
        </w:trPr>
        <w:tc>
          <w:tcPr>
            <w:tcW w:w="1733" w:type="dxa"/>
            <w:shd w:val="clear" w:color="auto" w:fill="FFFFFF"/>
          </w:tcPr>
          <w:p w14:paraId="0A1E38D6" w14:textId="77777777" w:rsidR="0072615D" w:rsidRDefault="0072615D">
            <w:pPr>
              <w:framePr w:w="8990" w:h="2376" w:vSpace="691" w:wrap="none" w:hAnchor="page" w:x="683" w:y="3121"/>
              <w:rPr>
                <w:sz w:val="10"/>
                <w:szCs w:val="10"/>
              </w:rPr>
            </w:pPr>
          </w:p>
        </w:tc>
        <w:tc>
          <w:tcPr>
            <w:tcW w:w="2669" w:type="dxa"/>
            <w:shd w:val="clear" w:color="auto" w:fill="FFFFFF"/>
          </w:tcPr>
          <w:p w14:paraId="44772D2D" w14:textId="77777777" w:rsidR="0072615D" w:rsidRDefault="0072615D">
            <w:pPr>
              <w:pStyle w:val="Other0"/>
              <w:framePr w:w="8990" w:h="2376" w:vSpace="691" w:wrap="none" w:hAnchor="page" w:x="683" w:y="3121"/>
              <w:spacing w:line="240" w:lineRule="auto"/>
              <w:ind w:firstLine="620"/>
              <w:rPr>
                <w:sz w:val="16"/>
                <w:szCs w:val="16"/>
              </w:rPr>
            </w:pPr>
            <w:r>
              <w:rPr>
                <w:rFonts w:ascii="Times New Roman" w:eastAsia="Times New Roman" w:hAnsi="Times New Roman" w:cs="Times New Roman"/>
                <w:sz w:val="16"/>
                <w:szCs w:val="16"/>
              </w:rPr>
              <w:t>de vida</w:t>
            </w:r>
          </w:p>
        </w:tc>
        <w:tc>
          <w:tcPr>
            <w:tcW w:w="2438" w:type="dxa"/>
            <w:shd w:val="clear" w:color="auto" w:fill="FFFFFF"/>
          </w:tcPr>
          <w:p w14:paraId="2B0D0379" w14:textId="77777777" w:rsidR="0072615D" w:rsidRDefault="0072615D">
            <w:pPr>
              <w:pStyle w:val="Other0"/>
              <w:framePr w:w="8990" w:h="2376" w:vSpace="691" w:wrap="none" w:hAnchor="page" w:x="683" w:y="3121"/>
              <w:spacing w:line="240" w:lineRule="auto"/>
              <w:ind w:firstLine="260"/>
              <w:rPr>
                <w:sz w:val="16"/>
                <w:szCs w:val="16"/>
              </w:rPr>
            </w:pPr>
            <w:r>
              <w:rPr>
                <w:rFonts w:ascii="Times New Roman" w:eastAsia="Times New Roman" w:hAnsi="Times New Roman" w:cs="Times New Roman"/>
                <w:sz w:val="16"/>
                <w:szCs w:val="16"/>
              </w:rPr>
              <w:t>de 12 meses</w:t>
            </w:r>
          </w:p>
        </w:tc>
        <w:tc>
          <w:tcPr>
            <w:tcW w:w="2150" w:type="dxa"/>
            <w:shd w:val="clear" w:color="auto" w:fill="FFFFFF"/>
          </w:tcPr>
          <w:p w14:paraId="2D4AF08E" w14:textId="77777777" w:rsidR="0072615D" w:rsidRDefault="0072615D">
            <w:pPr>
              <w:pStyle w:val="Other0"/>
              <w:framePr w:w="8990" w:h="2376" w:vSpace="691" w:wrap="none" w:hAnchor="page" w:x="683" w:y="3121"/>
              <w:spacing w:line="240" w:lineRule="auto"/>
              <w:ind w:firstLine="0"/>
              <w:rPr>
                <w:sz w:val="16"/>
                <w:szCs w:val="16"/>
              </w:rPr>
            </w:pPr>
            <w:r>
              <w:rPr>
                <w:rFonts w:ascii="Times New Roman" w:eastAsia="Times New Roman" w:hAnsi="Times New Roman" w:cs="Times New Roman"/>
                <w:sz w:val="16"/>
                <w:szCs w:val="16"/>
              </w:rPr>
              <w:t>niños de 12 meses a cinco</w:t>
            </w:r>
          </w:p>
        </w:tc>
      </w:tr>
      <w:tr w:rsidR="0072615D" w14:paraId="21A50179" w14:textId="77777777">
        <w:tblPrEx>
          <w:tblCellMar>
            <w:top w:w="0" w:type="dxa"/>
            <w:bottom w:w="0" w:type="dxa"/>
          </w:tblCellMar>
        </w:tblPrEx>
        <w:trPr>
          <w:trHeight w:hRule="exact" w:val="221"/>
        </w:trPr>
        <w:tc>
          <w:tcPr>
            <w:tcW w:w="1733" w:type="dxa"/>
            <w:shd w:val="clear" w:color="auto" w:fill="FFFFFF"/>
          </w:tcPr>
          <w:p w14:paraId="7927E302" w14:textId="77777777" w:rsidR="0072615D" w:rsidRDefault="0072615D">
            <w:pPr>
              <w:framePr w:w="8990" w:h="2376" w:vSpace="691" w:wrap="none" w:hAnchor="page" w:x="683" w:y="3121"/>
              <w:rPr>
                <w:sz w:val="10"/>
                <w:szCs w:val="10"/>
              </w:rPr>
            </w:pPr>
          </w:p>
        </w:tc>
        <w:tc>
          <w:tcPr>
            <w:tcW w:w="2669" w:type="dxa"/>
            <w:shd w:val="clear" w:color="auto" w:fill="FFFFFF"/>
            <w:vAlign w:val="bottom"/>
          </w:tcPr>
          <w:p w14:paraId="0A3CCCED" w14:textId="77777777" w:rsidR="0072615D" w:rsidRDefault="0072615D">
            <w:pPr>
              <w:pStyle w:val="Other0"/>
              <w:framePr w:w="8990" w:h="2376" w:vSpace="691" w:wrap="none" w:hAnchor="page" w:x="683" w:y="3121"/>
              <w:spacing w:line="240" w:lineRule="auto"/>
              <w:ind w:firstLine="520"/>
              <w:rPr>
                <w:sz w:val="16"/>
                <w:szCs w:val="16"/>
              </w:rPr>
            </w:pPr>
            <w:r>
              <w:rPr>
                <w:rFonts w:ascii="Times New Roman" w:eastAsia="Times New Roman" w:hAnsi="Times New Roman" w:cs="Times New Roman"/>
                <w:b/>
                <w:bCs/>
                <w:sz w:val="16"/>
                <w:szCs w:val="16"/>
              </w:rPr>
              <w:t xml:space="preserve">8 semanas (dosis final): </w:t>
            </w:r>
            <w:r>
              <w:rPr>
                <w:rFonts w:ascii="Times New Roman" w:eastAsia="Times New Roman" w:hAnsi="Times New Roman" w:cs="Times New Roman"/>
                <w:sz w:val="16"/>
                <w:szCs w:val="16"/>
              </w:rPr>
              <w:t>si la</w:t>
            </w:r>
          </w:p>
        </w:tc>
        <w:tc>
          <w:tcPr>
            <w:tcW w:w="2438" w:type="dxa"/>
            <w:shd w:val="clear" w:color="auto" w:fill="FFFFFF"/>
          </w:tcPr>
          <w:p w14:paraId="598E43B0" w14:textId="77777777" w:rsidR="0072615D" w:rsidRDefault="0072615D">
            <w:pPr>
              <w:framePr w:w="8990" w:h="2376" w:vSpace="691" w:wrap="none" w:hAnchor="page" w:x="683" w:y="3121"/>
              <w:rPr>
                <w:sz w:val="10"/>
                <w:szCs w:val="10"/>
              </w:rPr>
            </w:pPr>
          </w:p>
        </w:tc>
        <w:tc>
          <w:tcPr>
            <w:tcW w:w="2150" w:type="dxa"/>
            <w:shd w:val="clear" w:color="auto" w:fill="FFFFFF"/>
            <w:vAlign w:val="bottom"/>
          </w:tcPr>
          <w:p w14:paraId="41C79B7E" w14:textId="77777777" w:rsidR="0072615D" w:rsidRDefault="0072615D">
            <w:pPr>
              <w:pStyle w:val="Other0"/>
              <w:framePr w:w="8990" w:h="2376" w:vSpace="691" w:wrap="none" w:hAnchor="page" w:x="683" w:y="3121"/>
              <w:spacing w:line="240" w:lineRule="auto"/>
              <w:ind w:firstLine="0"/>
              <w:rPr>
                <w:sz w:val="16"/>
                <w:szCs w:val="16"/>
              </w:rPr>
            </w:pPr>
            <w:r>
              <w:rPr>
                <w:rFonts w:ascii="Times New Roman" w:eastAsia="Times New Roman" w:hAnsi="Times New Roman" w:cs="Times New Roman"/>
                <w:sz w:val="16"/>
                <w:szCs w:val="16"/>
              </w:rPr>
              <w:t>años que recibieron tres dosis</w:t>
            </w:r>
          </w:p>
        </w:tc>
      </w:tr>
      <w:tr w:rsidR="0072615D" w14:paraId="49EC31D7" w14:textId="77777777">
        <w:tblPrEx>
          <w:tblCellMar>
            <w:top w:w="0" w:type="dxa"/>
            <w:bottom w:w="0" w:type="dxa"/>
          </w:tblCellMar>
        </w:tblPrEx>
        <w:trPr>
          <w:trHeight w:hRule="exact" w:val="211"/>
        </w:trPr>
        <w:tc>
          <w:tcPr>
            <w:tcW w:w="1733" w:type="dxa"/>
            <w:shd w:val="clear" w:color="auto" w:fill="FFFFFF"/>
          </w:tcPr>
          <w:p w14:paraId="52364A7C" w14:textId="77777777" w:rsidR="0072615D" w:rsidRDefault="0072615D">
            <w:pPr>
              <w:framePr w:w="8990" w:h="2376" w:vSpace="691" w:wrap="none" w:hAnchor="page" w:x="683" w:y="3121"/>
              <w:rPr>
                <w:sz w:val="10"/>
                <w:szCs w:val="10"/>
              </w:rPr>
            </w:pPr>
          </w:p>
        </w:tc>
        <w:tc>
          <w:tcPr>
            <w:tcW w:w="2669" w:type="dxa"/>
            <w:shd w:val="clear" w:color="auto" w:fill="FFFFFF"/>
            <w:vAlign w:val="bottom"/>
          </w:tcPr>
          <w:p w14:paraId="07D4547C" w14:textId="77777777" w:rsidR="0072615D" w:rsidRDefault="0072615D">
            <w:pPr>
              <w:pStyle w:val="Other0"/>
              <w:framePr w:w="8990" w:h="2376" w:vSpace="691" w:wrap="none" w:hAnchor="page" w:x="683" w:y="3121"/>
              <w:spacing w:line="240" w:lineRule="auto"/>
              <w:ind w:firstLine="620"/>
              <w:rPr>
                <w:sz w:val="16"/>
                <w:szCs w:val="16"/>
              </w:rPr>
            </w:pPr>
            <w:r>
              <w:rPr>
                <w:rFonts w:ascii="Times New Roman" w:eastAsia="Times New Roman" w:hAnsi="Times New Roman" w:cs="Times New Roman"/>
                <w:sz w:val="16"/>
                <w:szCs w:val="16"/>
              </w:rPr>
              <w:t>primera dosis se administró</w:t>
            </w:r>
          </w:p>
        </w:tc>
        <w:tc>
          <w:tcPr>
            <w:tcW w:w="2438" w:type="dxa"/>
            <w:shd w:val="clear" w:color="auto" w:fill="FFFFFF"/>
          </w:tcPr>
          <w:p w14:paraId="77B9DFED" w14:textId="77777777" w:rsidR="0072615D" w:rsidRDefault="0072615D">
            <w:pPr>
              <w:framePr w:w="8990" w:h="2376" w:vSpace="691" w:wrap="none" w:hAnchor="page" w:x="683" w:y="3121"/>
              <w:rPr>
                <w:sz w:val="10"/>
                <w:szCs w:val="10"/>
              </w:rPr>
            </w:pPr>
          </w:p>
        </w:tc>
        <w:tc>
          <w:tcPr>
            <w:tcW w:w="2150" w:type="dxa"/>
            <w:shd w:val="clear" w:color="auto" w:fill="FFFFFF"/>
            <w:vAlign w:val="bottom"/>
          </w:tcPr>
          <w:p w14:paraId="30D080DB" w14:textId="77777777" w:rsidR="0072615D" w:rsidRDefault="0072615D">
            <w:pPr>
              <w:pStyle w:val="Other0"/>
              <w:framePr w:w="8990" w:h="2376" w:vSpace="691" w:wrap="none" w:hAnchor="page" w:x="683" w:y="3121"/>
              <w:spacing w:line="240" w:lineRule="auto"/>
              <w:ind w:firstLine="0"/>
              <w:rPr>
                <w:sz w:val="16"/>
                <w:szCs w:val="16"/>
              </w:rPr>
            </w:pPr>
            <w:r>
              <w:rPr>
                <w:rFonts w:ascii="Times New Roman" w:eastAsia="Times New Roman" w:hAnsi="Times New Roman" w:cs="Times New Roman"/>
                <w:sz w:val="16"/>
                <w:szCs w:val="16"/>
              </w:rPr>
              <w:t>antes de cumplir 12 meses</w:t>
            </w:r>
          </w:p>
        </w:tc>
      </w:tr>
      <w:tr w:rsidR="0072615D" w14:paraId="748D8476" w14:textId="77777777">
        <w:tblPrEx>
          <w:tblCellMar>
            <w:top w:w="0" w:type="dxa"/>
            <w:bottom w:w="0" w:type="dxa"/>
          </w:tblCellMar>
        </w:tblPrEx>
        <w:trPr>
          <w:trHeight w:hRule="exact" w:val="216"/>
        </w:trPr>
        <w:tc>
          <w:tcPr>
            <w:tcW w:w="1733" w:type="dxa"/>
            <w:shd w:val="clear" w:color="auto" w:fill="FFFFFF"/>
          </w:tcPr>
          <w:p w14:paraId="0540EE9C" w14:textId="77777777" w:rsidR="0072615D" w:rsidRDefault="0072615D">
            <w:pPr>
              <w:framePr w:w="8990" w:h="2376" w:vSpace="691" w:wrap="none" w:hAnchor="page" w:x="683" w:y="3121"/>
              <w:rPr>
                <w:sz w:val="10"/>
                <w:szCs w:val="10"/>
              </w:rPr>
            </w:pPr>
          </w:p>
        </w:tc>
        <w:tc>
          <w:tcPr>
            <w:tcW w:w="2669" w:type="dxa"/>
            <w:shd w:val="clear" w:color="auto" w:fill="FFFFFF"/>
            <w:vAlign w:val="bottom"/>
          </w:tcPr>
          <w:p w14:paraId="270E808F" w14:textId="77777777" w:rsidR="0072615D" w:rsidRDefault="0072615D">
            <w:pPr>
              <w:pStyle w:val="Other0"/>
              <w:framePr w:w="8990" w:h="2376" w:vSpace="691" w:wrap="none" w:hAnchor="page" w:x="683" w:y="3121"/>
              <w:spacing w:line="240" w:lineRule="auto"/>
              <w:ind w:firstLine="620"/>
              <w:rPr>
                <w:sz w:val="16"/>
                <w:szCs w:val="16"/>
              </w:rPr>
            </w:pPr>
            <w:r>
              <w:rPr>
                <w:rFonts w:ascii="Times New Roman" w:eastAsia="Times New Roman" w:hAnsi="Times New Roman" w:cs="Times New Roman"/>
                <w:sz w:val="16"/>
                <w:szCs w:val="16"/>
              </w:rPr>
              <w:t>entre los 12 y los 14 meses</w:t>
            </w:r>
          </w:p>
        </w:tc>
        <w:tc>
          <w:tcPr>
            <w:tcW w:w="2438" w:type="dxa"/>
            <w:shd w:val="clear" w:color="auto" w:fill="FFFFFF"/>
          </w:tcPr>
          <w:p w14:paraId="7266B607" w14:textId="77777777" w:rsidR="0072615D" w:rsidRDefault="0072615D">
            <w:pPr>
              <w:framePr w:w="8990" w:h="2376" w:vSpace="691" w:wrap="none" w:hAnchor="page" w:x="683" w:y="3121"/>
              <w:rPr>
                <w:sz w:val="10"/>
                <w:szCs w:val="10"/>
              </w:rPr>
            </w:pPr>
          </w:p>
        </w:tc>
        <w:tc>
          <w:tcPr>
            <w:tcW w:w="2150" w:type="dxa"/>
            <w:shd w:val="clear" w:color="auto" w:fill="FFFFFF"/>
            <w:vAlign w:val="bottom"/>
          </w:tcPr>
          <w:p w14:paraId="696220B4" w14:textId="77777777" w:rsidR="0072615D" w:rsidRDefault="0072615D">
            <w:pPr>
              <w:pStyle w:val="Other0"/>
              <w:framePr w:w="8990" w:h="2376" w:vSpace="691" w:wrap="none" w:hAnchor="page" w:x="683" w:y="3121"/>
              <w:spacing w:line="240" w:lineRule="auto"/>
              <w:ind w:firstLine="0"/>
              <w:rPr>
                <w:sz w:val="16"/>
                <w:szCs w:val="16"/>
              </w:rPr>
            </w:pPr>
            <w:r>
              <w:rPr>
                <w:rFonts w:ascii="Times New Roman" w:eastAsia="Times New Roman" w:hAnsi="Times New Roman" w:cs="Times New Roman"/>
                <w:sz w:val="16"/>
                <w:szCs w:val="16"/>
              </w:rPr>
              <w:t>de vida</w:t>
            </w:r>
          </w:p>
        </w:tc>
      </w:tr>
      <w:tr w:rsidR="0072615D" w14:paraId="6C325CDE" w14:textId="77777777">
        <w:tblPrEx>
          <w:tblCellMar>
            <w:top w:w="0" w:type="dxa"/>
            <w:bottom w:w="0" w:type="dxa"/>
          </w:tblCellMar>
        </w:tblPrEx>
        <w:trPr>
          <w:trHeight w:hRule="exact" w:val="226"/>
        </w:trPr>
        <w:tc>
          <w:tcPr>
            <w:tcW w:w="1733" w:type="dxa"/>
            <w:shd w:val="clear" w:color="auto" w:fill="FFFFFF"/>
          </w:tcPr>
          <w:p w14:paraId="741F925C" w14:textId="77777777" w:rsidR="0072615D" w:rsidRDefault="0072615D">
            <w:pPr>
              <w:framePr w:w="8990" w:h="2376" w:vSpace="691" w:wrap="none" w:hAnchor="page" w:x="683" w:y="3121"/>
              <w:rPr>
                <w:sz w:val="10"/>
                <w:szCs w:val="10"/>
              </w:rPr>
            </w:pPr>
          </w:p>
        </w:tc>
        <w:tc>
          <w:tcPr>
            <w:tcW w:w="2669" w:type="dxa"/>
            <w:shd w:val="clear" w:color="auto" w:fill="FFFFFF"/>
            <w:vAlign w:val="bottom"/>
          </w:tcPr>
          <w:p w14:paraId="7A3EB80C" w14:textId="77777777" w:rsidR="0072615D" w:rsidRDefault="0072615D">
            <w:pPr>
              <w:pStyle w:val="Other0"/>
              <w:framePr w:w="8990" w:h="2376" w:vSpace="691" w:wrap="none" w:hAnchor="page" w:x="683" w:y="3121"/>
              <w:spacing w:line="240" w:lineRule="auto"/>
              <w:ind w:firstLine="620"/>
              <w:rPr>
                <w:sz w:val="16"/>
                <w:szCs w:val="16"/>
              </w:rPr>
            </w:pPr>
            <w:r>
              <w:rPr>
                <w:rFonts w:ascii="Times New Roman" w:eastAsia="Times New Roman" w:hAnsi="Times New Roman" w:cs="Times New Roman"/>
                <w:sz w:val="16"/>
                <w:szCs w:val="16"/>
              </w:rPr>
              <w:t>de vida</w:t>
            </w:r>
          </w:p>
        </w:tc>
        <w:tc>
          <w:tcPr>
            <w:tcW w:w="2438" w:type="dxa"/>
            <w:shd w:val="clear" w:color="auto" w:fill="FFFFFF"/>
            <w:vAlign w:val="bottom"/>
          </w:tcPr>
          <w:p w14:paraId="5327A276" w14:textId="77777777" w:rsidR="0072615D" w:rsidRDefault="0072615D">
            <w:pPr>
              <w:pStyle w:val="Other0"/>
              <w:framePr w:w="8990" w:h="2376" w:vSpace="691" w:wrap="none" w:hAnchor="page" w:x="683" w:y="3121"/>
              <w:spacing w:line="240" w:lineRule="auto"/>
              <w:ind w:firstLine="160"/>
              <w:rPr>
                <w:sz w:val="16"/>
                <w:szCs w:val="16"/>
              </w:rPr>
            </w:pPr>
            <w:r>
              <w:rPr>
                <w:rFonts w:ascii="Times New Roman" w:eastAsia="Times New Roman" w:hAnsi="Times New Roman" w:cs="Times New Roman"/>
                <w:b/>
                <w:bCs/>
                <w:sz w:val="16"/>
                <w:szCs w:val="16"/>
              </w:rPr>
              <w:t>8 semanas (dosis final)</w:t>
            </w:r>
            <w:r>
              <w:rPr>
                <w:rFonts w:ascii="Times New Roman" w:eastAsia="Times New Roman" w:hAnsi="Times New Roman" w:cs="Times New Roman"/>
                <w:b/>
                <w:bCs/>
                <w:sz w:val="16"/>
                <w:szCs w:val="16"/>
                <w:vertAlign w:val="superscript"/>
              </w:rPr>
              <w:t>6</w:t>
            </w:r>
            <w:r>
              <w:rPr>
                <w:rFonts w:ascii="Times New Roman" w:eastAsia="Times New Roman" w:hAnsi="Times New Roman" w:cs="Times New Roman"/>
                <w:b/>
                <w:bCs/>
                <w:sz w:val="16"/>
                <w:szCs w:val="16"/>
              </w:rPr>
              <w:t xml:space="preserve">: </w:t>
            </w:r>
            <w:r>
              <w:rPr>
                <w:rFonts w:ascii="Times New Roman" w:eastAsia="Times New Roman" w:hAnsi="Times New Roman" w:cs="Times New Roman"/>
                <w:sz w:val="16"/>
                <w:szCs w:val="16"/>
              </w:rPr>
              <w:t>si el</w:t>
            </w:r>
          </w:p>
        </w:tc>
        <w:tc>
          <w:tcPr>
            <w:tcW w:w="2150" w:type="dxa"/>
            <w:shd w:val="clear" w:color="auto" w:fill="FFFFFF"/>
          </w:tcPr>
          <w:p w14:paraId="32907DAE" w14:textId="77777777" w:rsidR="0072615D" w:rsidRDefault="0072615D">
            <w:pPr>
              <w:framePr w:w="8990" w:h="2376" w:vSpace="691" w:wrap="none" w:hAnchor="page" w:x="683" w:y="3121"/>
              <w:rPr>
                <w:sz w:val="10"/>
                <w:szCs w:val="10"/>
              </w:rPr>
            </w:pPr>
          </w:p>
        </w:tc>
      </w:tr>
      <w:tr w:rsidR="0072615D" w14:paraId="08A343CF" w14:textId="77777777">
        <w:tblPrEx>
          <w:tblCellMar>
            <w:top w:w="0" w:type="dxa"/>
            <w:bottom w:w="0" w:type="dxa"/>
          </w:tblCellMar>
        </w:tblPrEx>
        <w:trPr>
          <w:trHeight w:hRule="exact" w:val="206"/>
        </w:trPr>
        <w:tc>
          <w:tcPr>
            <w:tcW w:w="1733" w:type="dxa"/>
            <w:shd w:val="clear" w:color="auto" w:fill="FFFFFF"/>
          </w:tcPr>
          <w:p w14:paraId="632196A0" w14:textId="77777777" w:rsidR="0072615D" w:rsidRDefault="0072615D">
            <w:pPr>
              <w:framePr w:w="8990" w:h="2376" w:vSpace="691" w:wrap="none" w:hAnchor="page" w:x="683" w:y="3121"/>
              <w:rPr>
                <w:sz w:val="10"/>
                <w:szCs w:val="10"/>
              </w:rPr>
            </w:pPr>
          </w:p>
        </w:tc>
        <w:tc>
          <w:tcPr>
            <w:tcW w:w="2669" w:type="dxa"/>
            <w:shd w:val="clear" w:color="auto" w:fill="FFFFFF"/>
          </w:tcPr>
          <w:p w14:paraId="1A9C5A35" w14:textId="77777777" w:rsidR="0072615D" w:rsidRDefault="0072615D">
            <w:pPr>
              <w:pStyle w:val="Other0"/>
              <w:framePr w:w="8990" w:h="2376" w:vSpace="691" w:wrap="none" w:hAnchor="page" w:x="683" w:y="3121"/>
              <w:spacing w:line="240" w:lineRule="auto"/>
              <w:ind w:firstLine="520"/>
              <w:rPr>
                <w:sz w:val="16"/>
                <w:szCs w:val="16"/>
              </w:rPr>
            </w:pPr>
            <w:r>
              <w:rPr>
                <w:rFonts w:ascii="Times New Roman" w:eastAsia="Times New Roman" w:hAnsi="Times New Roman" w:cs="Times New Roman"/>
                <w:b/>
                <w:bCs/>
                <w:sz w:val="16"/>
                <w:szCs w:val="16"/>
              </w:rPr>
              <w:t xml:space="preserve">No se necesitan más dosis: </w:t>
            </w:r>
            <w:r>
              <w:rPr>
                <w:rFonts w:ascii="Times New Roman" w:eastAsia="Times New Roman" w:hAnsi="Times New Roman" w:cs="Times New Roman"/>
                <w:sz w:val="16"/>
                <w:szCs w:val="16"/>
              </w:rPr>
              <w:t>si</w:t>
            </w:r>
          </w:p>
        </w:tc>
        <w:tc>
          <w:tcPr>
            <w:tcW w:w="2438" w:type="dxa"/>
            <w:shd w:val="clear" w:color="auto" w:fill="FFFFFF"/>
          </w:tcPr>
          <w:p w14:paraId="7B3D742C" w14:textId="77777777" w:rsidR="0072615D" w:rsidRDefault="0072615D">
            <w:pPr>
              <w:pStyle w:val="Other0"/>
              <w:framePr w:w="8990" w:h="2376" w:vSpace="691" w:wrap="none" w:hAnchor="page" w:x="683" w:y="3121"/>
              <w:spacing w:line="240" w:lineRule="auto"/>
              <w:ind w:firstLine="0"/>
              <w:rPr>
                <w:sz w:val="16"/>
                <w:szCs w:val="16"/>
              </w:rPr>
            </w:pPr>
            <w:r>
              <w:rPr>
                <w:rFonts w:ascii="Times New Roman" w:eastAsia="Times New Roman" w:hAnsi="Times New Roman" w:cs="Times New Roman"/>
                <w:sz w:val="16"/>
                <w:szCs w:val="16"/>
              </w:rPr>
              <w:t>la niño tiene actualmente 12</w:t>
            </w:r>
          </w:p>
        </w:tc>
        <w:tc>
          <w:tcPr>
            <w:tcW w:w="2150" w:type="dxa"/>
            <w:shd w:val="clear" w:color="auto" w:fill="FFFFFF"/>
          </w:tcPr>
          <w:p w14:paraId="7F9EC2C7" w14:textId="77777777" w:rsidR="0072615D" w:rsidRDefault="0072615D">
            <w:pPr>
              <w:framePr w:w="8990" w:h="2376" w:vSpace="691" w:wrap="none" w:hAnchor="page" w:x="683" w:y="3121"/>
              <w:rPr>
                <w:sz w:val="10"/>
                <w:szCs w:val="10"/>
              </w:rPr>
            </w:pPr>
          </w:p>
        </w:tc>
      </w:tr>
      <w:tr w:rsidR="0072615D" w14:paraId="1AE06496" w14:textId="77777777">
        <w:tblPrEx>
          <w:tblCellMar>
            <w:top w:w="0" w:type="dxa"/>
            <w:bottom w:w="0" w:type="dxa"/>
          </w:tblCellMar>
        </w:tblPrEx>
        <w:trPr>
          <w:trHeight w:hRule="exact" w:val="235"/>
        </w:trPr>
        <w:tc>
          <w:tcPr>
            <w:tcW w:w="1733" w:type="dxa"/>
            <w:shd w:val="clear" w:color="auto" w:fill="FFFFFF"/>
          </w:tcPr>
          <w:p w14:paraId="7A6D04E2" w14:textId="77777777" w:rsidR="0072615D" w:rsidRDefault="0072615D">
            <w:pPr>
              <w:framePr w:w="8990" w:h="2376" w:vSpace="691" w:wrap="none" w:hAnchor="page" w:x="683" w:y="3121"/>
              <w:rPr>
                <w:sz w:val="10"/>
                <w:szCs w:val="10"/>
              </w:rPr>
            </w:pPr>
          </w:p>
        </w:tc>
        <w:tc>
          <w:tcPr>
            <w:tcW w:w="2669" w:type="dxa"/>
            <w:shd w:val="clear" w:color="auto" w:fill="FFFFFF"/>
            <w:vAlign w:val="bottom"/>
          </w:tcPr>
          <w:p w14:paraId="43614424" w14:textId="77777777" w:rsidR="0072615D" w:rsidRDefault="0072615D">
            <w:pPr>
              <w:pStyle w:val="Other0"/>
              <w:framePr w:w="8990" w:h="2376" w:vSpace="691" w:wrap="none" w:hAnchor="page" w:x="683" w:y="3121"/>
              <w:spacing w:line="240" w:lineRule="auto"/>
              <w:ind w:firstLine="620"/>
              <w:jc w:val="both"/>
              <w:rPr>
                <w:sz w:val="16"/>
                <w:szCs w:val="16"/>
              </w:rPr>
            </w:pPr>
            <w:r>
              <w:rPr>
                <w:rFonts w:ascii="Times New Roman" w:eastAsia="Times New Roman" w:hAnsi="Times New Roman" w:cs="Times New Roman"/>
                <w:sz w:val="16"/>
                <w:szCs w:val="16"/>
              </w:rPr>
              <w:t>primera dosis se administró</w:t>
            </w:r>
          </w:p>
        </w:tc>
        <w:tc>
          <w:tcPr>
            <w:tcW w:w="2438" w:type="dxa"/>
            <w:shd w:val="clear" w:color="auto" w:fill="FFFFFF"/>
            <w:vAlign w:val="bottom"/>
          </w:tcPr>
          <w:p w14:paraId="0580049B" w14:textId="77777777" w:rsidR="0072615D" w:rsidRDefault="0072615D">
            <w:pPr>
              <w:pStyle w:val="Other0"/>
              <w:framePr w:w="8990" w:h="2376" w:vSpace="691" w:wrap="none" w:hAnchor="page" w:x="683" w:y="3121"/>
              <w:spacing w:line="240" w:lineRule="auto"/>
              <w:ind w:firstLine="260"/>
              <w:rPr>
                <w:sz w:val="16"/>
                <w:szCs w:val="16"/>
              </w:rPr>
            </w:pPr>
            <w:r>
              <w:rPr>
                <w:rFonts w:ascii="Times New Roman" w:eastAsia="Times New Roman" w:hAnsi="Times New Roman" w:cs="Times New Roman"/>
                <w:sz w:val="16"/>
                <w:szCs w:val="16"/>
              </w:rPr>
              <w:t>meses o más y la segunda dosis</w:t>
            </w:r>
          </w:p>
        </w:tc>
        <w:tc>
          <w:tcPr>
            <w:tcW w:w="2150" w:type="dxa"/>
            <w:shd w:val="clear" w:color="auto" w:fill="FFFFFF"/>
          </w:tcPr>
          <w:p w14:paraId="1B3D5486" w14:textId="77777777" w:rsidR="0072615D" w:rsidRDefault="0072615D">
            <w:pPr>
              <w:framePr w:w="8990" w:h="2376" w:vSpace="691" w:wrap="none" w:hAnchor="page" w:x="683" w:y="3121"/>
              <w:rPr>
                <w:sz w:val="10"/>
                <w:szCs w:val="10"/>
              </w:rPr>
            </w:pPr>
          </w:p>
        </w:tc>
      </w:tr>
      <w:tr w:rsidR="0072615D" w14:paraId="36D28A60" w14:textId="77777777">
        <w:tblPrEx>
          <w:tblCellMar>
            <w:top w:w="0" w:type="dxa"/>
            <w:bottom w:w="0" w:type="dxa"/>
          </w:tblCellMar>
        </w:tblPrEx>
        <w:trPr>
          <w:trHeight w:hRule="exact" w:val="413"/>
        </w:trPr>
        <w:tc>
          <w:tcPr>
            <w:tcW w:w="1733" w:type="dxa"/>
            <w:shd w:val="clear" w:color="auto" w:fill="FFFFFF"/>
          </w:tcPr>
          <w:p w14:paraId="2D7F820B" w14:textId="77777777" w:rsidR="0072615D" w:rsidRDefault="0072615D">
            <w:pPr>
              <w:framePr w:w="8990" w:h="2376" w:vSpace="691" w:wrap="none" w:hAnchor="page" w:x="683" w:y="3121"/>
              <w:rPr>
                <w:sz w:val="10"/>
                <w:szCs w:val="10"/>
              </w:rPr>
            </w:pPr>
          </w:p>
        </w:tc>
        <w:tc>
          <w:tcPr>
            <w:tcW w:w="2669" w:type="dxa"/>
            <w:shd w:val="clear" w:color="auto" w:fill="FFFFFF"/>
          </w:tcPr>
          <w:p w14:paraId="0FACB8A4" w14:textId="77777777" w:rsidR="0072615D" w:rsidRDefault="0072615D">
            <w:pPr>
              <w:pStyle w:val="Other0"/>
              <w:framePr w:w="8990" w:h="2376" w:vSpace="691" w:wrap="none" w:hAnchor="page" w:x="683" w:y="3121"/>
              <w:spacing w:line="240" w:lineRule="auto"/>
              <w:ind w:firstLine="620"/>
              <w:jc w:val="both"/>
              <w:rPr>
                <w:sz w:val="16"/>
                <w:szCs w:val="16"/>
              </w:rPr>
            </w:pPr>
            <w:r>
              <w:rPr>
                <w:rFonts w:ascii="Times New Roman" w:eastAsia="Times New Roman" w:hAnsi="Times New Roman" w:cs="Times New Roman"/>
                <w:sz w:val="16"/>
                <w:szCs w:val="16"/>
              </w:rPr>
              <w:t>a los 15 meses de vida o más</w:t>
            </w:r>
          </w:p>
        </w:tc>
        <w:tc>
          <w:tcPr>
            <w:tcW w:w="2438" w:type="dxa"/>
            <w:shd w:val="clear" w:color="auto" w:fill="FFFFFF"/>
          </w:tcPr>
          <w:p w14:paraId="70341A7B" w14:textId="77777777" w:rsidR="0072615D" w:rsidRDefault="0072615D">
            <w:pPr>
              <w:pStyle w:val="Other0"/>
              <w:framePr w:w="8990" w:h="2376" w:vSpace="691" w:wrap="none" w:hAnchor="page" w:x="683" w:y="3121"/>
              <w:spacing w:line="240" w:lineRule="auto"/>
              <w:ind w:firstLine="260"/>
              <w:rPr>
                <w:sz w:val="16"/>
                <w:szCs w:val="16"/>
              </w:rPr>
            </w:pPr>
            <w:r>
              <w:rPr>
                <w:rFonts w:ascii="Times New Roman" w:eastAsia="Times New Roman" w:hAnsi="Times New Roman" w:cs="Times New Roman"/>
                <w:sz w:val="16"/>
                <w:szCs w:val="16"/>
              </w:rPr>
              <w:t>se administró antes de los</w:t>
            </w:r>
          </w:p>
          <w:p w14:paraId="19E8D5A6" w14:textId="77777777" w:rsidR="0072615D" w:rsidRDefault="0072615D">
            <w:pPr>
              <w:pStyle w:val="Other0"/>
              <w:framePr w:w="8990" w:h="2376" w:vSpace="691" w:wrap="none" w:hAnchor="page" w:x="683" w:y="3121"/>
              <w:spacing w:line="240" w:lineRule="auto"/>
              <w:ind w:firstLine="260"/>
              <w:rPr>
                <w:sz w:val="16"/>
                <w:szCs w:val="16"/>
              </w:rPr>
            </w:pPr>
            <w:r>
              <w:rPr>
                <w:rFonts w:ascii="Times New Roman" w:eastAsia="Times New Roman" w:hAnsi="Times New Roman" w:cs="Times New Roman"/>
                <w:sz w:val="16"/>
                <w:szCs w:val="16"/>
              </w:rPr>
              <w:t>15 meses de vida</w:t>
            </w:r>
          </w:p>
        </w:tc>
        <w:tc>
          <w:tcPr>
            <w:tcW w:w="2150" w:type="dxa"/>
            <w:shd w:val="clear" w:color="auto" w:fill="FFFFFF"/>
          </w:tcPr>
          <w:p w14:paraId="1459099D" w14:textId="77777777" w:rsidR="0072615D" w:rsidRDefault="0072615D">
            <w:pPr>
              <w:framePr w:w="8990" w:h="2376" w:vSpace="691" w:wrap="none" w:hAnchor="page" w:x="683" w:y="3121"/>
              <w:rPr>
                <w:sz w:val="10"/>
                <w:szCs w:val="10"/>
              </w:rPr>
            </w:pPr>
          </w:p>
        </w:tc>
      </w:tr>
    </w:tbl>
    <w:p w14:paraId="46136382" w14:textId="77777777" w:rsidR="0072615D" w:rsidRDefault="0072615D">
      <w:pPr>
        <w:framePr w:w="8990" w:h="2376" w:vSpace="691" w:wrap="none" w:hAnchor="page" w:x="683" w:y="3121"/>
        <w:spacing w:line="1" w:lineRule="exact"/>
      </w:pPr>
    </w:p>
    <w:p w14:paraId="70DD5BDF" w14:textId="77777777" w:rsidR="0072615D" w:rsidRDefault="0072615D">
      <w:pPr>
        <w:pStyle w:val="Tablecaption0"/>
        <w:framePr w:w="2328" w:h="677" w:wrap="none" w:hAnchor="page" w:x="5219" w:y="5511"/>
        <w:spacing w:line="283" w:lineRule="auto"/>
        <w:ind w:left="0"/>
        <w:rPr>
          <w:sz w:val="16"/>
          <w:szCs w:val="16"/>
        </w:rPr>
      </w:pPr>
      <w:r>
        <w:rPr>
          <w:b/>
          <w:bCs/>
          <w:sz w:val="16"/>
          <w:szCs w:val="16"/>
        </w:rPr>
        <w:t xml:space="preserve">No se necesitan más dosis: </w:t>
      </w:r>
      <w:r>
        <w:rPr>
          <w:sz w:val="16"/>
          <w:szCs w:val="16"/>
        </w:rPr>
        <w:t>si la dosis anterior se administró a los 15 meses o más</w:t>
      </w:r>
    </w:p>
    <w:p w14:paraId="771A7E8F" w14:textId="77777777" w:rsidR="0072615D" w:rsidRDefault="0072615D">
      <w:pPr>
        <w:pStyle w:val="Bodytext80"/>
        <w:framePr w:w="192" w:h="4238" w:hRule="exact" w:wrap="none" w:hAnchor="page" w:x="12390" w:y="30"/>
        <w:tabs>
          <w:tab w:val="left" w:pos="2640"/>
        </w:tabs>
        <w:textDirection w:val="tbRl"/>
      </w:pPr>
      <w:r>
        <w:rPr>
          <w:sz w:val="16"/>
          <w:szCs w:val="16"/>
        </w:rPr>
        <w:t>28</w:t>
      </w:r>
      <w:r>
        <w:rPr>
          <w:sz w:val="16"/>
          <w:szCs w:val="16"/>
        </w:rPr>
        <w:tab/>
      </w:r>
      <w:r>
        <w:t>INMUNIZACIÓN ACTIVA</w:t>
      </w:r>
    </w:p>
    <w:p w14:paraId="4E761A3A" w14:textId="77777777" w:rsidR="0072615D" w:rsidRDefault="0072615D">
      <w:pPr>
        <w:spacing w:line="360" w:lineRule="exact"/>
      </w:pPr>
    </w:p>
    <w:p w14:paraId="23D8FAAA" w14:textId="77777777" w:rsidR="0072615D" w:rsidRDefault="0072615D">
      <w:pPr>
        <w:spacing w:line="360" w:lineRule="exact"/>
      </w:pPr>
    </w:p>
    <w:p w14:paraId="56150C32" w14:textId="77777777" w:rsidR="0072615D" w:rsidRDefault="0072615D">
      <w:pPr>
        <w:spacing w:line="360" w:lineRule="exact"/>
      </w:pPr>
    </w:p>
    <w:p w14:paraId="0081BC19" w14:textId="77777777" w:rsidR="0072615D" w:rsidRDefault="0072615D">
      <w:pPr>
        <w:spacing w:line="360" w:lineRule="exact"/>
      </w:pPr>
    </w:p>
    <w:p w14:paraId="0C19CE12" w14:textId="77777777" w:rsidR="0072615D" w:rsidRDefault="0072615D">
      <w:pPr>
        <w:spacing w:line="360" w:lineRule="exact"/>
      </w:pPr>
    </w:p>
    <w:p w14:paraId="55034ADA" w14:textId="77777777" w:rsidR="0072615D" w:rsidRDefault="0072615D">
      <w:pPr>
        <w:spacing w:line="360" w:lineRule="exact"/>
      </w:pPr>
    </w:p>
    <w:p w14:paraId="7A5B6904" w14:textId="77777777" w:rsidR="0072615D" w:rsidRDefault="0072615D">
      <w:pPr>
        <w:spacing w:line="360" w:lineRule="exact"/>
      </w:pPr>
    </w:p>
    <w:p w14:paraId="1FD8C27B" w14:textId="77777777" w:rsidR="0072615D" w:rsidRDefault="0072615D">
      <w:pPr>
        <w:spacing w:line="360" w:lineRule="exact"/>
      </w:pPr>
    </w:p>
    <w:p w14:paraId="59A99E42" w14:textId="77777777" w:rsidR="0072615D" w:rsidRDefault="0072615D">
      <w:pPr>
        <w:spacing w:line="360" w:lineRule="exact"/>
      </w:pPr>
    </w:p>
    <w:p w14:paraId="5B291EF2" w14:textId="77777777" w:rsidR="0072615D" w:rsidRDefault="0072615D">
      <w:pPr>
        <w:spacing w:line="360" w:lineRule="exact"/>
      </w:pPr>
    </w:p>
    <w:p w14:paraId="53950301" w14:textId="77777777" w:rsidR="0072615D" w:rsidRDefault="0072615D">
      <w:pPr>
        <w:spacing w:line="360" w:lineRule="exact"/>
      </w:pPr>
    </w:p>
    <w:p w14:paraId="16A11615" w14:textId="77777777" w:rsidR="0072615D" w:rsidRDefault="0072615D">
      <w:pPr>
        <w:spacing w:line="360" w:lineRule="exact"/>
      </w:pPr>
    </w:p>
    <w:p w14:paraId="3CD8D981" w14:textId="77777777" w:rsidR="0072615D" w:rsidRDefault="0072615D">
      <w:pPr>
        <w:spacing w:line="360" w:lineRule="exact"/>
      </w:pPr>
    </w:p>
    <w:p w14:paraId="661CF457" w14:textId="77777777" w:rsidR="0072615D" w:rsidRDefault="0072615D">
      <w:pPr>
        <w:spacing w:line="360" w:lineRule="exact"/>
      </w:pPr>
    </w:p>
    <w:p w14:paraId="7FD69C92" w14:textId="77777777" w:rsidR="0072615D" w:rsidRDefault="0072615D">
      <w:pPr>
        <w:spacing w:line="360" w:lineRule="exact"/>
      </w:pPr>
    </w:p>
    <w:p w14:paraId="67418D9D" w14:textId="77777777" w:rsidR="0072615D" w:rsidRDefault="0072615D">
      <w:pPr>
        <w:spacing w:line="360" w:lineRule="exact"/>
      </w:pPr>
    </w:p>
    <w:p w14:paraId="58E2B48C" w14:textId="77777777" w:rsidR="0072615D" w:rsidRDefault="0072615D">
      <w:pPr>
        <w:spacing w:after="426" w:line="1" w:lineRule="exact"/>
      </w:pPr>
    </w:p>
    <w:p w14:paraId="0C354A03" w14:textId="77777777" w:rsidR="0072615D" w:rsidRDefault="0072615D">
      <w:pPr>
        <w:spacing w:line="1" w:lineRule="exact"/>
        <w:sectPr w:rsidR="0072615D" w:rsidSect="0072615D">
          <w:headerReference w:type="even" r:id="rId95"/>
          <w:headerReference w:type="default" r:id="rId96"/>
          <w:footerReference w:type="even" r:id="rId97"/>
          <w:footerReference w:type="default" r:id="rId98"/>
          <w:footnotePr>
            <w:numFmt w:val="chicago"/>
          </w:footnotePr>
          <w:pgSz w:w="13022" w:h="8501" w:orient="landscape"/>
          <w:pgMar w:top="475" w:right="442" w:bottom="1148" w:left="634" w:header="47" w:footer="3" w:gutter="0"/>
          <w:cols w:space="720"/>
          <w:noEndnote/>
          <w:docGrid w:linePitch="360"/>
          <w15:footnoteColumns w:val="1"/>
        </w:sectPr>
      </w:pPr>
    </w:p>
    <w:p w14:paraId="7364FED2" w14:textId="77777777" w:rsidR="0072615D" w:rsidRDefault="0072615D">
      <w:pPr>
        <w:pStyle w:val="Heading31"/>
        <w:keepNext/>
        <w:keepLines/>
        <w:spacing w:line="211" w:lineRule="auto"/>
        <w:jc w:val="center"/>
        <w:rPr>
          <w:sz w:val="16"/>
          <w:szCs w:val="16"/>
        </w:rPr>
        <w:sectPr w:rsidR="0072615D" w:rsidSect="0072615D">
          <w:footnotePr>
            <w:numFmt w:val="chicago"/>
          </w:footnotePr>
          <w:pgSz w:w="13022" w:h="8501" w:orient="landscape"/>
          <w:pgMar w:top="1104" w:right="1018" w:bottom="419" w:left="634" w:header="676" w:footer="3" w:gutter="0"/>
          <w:cols w:space="720"/>
          <w:noEndnote/>
          <w:docGrid w:linePitch="360"/>
          <w15:footnoteColumns w:val="1"/>
        </w:sectPr>
      </w:pPr>
      <w:bookmarkStart w:id="160" w:name="bookmark160"/>
      <w:bookmarkStart w:id="161" w:name="bookmark161"/>
      <w:bookmarkStart w:id="162" w:name="bookmark162"/>
      <w:r>
        <w:rPr>
          <w:b w:val="0"/>
          <w:bCs w:val="0"/>
        </w:rPr>
        <w:t xml:space="preserve">Cuadro 1- 6. </w:t>
      </w:r>
      <w:r>
        <w:t>Calendario para poner al día a niños y adolescentes que comenzaron tardíamente</w:t>
      </w:r>
      <w:r>
        <w:br/>
        <w:t xml:space="preserve">o que tienen un retraso mayor de un mes en sus vacunaciones* </w:t>
      </w:r>
      <w:r>
        <w:rPr>
          <w:rFonts w:ascii="Times New Roman" w:eastAsia="Times New Roman" w:hAnsi="Times New Roman" w:cs="Times New Roman"/>
          <w:b w:val="0"/>
          <w:bCs w:val="0"/>
          <w:i/>
          <w:iCs/>
          <w:w w:val="100"/>
          <w:sz w:val="16"/>
          <w:szCs w:val="16"/>
        </w:rPr>
        <w:t>continuación</w:t>
      </w:r>
      <w:bookmarkEnd w:id="160"/>
      <w:bookmarkEnd w:id="161"/>
      <w:bookmarkEnd w:id="162"/>
    </w:p>
    <w:p w14:paraId="0490C52A" w14:textId="77777777" w:rsidR="0072615D" w:rsidRDefault="0072615D">
      <w:pPr>
        <w:spacing w:line="1" w:lineRule="exact"/>
      </w:pPr>
      <w:r>
        <w:rPr>
          <w:noProof/>
        </w:rPr>
        <mc:AlternateContent>
          <mc:Choice Requires="wps">
            <w:drawing>
              <wp:anchor distT="0" distB="182880" distL="0" distR="0" simplePos="0" relativeHeight="251663360" behindDoc="0" locked="0" layoutInCell="1" allowOverlap="1" wp14:anchorId="217DAB17" wp14:editId="6D194AF9">
                <wp:simplePos x="0" y="0"/>
                <wp:positionH relativeFrom="page">
                  <wp:posOffset>420370</wp:posOffset>
                </wp:positionH>
                <wp:positionV relativeFrom="paragraph">
                  <wp:posOffset>12700</wp:posOffset>
                </wp:positionV>
                <wp:extent cx="7184390" cy="725170"/>
                <wp:effectExtent l="0" t="0" r="0" b="0"/>
                <wp:wrapTopAndBottom/>
                <wp:docPr id="96" name="Shape 96"/>
                <wp:cNvGraphicFramePr/>
                <a:graphic xmlns:a="http://schemas.openxmlformats.org/drawingml/2006/main">
                  <a:graphicData uri="http://schemas.microsoft.com/office/word/2010/wordprocessingShape">
                    <wps:wsp>
                      <wps:cNvSpPr txBox="1"/>
                      <wps:spPr>
                        <a:xfrm>
                          <a:off x="0" y="0"/>
                          <a:ext cx="7184390" cy="72517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757"/>
                              <w:gridCol w:w="6907"/>
                              <w:gridCol w:w="2650"/>
                            </w:tblGrid>
                            <w:tr w:rsidR="0072615D" w14:paraId="69C03C3C" w14:textId="77777777">
                              <w:tblPrEx>
                                <w:tblCellMar>
                                  <w:top w:w="0" w:type="dxa"/>
                                  <w:bottom w:w="0" w:type="dxa"/>
                                </w:tblCellMar>
                              </w:tblPrEx>
                              <w:trPr>
                                <w:trHeight w:hRule="exact" w:val="264"/>
                                <w:tblHeader/>
                              </w:trPr>
                              <w:tc>
                                <w:tcPr>
                                  <w:tcW w:w="11314" w:type="dxa"/>
                                  <w:gridSpan w:val="3"/>
                                  <w:shd w:val="clear" w:color="auto" w:fill="231F20"/>
                                  <w:vAlign w:val="bottom"/>
                                </w:tcPr>
                                <w:p w14:paraId="22246841"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Niños de cuatro meses a seis años de edad</w:t>
                                  </w:r>
                                </w:p>
                              </w:tc>
                            </w:tr>
                            <w:tr w:rsidR="0072615D" w14:paraId="40027991" w14:textId="77777777">
                              <w:tblPrEx>
                                <w:tblCellMar>
                                  <w:top w:w="0" w:type="dxa"/>
                                  <w:bottom w:w="0" w:type="dxa"/>
                                </w:tblCellMar>
                              </w:tblPrEx>
                              <w:trPr>
                                <w:trHeight w:hRule="exact" w:val="566"/>
                              </w:trPr>
                              <w:tc>
                                <w:tcPr>
                                  <w:tcW w:w="1757" w:type="dxa"/>
                                  <w:tcBorders>
                                    <w:top w:val="single" w:sz="4" w:space="0" w:color="auto"/>
                                  </w:tcBorders>
                                  <w:shd w:val="clear" w:color="auto" w:fill="231F20"/>
                                  <w:vAlign w:val="bottom"/>
                                </w:tcPr>
                                <w:p w14:paraId="0ED3B39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Dosis 1</w:t>
                                  </w:r>
                                </w:p>
                              </w:tc>
                              <w:tc>
                                <w:tcPr>
                                  <w:tcW w:w="9557" w:type="dxa"/>
                                  <w:gridSpan w:val="2"/>
                                  <w:tcBorders>
                                    <w:top w:val="single" w:sz="4" w:space="0" w:color="auto"/>
                                  </w:tcBorders>
                                  <w:shd w:val="clear" w:color="auto" w:fill="231F20"/>
                                </w:tcPr>
                                <w:p w14:paraId="6A9DBA5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Intervalo mínimo entre una y otra dosis</w:t>
                                  </w:r>
                                </w:p>
                              </w:tc>
                            </w:tr>
                            <w:tr w:rsidR="0072615D" w14:paraId="63655423" w14:textId="77777777">
                              <w:tblPrEx>
                                <w:tblCellMar>
                                  <w:top w:w="0" w:type="dxa"/>
                                  <w:bottom w:w="0" w:type="dxa"/>
                                </w:tblCellMar>
                              </w:tblPrEx>
                              <w:trPr>
                                <w:trHeight w:hRule="exact" w:val="312"/>
                              </w:trPr>
                              <w:tc>
                                <w:tcPr>
                                  <w:tcW w:w="1757" w:type="dxa"/>
                                  <w:shd w:val="clear" w:color="auto" w:fill="231F20"/>
                                </w:tcPr>
                                <w:p w14:paraId="39FE80F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(edad mínima)</w:t>
                                  </w:r>
                                </w:p>
                              </w:tc>
                              <w:tc>
                                <w:tcPr>
                                  <w:tcW w:w="6907" w:type="dxa"/>
                                  <w:tcBorders>
                                    <w:top w:val="single" w:sz="4" w:space="0" w:color="auto"/>
                                  </w:tcBorders>
                                  <w:shd w:val="clear" w:color="auto" w:fill="231F20"/>
                                </w:tcPr>
                                <w:p w14:paraId="73A6AD5E"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tabs>
                                      <w:tab w:val="left" w:pos="2814"/>
                                      <w:tab w:val="left" w:pos="5061"/>
                                    </w:tabs>
                                    <w:spacing w:line="240" w:lineRule="auto"/>
                                    <w:ind w:firstLine="520"/>
                                    <w:rPr>
                                      <w:sz w:val="24"/>
                                      <w:szCs w:val="24"/>
                                    </w:rPr>
                                  </w:pPr>
                                  <w:r>
                                    <w:rPr>
                                      <w:rFonts w:ascii="Arial" w:eastAsia="Arial" w:hAnsi="Arial" w:cs="Arial"/>
                                      <w:b/>
                                      <w:bCs/>
                                      <w:color w:val="FFFFFF"/>
                                      <w:w w:val="70"/>
                                      <w:sz w:val="24"/>
                                      <w:szCs w:val="24"/>
                                    </w:rPr>
                                    <w:t>Dosis 1 a dosis 2</w:t>
                                  </w:r>
                                  <w:r>
                                    <w:rPr>
                                      <w:rFonts w:ascii="Arial" w:eastAsia="Arial" w:hAnsi="Arial" w:cs="Arial"/>
                                      <w:b/>
                                      <w:bCs/>
                                      <w:color w:val="FFFFFF"/>
                                      <w:w w:val="70"/>
                                      <w:sz w:val="24"/>
                                      <w:szCs w:val="24"/>
                                    </w:rPr>
                                    <w:tab/>
                                    <w:t>Dosis 2 a dosis 3</w:t>
                                  </w:r>
                                  <w:r>
                                    <w:rPr>
                                      <w:rFonts w:ascii="Arial" w:eastAsia="Arial" w:hAnsi="Arial" w:cs="Arial"/>
                                      <w:b/>
                                      <w:bCs/>
                                      <w:color w:val="FFFFFF"/>
                                      <w:w w:val="70"/>
                                      <w:sz w:val="24"/>
                                      <w:szCs w:val="24"/>
                                    </w:rPr>
                                    <w:tab/>
                                    <w:t>Dosis 3 a dosis 4</w:t>
                                  </w:r>
                                </w:p>
                              </w:tc>
                              <w:tc>
                                <w:tcPr>
                                  <w:tcW w:w="2650" w:type="dxa"/>
                                  <w:tcBorders>
                                    <w:top w:val="single" w:sz="4" w:space="0" w:color="auto"/>
                                  </w:tcBorders>
                                  <w:shd w:val="clear" w:color="auto" w:fill="231F20"/>
                                </w:tcPr>
                                <w:p w14:paraId="5C55D1FA"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Dosis 4 a dosis 5</w:t>
                                  </w:r>
                                </w:p>
                              </w:tc>
                            </w:tr>
                          </w:tbl>
                          <w:p w14:paraId="4159A745" w14:textId="77777777" w:rsidR="0072615D" w:rsidRDefault="0072615D">
                            <w:pPr>
                              <w:spacing w:line="1" w:lineRule="exact"/>
                            </w:pPr>
                          </w:p>
                        </w:txbxContent>
                      </wps:txbx>
                      <wps:bodyPr lIns="0" tIns="0" rIns="0" bIns="0"/>
                    </wps:wsp>
                  </a:graphicData>
                </a:graphic>
              </wp:anchor>
            </w:drawing>
          </mc:Choice>
          <mc:Fallback>
            <w:pict>
              <v:shape w14:anchorId="217DAB17" id="Shape 96" o:spid="_x0000_s1030" type="#_x0000_t202" style="position:absolute;margin-left:33.1pt;margin-top:1pt;width:565.7pt;height:57.1pt;z-index:251663360;visibility:visible;mso-wrap-style:square;mso-wrap-distance-left:0;mso-wrap-distance-top:0;mso-wrap-distance-right:0;mso-wrap-distance-bottom:14.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757"/>
                        <w:gridCol w:w="6907"/>
                        <w:gridCol w:w="2650"/>
                      </w:tblGrid>
                      <w:tr w:rsidR="0072615D" w14:paraId="69C03C3C" w14:textId="77777777">
                        <w:tblPrEx>
                          <w:tblCellMar>
                            <w:top w:w="0" w:type="dxa"/>
                            <w:bottom w:w="0" w:type="dxa"/>
                          </w:tblCellMar>
                        </w:tblPrEx>
                        <w:trPr>
                          <w:trHeight w:hRule="exact" w:val="264"/>
                          <w:tblHeader/>
                        </w:trPr>
                        <w:tc>
                          <w:tcPr>
                            <w:tcW w:w="11314" w:type="dxa"/>
                            <w:gridSpan w:val="3"/>
                            <w:shd w:val="clear" w:color="auto" w:fill="231F20"/>
                            <w:vAlign w:val="bottom"/>
                          </w:tcPr>
                          <w:p w14:paraId="22246841"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Niños de cuatro meses a seis años de edad</w:t>
                            </w:r>
                          </w:p>
                        </w:tc>
                      </w:tr>
                      <w:tr w:rsidR="0072615D" w14:paraId="40027991" w14:textId="77777777">
                        <w:tblPrEx>
                          <w:tblCellMar>
                            <w:top w:w="0" w:type="dxa"/>
                            <w:bottom w:w="0" w:type="dxa"/>
                          </w:tblCellMar>
                        </w:tblPrEx>
                        <w:trPr>
                          <w:trHeight w:hRule="exact" w:val="566"/>
                        </w:trPr>
                        <w:tc>
                          <w:tcPr>
                            <w:tcW w:w="1757" w:type="dxa"/>
                            <w:tcBorders>
                              <w:top w:val="single" w:sz="4" w:space="0" w:color="auto"/>
                            </w:tcBorders>
                            <w:shd w:val="clear" w:color="auto" w:fill="231F20"/>
                            <w:vAlign w:val="bottom"/>
                          </w:tcPr>
                          <w:p w14:paraId="0ED3B39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Dosis 1</w:t>
                            </w:r>
                          </w:p>
                        </w:tc>
                        <w:tc>
                          <w:tcPr>
                            <w:tcW w:w="9557" w:type="dxa"/>
                            <w:gridSpan w:val="2"/>
                            <w:tcBorders>
                              <w:top w:val="single" w:sz="4" w:space="0" w:color="auto"/>
                            </w:tcBorders>
                            <w:shd w:val="clear" w:color="auto" w:fill="231F20"/>
                          </w:tcPr>
                          <w:p w14:paraId="6A9DBA5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Intervalo mínimo entre una y otra dosis</w:t>
                            </w:r>
                          </w:p>
                        </w:tc>
                      </w:tr>
                      <w:tr w:rsidR="0072615D" w14:paraId="63655423" w14:textId="77777777">
                        <w:tblPrEx>
                          <w:tblCellMar>
                            <w:top w:w="0" w:type="dxa"/>
                            <w:bottom w:w="0" w:type="dxa"/>
                          </w:tblCellMar>
                        </w:tblPrEx>
                        <w:trPr>
                          <w:trHeight w:hRule="exact" w:val="312"/>
                        </w:trPr>
                        <w:tc>
                          <w:tcPr>
                            <w:tcW w:w="1757" w:type="dxa"/>
                            <w:shd w:val="clear" w:color="auto" w:fill="231F20"/>
                          </w:tcPr>
                          <w:p w14:paraId="39FE80F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(edad mínima)</w:t>
                            </w:r>
                          </w:p>
                        </w:tc>
                        <w:tc>
                          <w:tcPr>
                            <w:tcW w:w="6907" w:type="dxa"/>
                            <w:tcBorders>
                              <w:top w:val="single" w:sz="4" w:space="0" w:color="auto"/>
                            </w:tcBorders>
                            <w:shd w:val="clear" w:color="auto" w:fill="231F20"/>
                          </w:tcPr>
                          <w:p w14:paraId="73A6AD5E"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tabs>
                                <w:tab w:val="left" w:pos="2814"/>
                                <w:tab w:val="left" w:pos="5061"/>
                              </w:tabs>
                              <w:spacing w:line="240" w:lineRule="auto"/>
                              <w:ind w:firstLine="520"/>
                              <w:rPr>
                                <w:sz w:val="24"/>
                                <w:szCs w:val="24"/>
                              </w:rPr>
                            </w:pPr>
                            <w:r>
                              <w:rPr>
                                <w:rFonts w:ascii="Arial" w:eastAsia="Arial" w:hAnsi="Arial" w:cs="Arial"/>
                                <w:b/>
                                <w:bCs/>
                                <w:color w:val="FFFFFF"/>
                                <w:w w:val="70"/>
                                <w:sz w:val="24"/>
                                <w:szCs w:val="24"/>
                              </w:rPr>
                              <w:t>Dosis 1 a dosis 2</w:t>
                            </w:r>
                            <w:r>
                              <w:rPr>
                                <w:rFonts w:ascii="Arial" w:eastAsia="Arial" w:hAnsi="Arial" w:cs="Arial"/>
                                <w:b/>
                                <w:bCs/>
                                <w:color w:val="FFFFFF"/>
                                <w:w w:val="70"/>
                                <w:sz w:val="24"/>
                                <w:szCs w:val="24"/>
                              </w:rPr>
                              <w:tab/>
                              <w:t>Dosis 2 a dosis 3</w:t>
                            </w:r>
                            <w:r>
                              <w:rPr>
                                <w:rFonts w:ascii="Arial" w:eastAsia="Arial" w:hAnsi="Arial" w:cs="Arial"/>
                                <w:b/>
                                <w:bCs/>
                                <w:color w:val="FFFFFF"/>
                                <w:w w:val="70"/>
                                <w:sz w:val="24"/>
                                <w:szCs w:val="24"/>
                              </w:rPr>
                              <w:tab/>
                              <w:t>Dosis 3 a dosis 4</w:t>
                            </w:r>
                          </w:p>
                        </w:tc>
                        <w:tc>
                          <w:tcPr>
                            <w:tcW w:w="2650" w:type="dxa"/>
                            <w:tcBorders>
                              <w:top w:val="single" w:sz="4" w:space="0" w:color="auto"/>
                            </w:tcBorders>
                            <w:shd w:val="clear" w:color="auto" w:fill="231F20"/>
                          </w:tcPr>
                          <w:p w14:paraId="5C55D1FA"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Dosis 4 a dosis 5</w:t>
                            </w:r>
                          </w:p>
                        </w:tc>
                      </w:tr>
                    </w:tbl>
                    <w:p w14:paraId="4159A745" w14:textId="77777777" w:rsidR="0072615D" w:rsidRDefault="0072615D">
                      <w:pPr>
                        <w:spacing w:line="1" w:lineRule="exact"/>
                      </w:pPr>
                    </w:p>
                  </w:txbxContent>
                </v:textbox>
                <w10:wrap type="topAndBottom" anchorx="page"/>
              </v:shape>
            </w:pict>
          </mc:Fallback>
        </mc:AlternateContent>
      </w:r>
      <w:r>
        <w:rPr>
          <w:noProof/>
        </w:rPr>
        <mc:AlternateContent>
          <mc:Choice Requires="wps">
            <w:drawing>
              <wp:anchor distT="0" distB="0" distL="0" distR="0" simplePos="0" relativeHeight="251693056" behindDoc="0" locked="0" layoutInCell="1" allowOverlap="1" wp14:anchorId="7E5E2671" wp14:editId="7CF5C425">
                <wp:simplePos x="0" y="0"/>
                <wp:positionH relativeFrom="page">
                  <wp:posOffset>432435</wp:posOffset>
                </wp:positionH>
                <wp:positionV relativeFrom="paragraph">
                  <wp:posOffset>774700</wp:posOffset>
                </wp:positionV>
                <wp:extent cx="862330" cy="146050"/>
                <wp:effectExtent l="0" t="0" r="0" b="0"/>
                <wp:wrapNone/>
                <wp:docPr id="98" name="Shape 98"/>
                <wp:cNvGraphicFramePr/>
                <a:graphic xmlns:a="http://schemas.openxmlformats.org/drawingml/2006/main">
                  <a:graphicData uri="http://schemas.microsoft.com/office/word/2010/wordprocessingShape">
                    <wps:wsp>
                      <wps:cNvSpPr txBox="1"/>
                      <wps:spPr>
                        <a:xfrm>
                          <a:off x="0" y="0"/>
                          <a:ext cx="862330" cy="146050"/>
                        </a:xfrm>
                        <a:prstGeom prst="rect">
                          <a:avLst/>
                        </a:prstGeom>
                        <a:noFill/>
                      </wps:spPr>
                      <wps:txbx>
                        <w:txbxContent>
                          <w:p w14:paraId="7B0C74BA" w14:textId="77777777" w:rsidR="0072615D" w:rsidRDefault="0072615D">
                            <w:pPr>
                              <w:pStyle w:val="Tablecaption0"/>
                              <w:spacing w:line="240" w:lineRule="auto"/>
                              <w:ind w:left="0"/>
                              <w:rPr>
                                <w:sz w:val="16"/>
                                <w:szCs w:val="16"/>
                              </w:rPr>
                            </w:pPr>
                            <w:r>
                              <w:rPr>
                                <w:sz w:val="16"/>
                                <w:szCs w:val="16"/>
                              </w:rPr>
                              <w:t>PCV</w:t>
                            </w:r>
                            <w:r>
                              <w:rPr>
                                <w:sz w:val="16"/>
                                <w:szCs w:val="16"/>
                                <w:vertAlign w:val="superscript"/>
                              </w:rPr>
                              <w:t>7</w:t>
                            </w:r>
                            <w:r>
                              <w:rPr>
                                <w:sz w:val="16"/>
                                <w:szCs w:val="16"/>
                              </w:rPr>
                              <w:t>: (6 semanas)</w:t>
                            </w:r>
                          </w:p>
                        </w:txbxContent>
                      </wps:txbx>
                      <wps:bodyPr lIns="0" tIns="0" rIns="0" bIns="0"/>
                    </wps:wsp>
                  </a:graphicData>
                </a:graphic>
              </wp:anchor>
            </w:drawing>
          </mc:Choice>
          <mc:Fallback>
            <w:pict>
              <v:shape w14:anchorId="7E5E2671" id="Shape 98" o:spid="_x0000_s1031" type="#_x0000_t202" style="position:absolute;margin-left:34.05pt;margin-top:61pt;width:67.9pt;height:11.5pt;z-index:2516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" filled="f" stroked="f">
                <v:textbox inset="0,0,0,0">
                  <w:txbxContent>
                    <w:p w14:paraId="7B0C74BA" w14:textId="77777777" w:rsidR="0072615D" w:rsidRDefault="0072615D">
                      <w:pPr>
                        <w:pStyle w:val="Tablecaption0"/>
                        <w:spacing w:line="240" w:lineRule="auto"/>
                        <w:ind w:left="0"/>
                        <w:rPr>
                          <w:sz w:val="16"/>
                          <w:szCs w:val="16"/>
                        </w:rPr>
                      </w:pPr>
                      <w:r>
                        <w:rPr>
                          <w:sz w:val="16"/>
                          <w:szCs w:val="16"/>
                        </w:rPr>
                        <w:t>PCV</w:t>
                      </w:r>
                      <w:r>
                        <w:rPr>
                          <w:sz w:val="16"/>
                          <w:szCs w:val="16"/>
                          <w:vertAlign w:val="superscript"/>
                        </w:rPr>
                        <w:t>7</w:t>
                      </w:r>
                      <w:r>
                        <w:rPr>
                          <w:sz w:val="16"/>
                          <w:szCs w:val="16"/>
                        </w:rPr>
                        <w:t>: (6 semanas)</w:t>
                      </w:r>
                    </w:p>
                  </w:txbxContent>
                </v:textbox>
                <w10:wrap anchorx="page"/>
              </v:shape>
            </w:pict>
          </mc:Fallback>
        </mc:AlternateContent>
      </w:r>
      <w:r>
        <w:rPr>
          <w:noProof/>
        </w:rPr>
        <mc:AlternateContent>
          <mc:Choice Requires="wps">
            <w:drawing>
              <wp:anchor distT="0" distB="0" distL="114300" distR="114300" simplePos="0" relativeHeight="251664384" behindDoc="0" locked="0" layoutInCell="1" allowOverlap="1" wp14:anchorId="7B72AC75" wp14:editId="794F0FCB">
                <wp:simplePos x="0" y="0"/>
                <wp:positionH relativeFrom="page">
                  <wp:posOffset>7867015</wp:posOffset>
                </wp:positionH>
                <wp:positionV relativeFrom="paragraph">
                  <wp:posOffset>1310640</wp:posOffset>
                </wp:positionV>
                <wp:extent cx="121920" cy="2679065"/>
                <wp:effectExtent l="0" t="0" r="0" b="0"/>
                <wp:wrapSquare wrapText="bothSides"/>
                <wp:docPr id="100" name="Shape 100"/>
                <wp:cNvGraphicFramePr/>
                <a:graphic xmlns:a="http://schemas.openxmlformats.org/drawingml/2006/main">
                  <a:graphicData uri="http://schemas.microsoft.com/office/word/2010/wordprocessingShape">
                    <wps:wsp>
                      <wps:cNvSpPr txBox="1"/>
                      <wps:spPr>
                        <a:xfrm>
                          <a:off x="0" y="0"/>
                          <a:ext cx="121920" cy="2679065"/>
                        </a:xfrm>
                        <a:prstGeom prst="rect">
                          <a:avLst/>
                        </a:prstGeom>
                        <a:noFill/>
                      </wps:spPr>
                      <wps:txbx>
                        <w:txbxContent>
                          <w:p w14:paraId="65128E78" w14:textId="77777777" w:rsidR="0072615D" w:rsidRDefault="0072615D">
                            <w:pPr>
                              <w:pStyle w:val="Bodytext80"/>
                              <w:tabs>
                                <w:tab w:val="left" w:pos="3994"/>
                              </w:tabs>
                              <w:rPr>
                                <w:sz w:val="16"/>
                                <w:szCs w:val="16"/>
                              </w:rPr>
                            </w:pPr>
                            <w:r>
                              <w:t>INMUNIZACIÓN ACTIVA</w:t>
                            </w:r>
                            <w:r>
                              <w:tab/>
                            </w:r>
                            <w:r>
                              <w:rPr>
                                <w:sz w:val="16"/>
                                <w:szCs w:val="16"/>
                              </w:rPr>
                              <w:t>29</w:t>
                            </w:r>
                          </w:p>
                        </w:txbxContent>
                      </wps:txbx>
                      <wps:bodyPr vert="vert" lIns="0" tIns="0" rIns="0" bIns="0" upright="1"/>
                    </wps:wsp>
                  </a:graphicData>
                </a:graphic>
              </wp:anchor>
            </w:drawing>
          </mc:Choice>
          <mc:Fallback>
            <w:pict>
              <v:shape w14:anchorId="7B72AC75" id="Shape 100" o:spid="_x0000_s1032" type="#_x0000_t202" style="position:absolute;margin-left:619.45pt;margin-top:103.2pt;width:9.6pt;height:210.95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" filled="f" stroked="f">
                <v:textbox style="layout-flow:vertical" inset="0,0,0,0">
                  <w:txbxContent>
                    <w:p w14:paraId="65128E78" w14:textId="77777777" w:rsidR="0072615D" w:rsidRDefault="0072615D">
                      <w:pPr>
                        <w:pStyle w:val="Bodytext80"/>
                        <w:tabs>
                          <w:tab w:val="left" w:pos="3994"/>
                        </w:tabs>
                        <w:rPr>
                          <w:sz w:val="16"/>
                          <w:szCs w:val="16"/>
                        </w:rPr>
                      </w:pPr>
                      <w:r>
                        <w:t>INMUNIZACIÓN ACTIVA</w:t>
                      </w:r>
                      <w:r>
                        <w:tab/>
                      </w:r>
                      <w:r>
                        <w:rPr>
                          <w:sz w:val="16"/>
                          <w:szCs w:val="16"/>
                        </w:rPr>
                        <w:t>29</w:t>
                      </w:r>
                    </w:p>
                  </w:txbxContent>
                </v:textbox>
                <w10:wrap type="square" anchorx="page"/>
              </v:shape>
            </w:pict>
          </mc:Fallback>
        </mc:AlternateContent>
      </w:r>
    </w:p>
    <w:p w14:paraId="40E88DEF" w14:textId="77777777" w:rsidR="0072615D" w:rsidRDefault="0072615D">
      <w:pPr>
        <w:pStyle w:val="Bodytext20"/>
      </w:pPr>
      <w:r>
        <w:rPr>
          <w:b/>
          <w:bCs/>
        </w:rPr>
        <w:t xml:space="preserve">4 semanas: </w:t>
      </w:r>
      <w:r>
        <w:t>si la primera dosis se administró antes de los 12 meses de vida y el niño tiene actualmente menos de 24 meses</w:t>
      </w:r>
    </w:p>
    <w:p w14:paraId="3499F413" w14:textId="77777777" w:rsidR="0072615D" w:rsidRDefault="0072615D">
      <w:pPr>
        <w:pStyle w:val="Bodytext20"/>
        <w:numPr>
          <w:ilvl w:val="0"/>
          <w:numId w:val="23"/>
        </w:numPr>
        <w:tabs>
          <w:tab w:val="left" w:pos="222"/>
        </w:tabs>
      </w:pPr>
      <w:bookmarkStart w:id="163" w:name="bookmark163"/>
      <w:bookmarkEnd w:id="163"/>
      <w:r>
        <w:rPr>
          <w:b/>
          <w:bCs/>
        </w:rPr>
        <w:t xml:space="preserve">semanas (dosis final): </w:t>
      </w:r>
      <w:r>
        <w:t>si la primera dosis se administró a los 12 meses de vida o más o el niño tiene 24 a 59 meses actualmente</w:t>
      </w:r>
    </w:p>
    <w:p w14:paraId="1135461C" w14:textId="77777777" w:rsidR="0072615D" w:rsidRDefault="0072615D">
      <w:pPr>
        <w:pStyle w:val="Bodytext20"/>
      </w:pPr>
      <w:r>
        <w:rPr>
          <w:b/>
          <w:bCs/>
        </w:rPr>
        <w:t xml:space="preserve">No se necesitan más dosis: </w:t>
      </w:r>
      <w:r>
        <w:t>en el caso de niños sanos si recibieron la primera dosis a los 24 meses de vida o más</w:t>
      </w:r>
    </w:p>
    <w:p w14:paraId="43CF6568" w14:textId="77777777" w:rsidR="0072615D" w:rsidRDefault="0072615D">
      <w:pPr>
        <w:pStyle w:val="Bodytext20"/>
      </w:pPr>
      <w:r>
        <w:rPr>
          <w:b/>
          <w:bCs/>
        </w:rPr>
        <w:t xml:space="preserve">4 semanas: </w:t>
      </w:r>
      <w:r>
        <w:t>si el niño tiene actualmente menos de</w:t>
      </w:r>
    </w:p>
    <w:p w14:paraId="06721A55" w14:textId="77777777" w:rsidR="0072615D" w:rsidRDefault="0072615D">
      <w:pPr>
        <w:pStyle w:val="Bodytext20"/>
        <w:jc w:val="both"/>
      </w:pPr>
      <w:r>
        <w:t>12 meses</w:t>
      </w:r>
    </w:p>
    <w:p w14:paraId="6268D04C" w14:textId="77777777" w:rsidR="0072615D" w:rsidRDefault="0072615D">
      <w:pPr>
        <w:pStyle w:val="Bodytext20"/>
      </w:pPr>
      <w:r>
        <w:rPr>
          <w:b/>
          <w:bCs/>
        </w:rPr>
        <w:t xml:space="preserve">8 semanas (dosis final): </w:t>
      </w:r>
      <w:r>
        <w:t>si el</w:t>
      </w:r>
    </w:p>
    <w:p w14:paraId="6A0BCDE5" w14:textId="77777777" w:rsidR="0072615D" w:rsidRDefault="0072615D">
      <w:pPr>
        <w:pStyle w:val="Bodytext20"/>
      </w:pPr>
      <w:r>
        <w:t>niño tiene 12 meses actualmente o más</w:t>
      </w:r>
    </w:p>
    <w:p w14:paraId="61E6C5AC" w14:textId="77777777" w:rsidR="0072615D" w:rsidRDefault="0072615D">
      <w:pPr>
        <w:pStyle w:val="Bodytext20"/>
      </w:pPr>
      <w:r>
        <w:rPr>
          <w:b/>
          <w:bCs/>
        </w:rPr>
        <w:t>No se necesitan más dosis:</w:t>
      </w:r>
    </w:p>
    <w:p w14:paraId="6D3A3E82" w14:textId="77777777" w:rsidR="0072615D" w:rsidRDefault="0072615D">
      <w:pPr>
        <w:pStyle w:val="Bodytext20"/>
      </w:pPr>
      <w:r>
        <w:t>para niños sanos, si recibieron la dosis previa a los 24 meses o más</w:t>
      </w:r>
    </w:p>
    <w:p w14:paraId="6E7CF80F" w14:textId="77777777" w:rsidR="0072615D" w:rsidRDefault="0072615D">
      <w:pPr>
        <w:pStyle w:val="Bodytext20"/>
        <w:sectPr w:rsidR="0072615D" w:rsidSect="0072615D">
          <w:footnotePr>
            <w:numFmt w:val="chicago"/>
          </w:footnotePr>
          <w:type w:val="continuous"/>
          <w:pgSz w:w="13022" w:h="8501" w:orient="landscape"/>
          <w:pgMar w:top="1104" w:right="3364" w:bottom="419" w:left="2918" w:header="0" w:footer="3" w:gutter="0"/>
          <w:cols w:num="3" w:space="100"/>
          <w:noEndnote/>
          <w:docGrid w:linePitch="360"/>
          <w15:footnoteColumns w:val="1"/>
        </w:sectPr>
      </w:pPr>
      <w:r>
        <w:rPr>
          <w:b/>
          <w:bCs/>
        </w:rPr>
        <w:t xml:space="preserve">8 semanas (dosis final): </w:t>
      </w:r>
      <w:r>
        <w:t>esta dosis será necesaria sólo en niños de 12 meses a cinco años que recibieron tres dosis antes de cumplir 12 meses</w:t>
      </w:r>
    </w:p>
    <w:p w14:paraId="4B455AF3" w14:textId="77777777" w:rsidR="0072615D" w:rsidRDefault="0072615D">
      <w:pPr>
        <w:pStyle w:val="Heading31"/>
        <w:keepNext/>
        <w:keepLines/>
        <w:framePr w:w="8592" w:h="562" w:wrap="none" w:hAnchor="page" w:x="2046" w:y="1"/>
        <w:spacing w:line="211" w:lineRule="auto"/>
        <w:jc w:val="center"/>
        <w:rPr>
          <w:sz w:val="16"/>
          <w:szCs w:val="16"/>
        </w:rPr>
      </w:pPr>
      <w:bookmarkStart w:id="164" w:name="bookmark164"/>
      <w:bookmarkStart w:id="165" w:name="bookmark165"/>
      <w:bookmarkStart w:id="166" w:name="bookmark166"/>
      <w:r>
        <w:rPr>
          <w:b w:val="0"/>
          <w:bCs w:val="0"/>
        </w:rPr>
        <w:t xml:space="preserve">Cuadro 1- 6. </w:t>
      </w:r>
      <w:r>
        <w:t>Calendario para poner al día a niños y adolescentes que comenzaron tardíamente</w:t>
      </w:r>
      <w:r>
        <w:br/>
        <w:t xml:space="preserve">o que tienen un retraso mayor de un mes en sus vacunaciones* </w:t>
      </w:r>
      <w:r>
        <w:rPr>
          <w:rFonts w:ascii="Times New Roman" w:eastAsia="Times New Roman" w:hAnsi="Times New Roman" w:cs="Times New Roman"/>
          <w:b w:val="0"/>
          <w:bCs w:val="0"/>
          <w:i/>
          <w:iCs/>
          <w:w w:val="100"/>
          <w:sz w:val="16"/>
          <w:szCs w:val="16"/>
        </w:rPr>
        <w:t>continuación</w:t>
      </w:r>
      <w:bookmarkEnd w:id="164"/>
      <w:bookmarkEnd w:id="165"/>
      <w:bookmarkEnd w:id="166"/>
    </w:p>
    <w:tbl>
      <w:tblPr>
        <w:tblOverlap w:val="never"/>
        <w:tblW w:w="0" w:type="auto"/>
        <w:tblLayout w:type="fixed"/>
        <w:tblCellMar>
          <w:left w:w="10" w:type="dxa"/>
          <w:right w:w="10" w:type="dxa"/>
        </w:tblCellMar>
        <w:tblLook w:val="04A0" w:firstRow="1" w:lastRow="0" w:firstColumn="1" w:lastColumn="0" w:noHBand="0" w:noVBand="1"/>
      </w:tblPr>
      <w:tblGrid>
        <w:gridCol w:w="11314"/>
      </w:tblGrid>
      <w:tr w:rsidR="0072615D" w14:paraId="3DB2BD0E" w14:textId="77777777">
        <w:tblPrEx>
          <w:tblCellMar>
            <w:top w:w="0" w:type="dxa"/>
            <w:bottom w:w="0" w:type="dxa"/>
          </w:tblCellMar>
        </w:tblPrEx>
        <w:trPr>
          <w:trHeight w:hRule="exact" w:val="278"/>
        </w:trPr>
        <w:tc>
          <w:tcPr>
            <w:tcW w:w="11314" w:type="dxa"/>
            <w:shd w:val="clear" w:color="auto" w:fill="231F20"/>
            <w:vAlign w:val="bottom"/>
          </w:tcPr>
          <w:p w14:paraId="3EBEEDBA" w14:textId="77777777" w:rsidR="0072615D" w:rsidRDefault="0072615D">
            <w:pPr>
              <w:pStyle w:val="Other0"/>
              <w:framePr w:w="11314" w:h="888" w:hSpace="43" w:vSpace="288" w:wrap="none" w:hAnchor="page" w:x="663" w:y="611"/>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Niños de siete a 18 años de edad</w:t>
            </w:r>
          </w:p>
        </w:tc>
      </w:tr>
      <w:tr w:rsidR="0072615D" w14:paraId="1186637B" w14:textId="77777777">
        <w:tblPrEx>
          <w:tblCellMar>
            <w:top w:w="0" w:type="dxa"/>
            <w:bottom w:w="0" w:type="dxa"/>
          </w:tblCellMar>
        </w:tblPrEx>
        <w:trPr>
          <w:trHeight w:hRule="exact" w:val="278"/>
        </w:trPr>
        <w:tc>
          <w:tcPr>
            <w:tcW w:w="11314" w:type="dxa"/>
            <w:shd w:val="clear" w:color="auto" w:fill="231F20"/>
            <w:vAlign w:val="bottom"/>
          </w:tcPr>
          <w:p w14:paraId="0D0B9CAD" w14:textId="77777777" w:rsidR="0072615D" w:rsidRDefault="0072615D">
            <w:pPr>
              <w:pStyle w:val="Other0"/>
              <w:framePr w:w="11314" w:h="888" w:hSpace="43" w:vSpace="288" w:wrap="none" w:hAnchor="page" w:x="663" w:y="611"/>
              <w:pBdr>
                <w:top w:val="single" w:sz="0" w:space="0" w:color="231F20"/>
                <w:left w:val="single" w:sz="0" w:space="0" w:color="231F20"/>
                <w:bottom w:val="single" w:sz="0" w:space="0" w:color="231F20"/>
                <w:right w:val="single" w:sz="0" w:space="0" w:color="231F20"/>
              </w:pBdr>
              <w:shd w:val="clear" w:color="auto" w:fill="231F20"/>
              <w:spacing w:line="240" w:lineRule="auto"/>
              <w:ind w:left="4460" w:firstLine="0"/>
              <w:rPr>
                <w:sz w:val="24"/>
                <w:szCs w:val="24"/>
              </w:rPr>
            </w:pPr>
            <w:r>
              <w:rPr>
                <w:rFonts w:ascii="Arial" w:eastAsia="Arial" w:hAnsi="Arial" w:cs="Arial"/>
                <w:b/>
                <w:bCs/>
                <w:color w:val="FFFFFF"/>
                <w:w w:val="70"/>
                <w:sz w:val="24"/>
                <w:szCs w:val="24"/>
              </w:rPr>
              <w:t>Intervalo mínimo entre dosis</w:t>
            </w:r>
          </w:p>
        </w:tc>
      </w:tr>
      <w:tr w:rsidR="0072615D" w14:paraId="6A8A9141" w14:textId="77777777">
        <w:tblPrEx>
          <w:tblCellMar>
            <w:top w:w="0" w:type="dxa"/>
            <w:bottom w:w="0" w:type="dxa"/>
          </w:tblCellMar>
        </w:tblPrEx>
        <w:trPr>
          <w:trHeight w:hRule="exact" w:val="331"/>
        </w:trPr>
        <w:tc>
          <w:tcPr>
            <w:tcW w:w="11314" w:type="dxa"/>
            <w:tcBorders>
              <w:top w:val="single" w:sz="4" w:space="0" w:color="auto"/>
            </w:tcBorders>
            <w:shd w:val="clear" w:color="auto" w:fill="231F20"/>
          </w:tcPr>
          <w:p w14:paraId="6BA315DC" w14:textId="77777777" w:rsidR="0072615D" w:rsidRDefault="0072615D">
            <w:pPr>
              <w:pStyle w:val="Other0"/>
              <w:framePr w:w="11314" w:h="888" w:hSpace="43" w:vSpace="288" w:wrap="none" w:hAnchor="page" w:x="663" w:y="611"/>
              <w:pBdr>
                <w:top w:val="single" w:sz="0" w:space="0" w:color="231F20"/>
                <w:left w:val="single" w:sz="0" w:space="0" w:color="231F20"/>
                <w:bottom w:val="single" w:sz="0" w:space="0" w:color="231F20"/>
                <w:right w:val="single" w:sz="0" w:space="0" w:color="231F20"/>
              </w:pBdr>
              <w:shd w:val="clear" w:color="auto" w:fill="231F20"/>
              <w:tabs>
                <w:tab w:val="left" w:pos="2846"/>
                <w:tab w:val="left" w:pos="7363"/>
              </w:tabs>
              <w:spacing w:line="240" w:lineRule="auto"/>
              <w:ind w:firstLine="0"/>
              <w:rPr>
                <w:sz w:val="24"/>
                <w:szCs w:val="24"/>
              </w:rPr>
            </w:pPr>
            <w:r>
              <w:rPr>
                <w:rFonts w:ascii="Arial" w:eastAsia="Arial" w:hAnsi="Arial" w:cs="Arial"/>
                <w:b/>
                <w:bCs/>
                <w:color w:val="FFFFFF"/>
                <w:w w:val="70"/>
                <w:sz w:val="24"/>
                <w:szCs w:val="24"/>
              </w:rPr>
              <w:t>Dosis 1 a dosis 2</w:t>
            </w:r>
            <w:r>
              <w:rPr>
                <w:rFonts w:ascii="Arial" w:eastAsia="Arial" w:hAnsi="Arial" w:cs="Arial"/>
                <w:b/>
                <w:bCs/>
                <w:color w:val="FFFFFF"/>
                <w:w w:val="70"/>
                <w:sz w:val="24"/>
                <w:szCs w:val="24"/>
              </w:rPr>
              <w:tab/>
              <w:t>Dosis 2 a dosis 3</w:t>
            </w:r>
            <w:r>
              <w:rPr>
                <w:rFonts w:ascii="Arial" w:eastAsia="Arial" w:hAnsi="Arial" w:cs="Arial"/>
                <w:b/>
                <w:bCs/>
                <w:color w:val="FFFFFF"/>
                <w:w w:val="70"/>
                <w:sz w:val="24"/>
                <w:szCs w:val="24"/>
              </w:rPr>
              <w:tab/>
              <w:t>Dosis 3 a dosis de refuerzo</w:t>
            </w:r>
          </w:p>
        </w:tc>
      </w:tr>
    </w:tbl>
    <w:p w14:paraId="60F36006" w14:textId="77777777" w:rsidR="0072615D" w:rsidRDefault="0072615D">
      <w:pPr>
        <w:framePr w:w="11314" w:h="888" w:hSpace="43" w:vSpace="288" w:wrap="none" w:hAnchor="page" w:x="663" w:y="611"/>
        <w:spacing w:line="1" w:lineRule="exact"/>
      </w:pPr>
    </w:p>
    <w:p w14:paraId="73B7B838" w14:textId="77777777" w:rsidR="0072615D" w:rsidRDefault="0072615D">
      <w:pPr>
        <w:pStyle w:val="Tablecaption0"/>
        <w:framePr w:w="1109" w:h="226" w:wrap="none" w:hAnchor="page" w:x="620" w:y="1561"/>
        <w:spacing w:line="240" w:lineRule="auto"/>
        <w:ind w:left="0"/>
        <w:rPr>
          <w:sz w:val="16"/>
          <w:szCs w:val="16"/>
        </w:rPr>
      </w:pPr>
      <w:r>
        <w:rPr>
          <w:sz w:val="16"/>
          <w:szCs w:val="16"/>
        </w:rPr>
        <w:t xml:space="preserve">Td: </w:t>
      </w:r>
      <w:r>
        <w:rPr>
          <w:b/>
          <w:bCs/>
          <w:sz w:val="16"/>
          <w:szCs w:val="16"/>
        </w:rPr>
        <w:t>4 semanas</w:t>
      </w:r>
    </w:p>
    <w:p w14:paraId="6A2327B7" w14:textId="77777777" w:rsidR="0072615D" w:rsidRDefault="0072615D">
      <w:pPr>
        <w:pStyle w:val="Tablecaption0"/>
        <w:framePr w:w="926" w:h="226" w:wrap="none" w:hAnchor="page" w:x="3505" w:y="1561"/>
        <w:spacing w:line="240" w:lineRule="auto"/>
        <w:ind w:left="0"/>
        <w:rPr>
          <w:sz w:val="16"/>
          <w:szCs w:val="16"/>
        </w:rPr>
      </w:pPr>
      <w:r>
        <w:rPr>
          <w:sz w:val="16"/>
          <w:szCs w:val="16"/>
        </w:rPr>
        <w:t xml:space="preserve">Td: </w:t>
      </w:r>
      <w:r>
        <w:rPr>
          <w:b/>
          <w:bCs/>
          <w:sz w:val="16"/>
          <w:szCs w:val="16"/>
        </w:rPr>
        <w:t>6 meses</w:t>
      </w:r>
    </w:p>
    <w:p w14:paraId="61B77C8F" w14:textId="77777777" w:rsidR="0072615D" w:rsidRDefault="0072615D">
      <w:pPr>
        <w:pStyle w:val="Bodytext20"/>
        <w:framePr w:w="1632" w:h="658" w:wrap="none" w:hAnchor="page" w:x="668" w:y="3947"/>
        <w:spacing w:line="240" w:lineRule="auto"/>
      </w:pPr>
      <w:r>
        <w:t xml:space="preserve">IPV9: </w:t>
      </w:r>
      <w:r>
        <w:rPr>
          <w:b/>
          <w:bCs/>
        </w:rPr>
        <w:t>4 semanas</w:t>
      </w:r>
    </w:p>
    <w:p w14:paraId="57325510" w14:textId="77777777" w:rsidR="0072615D" w:rsidRDefault="0072615D">
      <w:pPr>
        <w:pStyle w:val="Bodytext20"/>
        <w:framePr w:w="1632" w:h="658" w:wrap="none" w:hAnchor="page" w:x="668" w:y="3947"/>
        <w:spacing w:line="240" w:lineRule="auto"/>
      </w:pPr>
      <w:r>
        <w:t xml:space="preserve">HepB: </w:t>
      </w:r>
      <w:r>
        <w:rPr>
          <w:b/>
          <w:bCs/>
        </w:rPr>
        <w:t>4 semanas</w:t>
      </w:r>
    </w:p>
    <w:p w14:paraId="40F61BDB" w14:textId="77777777" w:rsidR="0072615D" w:rsidRDefault="0072615D">
      <w:pPr>
        <w:pStyle w:val="Bodytext20"/>
        <w:framePr w:w="1632" w:h="658" w:wrap="none" w:hAnchor="page" w:x="668" w:y="3947"/>
        <w:pBdr>
          <w:bottom w:val="single" w:sz="4" w:space="0" w:color="auto"/>
        </w:pBdr>
        <w:spacing w:line="240" w:lineRule="auto"/>
      </w:pPr>
      <w:r>
        <w:t xml:space="preserve">VaricelalO: </w:t>
      </w:r>
      <w:r>
        <w:rPr>
          <w:b/>
          <w:bCs/>
        </w:rPr>
        <w:t>4 semanas</w:t>
      </w:r>
    </w:p>
    <w:p w14:paraId="3C97809E" w14:textId="77777777" w:rsidR="0072615D" w:rsidRDefault="0072615D">
      <w:pPr>
        <w:pStyle w:val="Bodytext20"/>
        <w:framePr w:w="4210" w:h="456" w:wrap="none" w:hAnchor="page" w:x="3510" w:y="3942"/>
        <w:spacing w:line="240" w:lineRule="auto"/>
      </w:pPr>
      <w:r>
        <w:t>IPV</w:t>
      </w:r>
      <w:r>
        <w:rPr>
          <w:vertAlign w:val="superscript"/>
        </w:rPr>
        <w:t>9</w:t>
      </w:r>
      <w:r>
        <w:t xml:space="preserve">: </w:t>
      </w:r>
      <w:r>
        <w:rPr>
          <w:b/>
          <w:bCs/>
        </w:rPr>
        <w:t>4 semanas</w:t>
      </w:r>
    </w:p>
    <w:p w14:paraId="1B2E01FF" w14:textId="77777777" w:rsidR="0072615D" w:rsidRDefault="0072615D">
      <w:pPr>
        <w:pStyle w:val="Bodytext20"/>
        <w:framePr w:w="4210" w:h="456" w:wrap="none" w:hAnchor="page" w:x="3510" w:y="3942"/>
        <w:spacing w:line="240" w:lineRule="auto"/>
      </w:pPr>
      <w:r>
        <w:t xml:space="preserve">HepB: </w:t>
      </w:r>
      <w:r>
        <w:rPr>
          <w:b/>
          <w:bCs/>
        </w:rPr>
        <w:t xml:space="preserve">8 semanas </w:t>
      </w:r>
      <w:r>
        <w:t>(16 semanas después de la primera dosis)</w:t>
      </w:r>
    </w:p>
    <w:p w14:paraId="4F0F49E2" w14:textId="77777777" w:rsidR="0072615D" w:rsidRDefault="0072615D">
      <w:pPr>
        <w:pStyle w:val="Bodytext20"/>
        <w:framePr w:w="3950" w:h="2611" w:wrap="none" w:hAnchor="page" w:x="8046" w:y="1561"/>
        <w:jc w:val="both"/>
      </w:pPr>
      <w:r>
        <w:t>Td</w:t>
      </w:r>
      <w:r>
        <w:rPr>
          <w:vertAlign w:val="superscript"/>
        </w:rPr>
        <w:t>8</w:t>
      </w:r>
      <w:r>
        <w:t>:</w:t>
      </w:r>
    </w:p>
    <w:p w14:paraId="1892506D" w14:textId="77777777" w:rsidR="0072615D" w:rsidRDefault="0072615D">
      <w:pPr>
        <w:pStyle w:val="Bodytext20"/>
        <w:framePr w:w="3950" w:h="2611" w:wrap="none" w:hAnchor="page" w:x="8046" w:y="1561"/>
        <w:jc w:val="both"/>
      </w:pPr>
      <w:r>
        <w:rPr>
          <w:b/>
          <w:bCs/>
        </w:rPr>
        <w:t xml:space="preserve">6 meses: </w:t>
      </w:r>
      <w:r>
        <w:t>si la primera dosis</w:t>
      </w:r>
    </w:p>
    <w:p w14:paraId="40241999" w14:textId="77777777" w:rsidR="0072615D" w:rsidRDefault="0072615D">
      <w:pPr>
        <w:pStyle w:val="Bodytext20"/>
        <w:framePr w:w="3950" w:h="2611" w:wrap="none" w:hAnchor="page" w:x="8046" w:y="1561"/>
        <w:jc w:val="both"/>
      </w:pPr>
      <w:r>
        <w:t>se administró antes de los</w:t>
      </w:r>
    </w:p>
    <w:p w14:paraId="43F6DEAB" w14:textId="77777777" w:rsidR="0072615D" w:rsidRDefault="0072615D">
      <w:pPr>
        <w:pStyle w:val="Bodytext20"/>
        <w:framePr w:w="3950" w:h="2611" w:wrap="none" w:hAnchor="page" w:x="8046" w:y="1561"/>
        <w:jc w:val="both"/>
      </w:pPr>
      <w:r>
        <w:t>12 meses y el niño tiene</w:t>
      </w:r>
    </w:p>
    <w:p w14:paraId="70C92906" w14:textId="77777777" w:rsidR="0072615D" w:rsidRDefault="0072615D">
      <w:pPr>
        <w:pStyle w:val="Bodytext20"/>
        <w:framePr w:w="3950" w:h="2611" w:wrap="none" w:hAnchor="page" w:x="8046" w:y="1561"/>
        <w:jc w:val="both"/>
      </w:pPr>
      <w:r>
        <w:t>actualmente menos de</w:t>
      </w:r>
    </w:p>
    <w:p w14:paraId="7037C263" w14:textId="77777777" w:rsidR="0072615D" w:rsidRDefault="0072615D">
      <w:pPr>
        <w:pStyle w:val="Bodytext20"/>
        <w:framePr w:w="3950" w:h="2611" w:wrap="none" w:hAnchor="page" w:x="8046" w:y="1561"/>
        <w:jc w:val="both"/>
      </w:pPr>
      <w:r>
        <w:t>11 años</w:t>
      </w:r>
    </w:p>
    <w:p w14:paraId="26294FDF" w14:textId="77777777" w:rsidR="0072615D" w:rsidRDefault="0072615D">
      <w:pPr>
        <w:pStyle w:val="Bodytext20"/>
        <w:framePr w:w="3950" w:h="2611" w:wrap="none" w:hAnchor="page" w:x="8046" w:y="1561"/>
      </w:pPr>
      <w:r>
        <w:rPr>
          <w:b/>
          <w:bCs/>
        </w:rPr>
        <w:t xml:space="preserve">5 años: </w:t>
      </w:r>
      <w:r>
        <w:t>si la primera dosis se administró a los 12 meses o más y la tercera dosis se administró antes de los siete años y el niño tiene actualmente 11 años o más</w:t>
      </w:r>
    </w:p>
    <w:p w14:paraId="19E9D3E3" w14:textId="77777777" w:rsidR="0072615D" w:rsidRDefault="0072615D">
      <w:pPr>
        <w:pStyle w:val="Bodytext20"/>
        <w:framePr w:w="3950" w:h="2611" w:wrap="none" w:hAnchor="page" w:x="8046" w:y="1561"/>
      </w:pPr>
      <w:r>
        <w:rPr>
          <w:b/>
          <w:bCs/>
        </w:rPr>
        <w:t xml:space="preserve">10 años: </w:t>
      </w:r>
      <w:r>
        <w:t>si la tercera dosis se administró a los siete años o más</w:t>
      </w:r>
    </w:p>
    <w:p w14:paraId="3A7275F2" w14:textId="77777777" w:rsidR="0072615D" w:rsidRDefault="0072615D">
      <w:pPr>
        <w:pStyle w:val="Bodytext60"/>
        <w:framePr w:w="3950" w:h="2611" w:wrap="none" w:hAnchor="page" w:x="8046" w:y="1561"/>
        <w:ind w:left="0" w:firstLine="0"/>
        <w:jc w:val="both"/>
        <w:rPr>
          <w:sz w:val="10"/>
          <w:szCs w:val="10"/>
        </w:rPr>
      </w:pPr>
      <w:r>
        <w:rPr>
          <w:sz w:val="16"/>
          <w:szCs w:val="16"/>
        </w:rPr>
        <w:t>IPV</w:t>
      </w:r>
      <w:r>
        <w:rPr>
          <w:sz w:val="10"/>
          <w:szCs w:val="10"/>
        </w:rPr>
        <w:t>2,9</w:t>
      </w:r>
    </w:p>
    <w:p w14:paraId="54238D85" w14:textId="77777777" w:rsidR="0072615D" w:rsidRDefault="0072615D">
      <w:pPr>
        <w:pStyle w:val="Bodytext80"/>
        <w:framePr w:w="192" w:h="4238" w:hRule="exact" w:wrap="none" w:hAnchor="page" w:x="12390" w:y="30"/>
        <w:tabs>
          <w:tab w:val="left" w:pos="2640"/>
        </w:tabs>
        <w:textDirection w:val="tbRl"/>
      </w:pPr>
      <w:r>
        <w:rPr>
          <w:sz w:val="16"/>
          <w:szCs w:val="16"/>
        </w:rPr>
        <w:t>30</w:t>
      </w:r>
      <w:r>
        <w:rPr>
          <w:sz w:val="16"/>
          <w:szCs w:val="16"/>
        </w:rPr>
        <w:tab/>
      </w:r>
      <w:r>
        <w:t>INMUNIZACIÓN ACTIVA</w:t>
      </w:r>
    </w:p>
    <w:p w14:paraId="72F90187" w14:textId="77777777" w:rsidR="0072615D" w:rsidRDefault="0072615D">
      <w:pPr>
        <w:spacing w:line="360" w:lineRule="exact"/>
      </w:pPr>
    </w:p>
    <w:p w14:paraId="55BC8C8E" w14:textId="77777777" w:rsidR="0072615D" w:rsidRDefault="0072615D">
      <w:pPr>
        <w:spacing w:line="360" w:lineRule="exact"/>
      </w:pPr>
    </w:p>
    <w:p w14:paraId="3D690ECF" w14:textId="77777777" w:rsidR="0072615D" w:rsidRDefault="0072615D">
      <w:pPr>
        <w:spacing w:line="360" w:lineRule="exact"/>
      </w:pPr>
    </w:p>
    <w:p w14:paraId="0269F245" w14:textId="77777777" w:rsidR="0072615D" w:rsidRDefault="0072615D">
      <w:pPr>
        <w:spacing w:line="360" w:lineRule="exact"/>
      </w:pPr>
    </w:p>
    <w:p w14:paraId="357FF717" w14:textId="77777777" w:rsidR="0072615D" w:rsidRDefault="0072615D">
      <w:pPr>
        <w:spacing w:line="360" w:lineRule="exact"/>
      </w:pPr>
    </w:p>
    <w:p w14:paraId="093705C7" w14:textId="77777777" w:rsidR="0072615D" w:rsidRDefault="0072615D">
      <w:pPr>
        <w:spacing w:line="360" w:lineRule="exact"/>
      </w:pPr>
    </w:p>
    <w:p w14:paraId="1EE5544C" w14:textId="77777777" w:rsidR="0072615D" w:rsidRDefault="0072615D">
      <w:pPr>
        <w:spacing w:line="360" w:lineRule="exact"/>
      </w:pPr>
    </w:p>
    <w:p w14:paraId="5EDFB981" w14:textId="77777777" w:rsidR="0072615D" w:rsidRDefault="0072615D">
      <w:pPr>
        <w:spacing w:line="360" w:lineRule="exact"/>
      </w:pPr>
    </w:p>
    <w:p w14:paraId="47DC7828" w14:textId="77777777" w:rsidR="0072615D" w:rsidRDefault="0072615D">
      <w:pPr>
        <w:spacing w:line="360" w:lineRule="exact"/>
      </w:pPr>
    </w:p>
    <w:p w14:paraId="6FFA7EC1" w14:textId="77777777" w:rsidR="0072615D" w:rsidRDefault="0072615D">
      <w:pPr>
        <w:spacing w:line="360" w:lineRule="exact"/>
      </w:pPr>
    </w:p>
    <w:p w14:paraId="77DDA55A" w14:textId="77777777" w:rsidR="0072615D" w:rsidRDefault="0072615D">
      <w:pPr>
        <w:spacing w:line="360" w:lineRule="exact"/>
      </w:pPr>
    </w:p>
    <w:p w14:paraId="0D1D55A0" w14:textId="77777777" w:rsidR="0072615D" w:rsidRDefault="0072615D">
      <w:pPr>
        <w:spacing w:after="642" w:line="1" w:lineRule="exact"/>
      </w:pPr>
    </w:p>
    <w:p w14:paraId="396A8C34" w14:textId="77777777" w:rsidR="0072615D" w:rsidRDefault="0072615D">
      <w:pPr>
        <w:spacing w:line="1" w:lineRule="exact"/>
        <w:sectPr w:rsidR="0072615D" w:rsidSect="0072615D">
          <w:headerReference w:type="even" r:id="rId99"/>
          <w:headerReference w:type="default" r:id="rId100"/>
          <w:footerReference w:type="even" r:id="rId101"/>
          <w:footerReference w:type="default" r:id="rId102"/>
          <w:footnotePr>
            <w:numFmt w:val="chicago"/>
          </w:footnotePr>
          <w:pgSz w:w="13022" w:h="8501" w:orient="landscape"/>
          <w:pgMar w:top="475" w:right="441" w:bottom="1148" w:left="619" w:header="0" w:footer="3" w:gutter="0"/>
          <w:cols w:space="720"/>
          <w:noEndnote/>
          <w:docGrid w:linePitch="360"/>
          <w15:footnoteColumns w:val="1"/>
        </w:sectPr>
      </w:pPr>
    </w:p>
    <w:p w14:paraId="47917FC1" w14:textId="77777777" w:rsidR="0072615D" w:rsidRDefault="0072615D">
      <w:pPr>
        <w:spacing w:line="1" w:lineRule="exact"/>
      </w:pPr>
      <w:r>
        <w:br w:type="page"/>
      </w:r>
    </w:p>
    <w:p w14:paraId="33DEF94A" w14:textId="77777777" w:rsidR="0072615D" w:rsidRDefault="0072615D">
      <w:pPr>
        <w:pStyle w:val="Heading31"/>
        <w:keepNext/>
        <w:keepLines/>
        <w:spacing w:line="211" w:lineRule="auto"/>
        <w:jc w:val="center"/>
        <w:rPr>
          <w:sz w:val="16"/>
          <w:szCs w:val="16"/>
        </w:rPr>
      </w:pPr>
      <w:bookmarkStart w:id="167" w:name="bookmark167"/>
      <w:bookmarkStart w:id="168" w:name="bookmark168"/>
      <w:bookmarkStart w:id="169" w:name="bookmark169"/>
      <w:r>
        <w:rPr>
          <w:b w:val="0"/>
          <w:bCs w:val="0"/>
        </w:rPr>
        <w:t xml:space="preserve">Cuadro 1- 6. </w:t>
      </w:r>
      <w:r>
        <w:t>Calendario para poner al día a niños y adolescentes que comenzaron tardíamente</w:t>
      </w:r>
      <w:r>
        <w:br/>
        <w:t xml:space="preserve">o que tienen un retraso mayor de un mes en sus vacunaciones* </w:t>
      </w:r>
      <w:r>
        <w:rPr>
          <w:rFonts w:ascii="Times New Roman" w:eastAsia="Times New Roman" w:hAnsi="Times New Roman" w:cs="Times New Roman"/>
          <w:b w:val="0"/>
          <w:bCs w:val="0"/>
          <w:i/>
          <w:iCs/>
          <w:w w:val="100"/>
          <w:sz w:val="16"/>
          <w:szCs w:val="16"/>
        </w:rPr>
        <w:t>continuación</w:t>
      </w:r>
      <w:bookmarkEnd w:id="167"/>
      <w:bookmarkEnd w:id="168"/>
      <w:bookmarkEnd w:id="169"/>
    </w:p>
    <w:p w14:paraId="0C0E4E1F" w14:textId="77777777" w:rsidR="0072615D" w:rsidRDefault="0072615D">
      <w:pPr>
        <w:spacing w:line="1" w:lineRule="exact"/>
        <w:sectPr w:rsidR="0072615D" w:rsidSect="0072615D">
          <w:footnotePr>
            <w:numFmt w:val="chicago"/>
          </w:footnotePr>
          <w:type w:val="continuous"/>
          <w:pgSz w:w="13022" w:h="8501" w:orient="landscape"/>
          <w:pgMar w:top="1104" w:right="1017" w:bottom="1005" w:left="686" w:header="0" w:footer="3" w:gutter="0"/>
          <w:cols w:space="720"/>
          <w:noEndnote/>
          <w:docGrid w:linePitch="360"/>
          <w15:footnoteColumns w:val="1"/>
        </w:sectPr>
      </w:pPr>
      <w:r>
        <w:rPr>
          <w:noProof/>
        </w:rPr>
        <w:drawing>
          <wp:anchor distT="0" distB="0" distL="0" distR="0" simplePos="0" relativeHeight="251665408" behindDoc="0" locked="0" layoutInCell="1" allowOverlap="1" wp14:anchorId="691DD25C" wp14:editId="381BF7C0">
            <wp:simplePos x="0" y="0"/>
            <wp:positionH relativeFrom="page">
              <wp:posOffset>414655</wp:posOffset>
            </wp:positionH>
            <wp:positionV relativeFrom="paragraph">
              <wp:posOffset>0</wp:posOffset>
            </wp:positionV>
            <wp:extent cx="7181215" cy="189230"/>
            <wp:effectExtent l="0" t="0" r="0" b="0"/>
            <wp:wrapTopAndBottom/>
            <wp:docPr id="104" name="Shape 104"/>
            <wp:cNvGraphicFramePr/>
            <a:graphic xmlns:a="http://schemas.openxmlformats.org/drawingml/2006/main">
              <a:graphicData uri="http://schemas.openxmlformats.org/drawingml/2006/picture">
                <pic:pic xmlns:pic="http://schemas.openxmlformats.org/drawingml/2006/picture">
                  <pic:nvPicPr>
                    <pic:cNvPr id="105" name="Picture box 105"/>
                    <pic:cNvPicPr/>
                  </pic:nvPicPr>
                  <pic:blipFill>
                    <a:blip r:embed="rId103"/>
                    <a:stretch/>
                  </pic:blipFill>
                  <pic:spPr>
                    <a:xfrm>
                      <a:off x="0" y="0"/>
                      <a:ext cx="7181215" cy="189230"/>
                    </a:xfrm>
                    <a:prstGeom prst="rect">
                      <a:avLst/>
                    </a:prstGeom>
                  </pic:spPr>
                </pic:pic>
              </a:graphicData>
            </a:graphic>
          </wp:anchor>
        </w:drawing>
      </w:r>
    </w:p>
    <w:p w14:paraId="1BD7C49E" w14:textId="77777777" w:rsidR="0072615D" w:rsidRDefault="0072615D">
      <w:pPr>
        <w:spacing w:line="1" w:lineRule="exact"/>
      </w:pPr>
      <w:r>
        <w:rPr>
          <w:noProof/>
        </w:rPr>
        <mc:AlternateContent>
          <mc:Choice Requires="wps">
            <w:drawing>
              <wp:anchor distT="0" distB="0" distL="114300" distR="114300" simplePos="0" relativeHeight="251666432" behindDoc="0" locked="0" layoutInCell="1" allowOverlap="1" wp14:anchorId="23FC62E8" wp14:editId="246B362D">
                <wp:simplePos x="0" y="0"/>
                <wp:positionH relativeFrom="page">
                  <wp:posOffset>7860665</wp:posOffset>
                </wp:positionH>
                <wp:positionV relativeFrom="paragraph">
                  <wp:posOffset>1103630</wp:posOffset>
                </wp:positionV>
                <wp:extent cx="121920" cy="2663825"/>
                <wp:effectExtent l="0" t="0" r="0" b="0"/>
                <wp:wrapSquare wrapText="bothSides"/>
                <wp:docPr id="106" name="Shape 106"/>
                <wp:cNvGraphicFramePr/>
                <a:graphic xmlns:a="http://schemas.openxmlformats.org/drawingml/2006/main">
                  <a:graphicData uri="http://schemas.microsoft.com/office/word/2010/wordprocessingShape">
                    <wps:wsp>
                      <wps:cNvSpPr txBox="1"/>
                      <wps:spPr>
                        <a:xfrm>
                          <a:off x="0" y="0"/>
                          <a:ext cx="121920" cy="2663825"/>
                        </a:xfrm>
                        <a:prstGeom prst="rect">
                          <a:avLst/>
                        </a:prstGeom>
                        <a:noFill/>
                      </wps:spPr>
                      <wps:txbx>
                        <w:txbxContent>
                          <w:p w14:paraId="096A7218" w14:textId="77777777" w:rsidR="0072615D" w:rsidRDefault="0072615D">
                            <w:pPr>
                              <w:pStyle w:val="Bodytext80"/>
                              <w:tabs>
                                <w:tab w:val="left" w:pos="3994"/>
                              </w:tabs>
                              <w:rPr>
                                <w:sz w:val="16"/>
                                <w:szCs w:val="16"/>
                              </w:rPr>
                            </w:pPr>
                            <w:r>
                              <w:t>INMUNIZACIÓN ACTIVA</w:t>
                            </w:r>
                            <w:r>
                              <w:tab/>
                            </w:r>
                            <w:r>
                              <w:rPr>
                                <w:sz w:val="16"/>
                                <w:szCs w:val="16"/>
                              </w:rPr>
                              <w:t>31</w:t>
                            </w:r>
                          </w:p>
                        </w:txbxContent>
                      </wps:txbx>
                      <wps:bodyPr vert="vert" lIns="0" tIns="0" rIns="0" bIns="0" upright="1"/>
                    </wps:wsp>
                  </a:graphicData>
                </a:graphic>
              </wp:anchor>
            </w:drawing>
          </mc:Choice>
          <mc:Fallback>
            <w:pict>
              <v:shape w14:anchorId="23FC62E8" id="Shape 106" o:spid="_x0000_s1033" type="#_x0000_t202" style="position:absolute;margin-left:618.95pt;margin-top:86.9pt;width:9.6pt;height:209.75pt;z-index:2516664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" filled="f" stroked="f">
                <v:textbox style="layout-flow:vertical" inset="0,0,0,0">
                  <w:txbxContent>
                    <w:p w14:paraId="096A7218" w14:textId="77777777" w:rsidR="0072615D" w:rsidRDefault="0072615D">
                      <w:pPr>
                        <w:pStyle w:val="Bodytext80"/>
                        <w:tabs>
                          <w:tab w:val="left" w:pos="3994"/>
                        </w:tabs>
                        <w:rPr>
                          <w:sz w:val="16"/>
                          <w:szCs w:val="16"/>
                        </w:rPr>
                      </w:pPr>
                      <w:r>
                        <w:t>INMUNIZACIÓN ACTIVA</w:t>
                      </w:r>
                      <w:r>
                        <w:tab/>
                      </w:r>
                      <w:r>
                        <w:rPr>
                          <w:sz w:val="16"/>
                          <w:szCs w:val="16"/>
                        </w:rPr>
                        <w:t>31</w:t>
                      </w:r>
                    </w:p>
                  </w:txbxContent>
                </v:textbox>
                <w10:wrap type="square" anchorx="page"/>
              </v:shape>
            </w:pict>
          </mc:Fallback>
        </mc:AlternateContent>
      </w:r>
    </w:p>
    <w:p w14:paraId="3F9EB492" w14:textId="77777777" w:rsidR="0072615D" w:rsidRDefault="0072615D">
      <w:pPr>
        <w:pStyle w:val="Bodytext20"/>
        <w:numPr>
          <w:ilvl w:val="0"/>
          <w:numId w:val="24"/>
        </w:numPr>
        <w:tabs>
          <w:tab w:val="left" w:pos="218"/>
        </w:tabs>
        <w:spacing w:line="240" w:lineRule="auto"/>
        <w:ind w:left="260" w:hanging="260"/>
        <w:rPr>
          <w:sz w:val="15"/>
          <w:szCs w:val="15"/>
        </w:rPr>
      </w:pPr>
      <w:bookmarkStart w:id="170" w:name="bookmark170"/>
      <w:bookmarkEnd w:id="170"/>
      <w:r>
        <w:rPr>
          <w:sz w:val="15"/>
          <w:szCs w:val="15"/>
        </w:rPr>
        <w:t>Vacuna contra hepatitis B (HepB): Se inmunizará contra la hepatitis B a todos los niños y adolescentes, y para ello se comenzará una serie de vacunas de este tipo durante cualquier visita al médico. El personal asistencial debe hacer esfuerzos especiales por inmunizar a los niños que nacieron en zonas del mundo donde la infección por virus de hepatitis B es endémica en grado moderado o intenso, o cuyos padres nacieron en tales áreas.</w:t>
      </w:r>
    </w:p>
    <w:p w14:paraId="46821058" w14:textId="77777777" w:rsidR="0072615D" w:rsidRDefault="0072615D">
      <w:pPr>
        <w:pStyle w:val="Bodytext20"/>
        <w:numPr>
          <w:ilvl w:val="0"/>
          <w:numId w:val="24"/>
        </w:numPr>
        <w:tabs>
          <w:tab w:val="left" w:pos="218"/>
        </w:tabs>
        <w:spacing w:line="240" w:lineRule="auto"/>
        <w:ind w:left="260" w:hanging="260"/>
        <w:rPr>
          <w:sz w:val="15"/>
          <w:szCs w:val="15"/>
        </w:rPr>
      </w:pPr>
      <w:bookmarkStart w:id="171" w:name="bookmark171"/>
      <w:bookmarkEnd w:id="171"/>
      <w:r>
        <w:rPr>
          <w:sz w:val="15"/>
          <w:szCs w:val="15"/>
        </w:rPr>
        <w:t>Vacuna triple (vírica) (MMR): Se recomienda aplicar sistemáticamente la segunda dosis de MMR entre los cuatro y seis años de edad, pero puede hacerse en fecha más temprana si así se desea.</w:t>
      </w:r>
    </w:p>
    <w:p w14:paraId="06B9C881" w14:textId="77777777" w:rsidR="0072615D" w:rsidRDefault="0072615D">
      <w:pPr>
        <w:pStyle w:val="Bodytext20"/>
        <w:numPr>
          <w:ilvl w:val="0"/>
          <w:numId w:val="24"/>
        </w:numPr>
        <w:tabs>
          <w:tab w:val="left" w:pos="218"/>
        </w:tabs>
        <w:spacing w:line="240" w:lineRule="auto"/>
        <w:jc w:val="both"/>
        <w:rPr>
          <w:sz w:val="15"/>
          <w:szCs w:val="15"/>
        </w:rPr>
      </w:pPr>
      <w:bookmarkStart w:id="172" w:name="bookmark172"/>
      <w:bookmarkEnd w:id="172"/>
      <w:r>
        <w:rPr>
          <w:sz w:val="15"/>
          <w:szCs w:val="15"/>
        </w:rPr>
        <w:t xml:space="preserve">Vacuna contra </w:t>
      </w:r>
      <w:r>
        <w:rPr>
          <w:i/>
          <w:iCs/>
          <w:sz w:val="15"/>
          <w:szCs w:val="15"/>
        </w:rPr>
        <w:t>Haemophilus influenzae</w:t>
      </w:r>
      <w:r>
        <w:rPr>
          <w:sz w:val="15"/>
          <w:szCs w:val="15"/>
        </w:rPr>
        <w:t xml:space="preserve"> tipo b (Hib): Por lo común no se recomienda usar la vacuna en niños de cinco años o mayores.</w:t>
      </w:r>
    </w:p>
    <w:p w14:paraId="204DA9BF" w14:textId="77777777" w:rsidR="0072615D" w:rsidRDefault="0072615D">
      <w:pPr>
        <w:pStyle w:val="Bodytext20"/>
        <w:numPr>
          <w:ilvl w:val="0"/>
          <w:numId w:val="24"/>
        </w:numPr>
        <w:tabs>
          <w:tab w:val="left" w:pos="218"/>
        </w:tabs>
        <w:spacing w:line="240" w:lineRule="auto"/>
        <w:ind w:left="260" w:hanging="260"/>
        <w:jc w:val="both"/>
        <w:rPr>
          <w:sz w:val="15"/>
          <w:szCs w:val="15"/>
        </w:rPr>
      </w:pPr>
      <w:bookmarkStart w:id="173" w:name="bookmark173"/>
      <w:bookmarkEnd w:id="173"/>
      <w:r>
        <w:rPr>
          <w:sz w:val="15"/>
          <w:szCs w:val="15"/>
        </w:rPr>
        <w:t>Hib: En caso de que el niño en el momento de su atención tenga menos de 12 meses y que las primeras dos dosis hayan sido de PRP-OMP (PedvaxHIB o ComVax [Merck Vaccine Division, West Point, PA]), se administrarán la tercera (y última) dosis entre los 12 y 15 meses de vida y ocho semanas, como mínimo, después de la segunda dosis.</w:t>
      </w:r>
    </w:p>
    <w:p w14:paraId="5E75D6A8" w14:textId="77777777" w:rsidR="0072615D" w:rsidRDefault="0072615D">
      <w:pPr>
        <w:pStyle w:val="Bodytext20"/>
        <w:numPr>
          <w:ilvl w:val="0"/>
          <w:numId w:val="24"/>
        </w:numPr>
        <w:tabs>
          <w:tab w:val="left" w:pos="218"/>
        </w:tabs>
        <w:spacing w:line="240" w:lineRule="auto"/>
        <w:jc w:val="both"/>
        <w:rPr>
          <w:sz w:val="15"/>
          <w:szCs w:val="15"/>
        </w:rPr>
      </w:pPr>
      <w:bookmarkStart w:id="174" w:name="bookmark174"/>
      <w:bookmarkEnd w:id="174"/>
      <w:r>
        <w:rPr>
          <w:sz w:val="15"/>
          <w:szCs w:val="15"/>
        </w:rPr>
        <w:t>Vacuna de conjugado neumocócico (pneumococcal conjugate vaccine, PCV): Por lo común no se recomienda en niños de cinco años o mayores.</w:t>
      </w:r>
    </w:p>
    <w:p w14:paraId="69B8D5CD" w14:textId="77777777" w:rsidR="0072615D" w:rsidRDefault="0072615D">
      <w:pPr>
        <w:pStyle w:val="Bodytext20"/>
        <w:numPr>
          <w:ilvl w:val="0"/>
          <w:numId w:val="24"/>
        </w:numPr>
        <w:tabs>
          <w:tab w:val="left" w:pos="218"/>
        </w:tabs>
        <w:spacing w:line="240" w:lineRule="auto"/>
        <w:ind w:left="260" w:hanging="260"/>
        <w:rPr>
          <w:sz w:val="15"/>
          <w:szCs w:val="15"/>
        </w:rPr>
      </w:pPr>
      <w:bookmarkStart w:id="175" w:name="bookmark175"/>
      <w:bookmarkEnd w:id="175"/>
      <w:r>
        <w:rPr>
          <w:sz w:val="15"/>
          <w:szCs w:val="15"/>
        </w:rPr>
        <w:t>Vacuna con toxoides tetánico y diftérico (Td): En el caso de niños de siete a 10 años de edad, se determina el intervalo entre la tercera dosis y la de refuerzo en el momento en que se aplica la primera dosis. En el caso de adolescentes de 11 a 18 años, dicho intervalo se seleccionará con base en la edad que tenía el adolescente cuando recibió la primera dosis. En el caso de adolescentes de 11 a 18 años de edad el intervalo en cuestión se seleccionará con base en la edad que tenían cuando recibieron la tercera dosis.</w:t>
      </w:r>
    </w:p>
    <w:p w14:paraId="72EF1374" w14:textId="77777777" w:rsidR="0072615D" w:rsidRDefault="0072615D">
      <w:pPr>
        <w:pStyle w:val="Bodytext20"/>
        <w:numPr>
          <w:ilvl w:val="0"/>
          <w:numId w:val="24"/>
        </w:numPr>
        <w:tabs>
          <w:tab w:val="left" w:pos="218"/>
        </w:tabs>
        <w:spacing w:line="240" w:lineRule="auto"/>
        <w:jc w:val="both"/>
        <w:rPr>
          <w:sz w:val="15"/>
          <w:szCs w:val="15"/>
        </w:rPr>
      </w:pPr>
      <w:bookmarkStart w:id="176" w:name="bookmark176"/>
      <w:bookmarkEnd w:id="176"/>
      <w:r>
        <w:rPr>
          <w:sz w:val="15"/>
          <w:szCs w:val="15"/>
        </w:rPr>
        <w:t>IPV: Por lo común no se recomienda la vacuna en personas de 18 años de edad o mayores.</w:t>
      </w:r>
    </w:p>
    <w:p w14:paraId="58CA3E41" w14:textId="77777777" w:rsidR="0072615D" w:rsidRDefault="0072615D">
      <w:pPr>
        <w:pStyle w:val="Bodytext20"/>
        <w:numPr>
          <w:ilvl w:val="0"/>
          <w:numId w:val="24"/>
        </w:numPr>
        <w:tabs>
          <w:tab w:val="left" w:pos="238"/>
        </w:tabs>
        <w:spacing w:line="470" w:lineRule="auto"/>
        <w:jc w:val="both"/>
        <w:rPr>
          <w:sz w:val="15"/>
          <w:szCs w:val="15"/>
        </w:rPr>
        <w:sectPr w:rsidR="0072615D" w:rsidSect="0072615D">
          <w:footnotePr>
            <w:numFmt w:val="chicago"/>
          </w:footnotePr>
          <w:type w:val="continuous"/>
          <w:pgSz w:w="13022" w:h="8501" w:orient="landscape"/>
          <w:pgMar w:top="1104" w:right="1018" w:bottom="328" w:left="706" w:header="0" w:footer="3" w:gutter="0"/>
          <w:cols w:space="720"/>
          <w:noEndnote/>
          <w:docGrid w:linePitch="360"/>
          <w15:footnoteColumns w:val="1"/>
        </w:sectPr>
      </w:pPr>
      <w:bookmarkStart w:id="177" w:name="bookmark177"/>
      <w:bookmarkEnd w:id="177"/>
      <w:r>
        <w:rPr>
          <w:sz w:val="15"/>
          <w:szCs w:val="15"/>
        </w:rPr>
        <w:t>Varicela: Administrar una serie de dos dosis a todos los adolescentes susceptibles de 13 años o mayores.</w:t>
      </w:r>
    </w:p>
    <w:p w14:paraId="61C319DB" w14:textId="77777777" w:rsidR="0072615D" w:rsidRDefault="0072615D">
      <w:pPr>
        <w:pStyle w:val="Heading31"/>
        <w:keepNext/>
        <w:keepLines/>
        <w:framePr w:w="8515" w:h="322" w:wrap="none" w:hAnchor="page" w:x="2094" w:y="1"/>
      </w:pPr>
      <w:bookmarkStart w:id="178" w:name="bookmark178"/>
      <w:bookmarkStart w:id="179" w:name="bookmark179"/>
      <w:bookmarkStart w:id="180" w:name="bookmark180"/>
      <w:r>
        <w:rPr>
          <w:b w:val="0"/>
          <w:bCs w:val="0"/>
        </w:rPr>
        <w:t xml:space="preserve">Cuadro 1- 7. </w:t>
      </w:r>
      <w:r>
        <w:t>Edades e intervalos recomendados y mínimos entre una y otra dosis de vacunas</w:t>
      </w:r>
      <w:r>
        <w:rPr>
          <w:vertAlign w:val="superscript"/>
        </w:rPr>
        <w:t>1</w:t>
      </w:r>
      <w:bookmarkEnd w:id="178"/>
      <w:bookmarkEnd w:id="179"/>
      <w:bookmarkEnd w:id="180"/>
    </w:p>
    <w:tbl>
      <w:tblPr>
        <w:tblOverlap w:val="never"/>
        <w:tblW w:w="0" w:type="auto"/>
        <w:tblLayout w:type="fixed"/>
        <w:tblCellMar>
          <w:left w:w="10" w:type="dxa"/>
          <w:right w:w="10" w:type="dxa"/>
        </w:tblCellMar>
        <w:tblLook w:val="04A0" w:firstRow="1" w:lastRow="0" w:firstColumn="1" w:lastColumn="0" w:noHBand="0" w:noVBand="1"/>
      </w:tblPr>
      <w:tblGrid>
        <w:gridCol w:w="2251"/>
        <w:gridCol w:w="2006"/>
        <w:gridCol w:w="2150"/>
        <w:gridCol w:w="2491"/>
        <w:gridCol w:w="1954"/>
      </w:tblGrid>
      <w:tr w:rsidR="0072615D" w14:paraId="692F214F" w14:textId="77777777">
        <w:tblPrEx>
          <w:tblCellMar>
            <w:top w:w="0" w:type="dxa"/>
            <w:bottom w:w="0" w:type="dxa"/>
          </w:tblCellMar>
        </w:tblPrEx>
        <w:trPr>
          <w:trHeight w:hRule="exact" w:val="518"/>
        </w:trPr>
        <w:tc>
          <w:tcPr>
            <w:tcW w:w="2251" w:type="dxa"/>
            <w:shd w:val="clear" w:color="auto" w:fill="231F20"/>
          </w:tcPr>
          <w:p w14:paraId="14C3C306" w14:textId="77777777" w:rsidR="0072615D" w:rsidRDefault="0072615D">
            <w:pPr>
              <w:pStyle w:val="Other0"/>
              <w:framePr w:w="10853" w:h="6298" w:vSpace="216" w:wrap="none" w:hAnchor="page" w:x="663" w:y="404"/>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Vacuna y número de dosis</w:t>
            </w:r>
          </w:p>
        </w:tc>
        <w:tc>
          <w:tcPr>
            <w:tcW w:w="2006" w:type="dxa"/>
            <w:shd w:val="clear" w:color="auto" w:fill="231F20"/>
          </w:tcPr>
          <w:p w14:paraId="351D7633" w14:textId="77777777" w:rsidR="0072615D" w:rsidRDefault="0072615D">
            <w:pPr>
              <w:pStyle w:val="Other0"/>
              <w:framePr w:w="10853" w:h="6298" w:vSpace="216" w:wrap="none" w:hAnchor="page" w:x="663" w:y="404"/>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Edad recomendada para recibir la dosis</w:t>
            </w:r>
          </w:p>
        </w:tc>
        <w:tc>
          <w:tcPr>
            <w:tcW w:w="2150" w:type="dxa"/>
            <w:shd w:val="clear" w:color="auto" w:fill="231F20"/>
          </w:tcPr>
          <w:p w14:paraId="464C6522" w14:textId="77777777" w:rsidR="0072615D" w:rsidRDefault="0072615D">
            <w:pPr>
              <w:pStyle w:val="Other0"/>
              <w:framePr w:w="10853" w:h="6298" w:vSpace="216" w:wrap="none" w:hAnchor="page" w:x="663" w:y="404"/>
              <w:pBdr>
                <w:top w:val="single" w:sz="0" w:space="0" w:color="231F20"/>
                <w:left w:val="single" w:sz="0" w:space="0" w:color="231F20"/>
                <w:bottom w:val="single" w:sz="0" w:space="0" w:color="231F20"/>
                <w:right w:val="single" w:sz="0" w:space="0" w:color="231F20"/>
              </w:pBdr>
              <w:shd w:val="clear" w:color="auto" w:fill="231F20"/>
              <w:spacing w:line="204" w:lineRule="auto"/>
              <w:ind w:left="300" w:firstLine="0"/>
              <w:rPr>
                <w:sz w:val="24"/>
                <w:szCs w:val="24"/>
              </w:rPr>
            </w:pPr>
            <w:r>
              <w:rPr>
                <w:rFonts w:ascii="Arial" w:eastAsia="Arial" w:hAnsi="Arial" w:cs="Arial"/>
                <w:b/>
                <w:bCs/>
                <w:color w:val="FFFFFF"/>
                <w:w w:val="70"/>
                <w:sz w:val="24"/>
                <w:szCs w:val="24"/>
              </w:rPr>
              <w:t>Edad mínima al recibir la dosis</w:t>
            </w:r>
          </w:p>
        </w:tc>
        <w:tc>
          <w:tcPr>
            <w:tcW w:w="2491" w:type="dxa"/>
            <w:shd w:val="clear" w:color="auto" w:fill="231F20"/>
          </w:tcPr>
          <w:p w14:paraId="7BD0A4B0" w14:textId="77777777" w:rsidR="0072615D" w:rsidRDefault="0072615D">
            <w:pPr>
              <w:pStyle w:val="Other0"/>
              <w:framePr w:w="10853" w:h="6298" w:vSpace="216" w:wrap="none" w:hAnchor="page" w:x="663" w:y="404"/>
              <w:pBdr>
                <w:top w:val="single" w:sz="0" w:space="0" w:color="231F20"/>
                <w:left w:val="single" w:sz="0" w:space="0" w:color="231F20"/>
                <w:bottom w:val="single" w:sz="0" w:space="0" w:color="231F20"/>
                <w:right w:val="single" w:sz="0" w:space="0" w:color="231F20"/>
              </w:pBdr>
              <w:shd w:val="clear" w:color="auto" w:fill="231F20"/>
              <w:spacing w:line="209" w:lineRule="auto"/>
              <w:ind w:left="400"/>
              <w:rPr>
                <w:sz w:val="24"/>
                <w:szCs w:val="24"/>
              </w:rPr>
            </w:pPr>
            <w:r>
              <w:rPr>
                <w:rFonts w:ascii="Arial" w:eastAsia="Arial" w:hAnsi="Arial" w:cs="Arial"/>
                <w:b/>
                <w:bCs/>
                <w:color w:val="FFFFFF"/>
                <w:w w:val="70"/>
                <w:sz w:val="24"/>
                <w:szCs w:val="24"/>
              </w:rPr>
              <w:t>Intervalo recomendado con la dosis siguiente</w:t>
            </w:r>
          </w:p>
        </w:tc>
        <w:tc>
          <w:tcPr>
            <w:tcW w:w="1954" w:type="dxa"/>
            <w:shd w:val="clear" w:color="auto" w:fill="231F20"/>
          </w:tcPr>
          <w:p w14:paraId="0E4ADDE4" w14:textId="77777777" w:rsidR="0072615D" w:rsidRDefault="0072615D">
            <w:pPr>
              <w:pStyle w:val="Other0"/>
              <w:framePr w:w="10853" w:h="6298" w:vSpace="216" w:wrap="none" w:hAnchor="page" w:x="663" w:y="404"/>
              <w:pBdr>
                <w:top w:val="single" w:sz="0" w:space="0" w:color="231F20"/>
                <w:left w:val="single" w:sz="0" w:space="0" w:color="231F20"/>
                <w:bottom w:val="single" w:sz="0" w:space="0" w:color="231F20"/>
                <w:right w:val="single" w:sz="0" w:space="0" w:color="231F20"/>
              </w:pBdr>
              <w:shd w:val="clear" w:color="auto" w:fill="231F20"/>
              <w:spacing w:line="209" w:lineRule="auto"/>
              <w:ind w:left="240" w:hanging="40"/>
              <w:rPr>
                <w:sz w:val="24"/>
                <w:szCs w:val="24"/>
              </w:rPr>
            </w:pPr>
            <w:r>
              <w:rPr>
                <w:rFonts w:ascii="Arial" w:eastAsia="Arial" w:hAnsi="Arial" w:cs="Arial"/>
                <w:b/>
                <w:bCs/>
                <w:color w:val="FFFFFF"/>
                <w:w w:val="70"/>
                <w:sz w:val="24"/>
                <w:szCs w:val="24"/>
              </w:rPr>
              <w:t>Intervalo mínimo con la dosis siguiente</w:t>
            </w:r>
          </w:p>
        </w:tc>
      </w:tr>
      <w:tr w:rsidR="0072615D" w14:paraId="5E673281" w14:textId="77777777">
        <w:tblPrEx>
          <w:tblCellMar>
            <w:top w:w="0" w:type="dxa"/>
            <w:bottom w:w="0" w:type="dxa"/>
          </w:tblCellMar>
        </w:tblPrEx>
        <w:trPr>
          <w:trHeight w:hRule="exact" w:val="288"/>
        </w:trPr>
        <w:tc>
          <w:tcPr>
            <w:tcW w:w="2251" w:type="dxa"/>
            <w:shd w:val="clear" w:color="auto" w:fill="FFFFFF"/>
            <w:vAlign w:val="bottom"/>
          </w:tcPr>
          <w:p w14:paraId="501DB75A"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Hepatitis B1</w:t>
            </w:r>
            <w:r>
              <w:rPr>
                <w:rFonts w:ascii="Times New Roman" w:eastAsia="Times New Roman" w:hAnsi="Times New Roman" w:cs="Times New Roman"/>
                <w:sz w:val="16"/>
                <w:szCs w:val="16"/>
                <w:vertAlign w:val="superscript"/>
              </w:rPr>
              <w:t>2</w:t>
            </w:r>
          </w:p>
        </w:tc>
        <w:tc>
          <w:tcPr>
            <w:tcW w:w="2006" w:type="dxa"/>
            <w:shd w:val="clear" w:color="auto" w:fill="FFFFFF"/>
            <w:vAlign w:val="bottom"/>
          </w:tcPr>
          <w:p w14:paraId="1F0FE7DE"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Nacimiento-2 meses</w:t>
            </w:r>
          </w:p>
        </w:tc>
        <w:tc>
          <w:tcPr>
            <w:tcW w:w="2150" w:type="dxa"/>
            <w:shd w:val="clear" w:color="auto" w:fill="FFFFFF"/>
            <w:vAlign w:val="bottom"/>
          </w:tcPr>
          <w:p w14:paraId="403EDFE7"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Nacimiento</w:t>
            </w:r>
          </w:p>
        </w:tc>
        <w:tc>
          <w:tcPr>
            <w:tcW w:w="2491" w:type="dxa"/>
            <w:shd w:val="clear" w:color="auto" w:fill="FFFFFF"/>
            <w:vAlign w:val="bottom"/>
          </w:tcPr>
          <w:p w14:paraId="472079DC"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1-4 meses</w:t>
            </w:r>
          </w:p>
        </w:tc>
        <w:tc>
          <w:tcPr>
            <w:tcW w:w="1954" w:type="dxa"/>
            <w:shd w:val="clear" w:color="auto" w:fill="FFFFFF"/>
            <w:vAlign w:val="bottom"/>
          </w:tcPr>
          <w:p w14:paraId="43EFB7B3"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1822E2DC" w14:textId="77777777">
        <w:tblPrEx>
          <w:tblCellMar>
            <w:top w:w="0" w:type="dxa"/>
            <w:bottom w:w="0" w:type="dxa"/>
          </w:tblCellMar>
        </w:tblPrEx>
        <w:trPr>
          <w:trHeight w:hRule="exact" w:val="216"/>
        </w:trPr>
        <w:tc>
          <w:tcPr>
            <w:tcW w:w="2251" w:type="dxa"/>
            <w:shd w:val="clear" w:color="auto" w:fill="FFFFFF"/>
          </w:tcPr>
          <w:p w14:paraId="38096EF5"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Hepatitis B2</w:t>
            </w:r>
          </w:p>
        </w:tc>
        <w:tc>
          <w:tcPr>
            <w:tcW w:w="2006" w:type="dxa"/>
            <w:shd w:val="clear" w:color="auto" w:fill="FFFFFF"/>
          </w:tcPr>
          <w:p w14:paraId="5CF27CA7"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1-4 meses</w:t>
            </w:r>
          </w:p>
        </w:tc>
        <w:tc>
          <w:tcPr>
            <w:tcW w:w="2150" w:type="dxa"/>
            <w:shd w:val="clear" w:color="auto" w:fill="FFFFFF"/>
          </w:tcPr>
          <w:p w14:paraId="5DA4EFBA"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4 semanas</w:t>
            </w:r>
          </w:p>
        </w:tc>
        <w:tc>
          <w:tcPr>
            <w:tcW w:w="2491" w:type="dxa"/>
            <w:shd w:val="clear" w:color="auto" w:fill="FFFFFF"/>
          </w:tcPr>
          <w:p w14:paraId="1B8DA357"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2-17 meses</w:t>
            </w:r>
          </w:p>
        </w:tc>
        <w:tc>
          <w:tcPr>
            <w:tcW w:w="1954" w:type="dxa"/>
            <w:shd w:val="clear" w:color="auto" w:fill="FFFFFF"/>
          </w:tcPr>
          <w:p w14:paraId="23C0023F"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8 semanas</w:t>
            </w:r>
          </w:p>
        </w:tc>
      </w:tr>
      <w:tr w:rsidR="0072615D" w14:paraId="57173877" w14:textId="77777777">
        <w:tblPrEx>
          <w:tblCellMar>
            <w:top w:w="0" w:type="dxa"/>
            <w:bottom w:w="0" w:type="dxa"/>
          </w:tblCellMar>
        </w:tblPrEx>
        <w:trPr>
          <w:trHeight w:hRule="exact" w:val="230"/>
        </w:trPr>
        <w:tc>
          <w:tcPr>
            <w:tcW w:w="2251" w:type="dxa"/>
            <w:shd w:val="clear" w:color="auto" w:fill="FFFFFF"/>
            <w:vAlign w:val="bottom"/>
          </w:tcPr>
          <w:p w14:paraId="0D65DFB3"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Hepatitis B3</w:t>
            </w:r>
            <w:r>
              <w:rPr>
                <w:rFonts w:ascii="Times New Roman" w:eastAsia="Times New Roman" w:hAnsi="Times New Roman" w:cs="Times New Roman"/>
                <w:sz w:val="16"/>
                <w:szCs w:val="16"/>
                <w:vertAlign w:val="superscript"/>
              </w:rPr>
              <w:t>3</w:t>
            </w:r>
          </w:p>
        </w:tc>
        <w:tc>
          <w:tcPr>
            <w:tcW w:w="2006" w:type="dxa"/>
            <w:shd w:val="clear" w:color="auto" w:fill="FFFFFF"/>
          </w:tcPr>
          <w:p w14:paraId="18439E56"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6-18 meses</w:t>
            </w:r>
          </w:p>
        </w:tc>
        <w:tc>
          <w:tcPr>
            <w:tcW w:w="2150" w:type="dxa"/>
            <w:shd w:val="clear" w:color="auto" w:fill="FFFFFF"/>
          </w:tcPr>
          <w:p w14:paraId="751E0794"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6 meses</w:t>
            </w:r>
            <w:r>
              <w:rPr>
                <w:rFonts w:ascii="Times New Roman" w:eastAsia="Times New Roman" w:hAnsi="Times New Roman" w:cs="Times New Roman"/>
                <w:sz w:val="16"/>
                <w:szCs w:val="16"/>
                <w:vertAlign w:val="superscript"/>
              </w:rPr>
              <w:t>4</w:t>
            </w:r>
          </w:p>
        </w:tc>
        <w:tc>
          <w:tcPr>
            <w:tcW w:w="2491" w:type="dxa"/>
            <w:shd w:val="clear" w:color="auto" w:fill="FFFFFF"/>
            <w:vAlign w:val="center"/>
          </w:tcPr>
          <w:p w14:paraId="1C15BDC4"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w:t>
            </w:r>
          </w:p>
        </w:tc>
        <w:tc>
          <w:tcPr>
            <w:tcW w:w="1954" w:type="dxa"/>
            <w:shd w:val="clear" w:color="auto" w:fill="FFFFFF"/>
            <w:vAlign w:val="center"/>
          </w:tcPr>
          <w:p w14:paraId="091DCB91"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w:t>
            </w:r>
          </w:p>
        </w:tc>
      </w:tr>
      <w:tr w:rsidR="0072615D" w14:paraId="24467861" w14:textId="77777777">
        <w:tblPrEx>
          <w:tblCellMar>
            <w:top w:w="0" w:type="dxa"/>
            <w:bottom w:w="0" w:type="dxa"/>
          </w:tblCellMar>
        </w:tblPrEx>
        <w:trPr>
          <w:trHeight w:hRule="exact" w:val="197"/>
        </w:trPr>
        <w:tc>
          <w:tcPr>
            <w:tcW w:w="2251" w:type="dxa"/>
            <w:shd w:val="clear" w:color="auto" w:fill="FFFFFF"/>
          </w:tcPr>
          <w:p w14:paraId="30DE0F50"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Difteria y tétanos, toxoides</w:t>
            </w:r>
          </w:p>
        </w:tc>
        <w:tc>
          <w:tcPr>
            <w:tcW w:w="2006" w:type="dxa"/>
            <w:shd w:val="clear" w:color="auto" w:fill="FFFFFF"/>
          </w:tcPr>
          <w:p w14:paraId="51FE40FC"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2 meses</w:t>
            </w:r>
          </w:p>
        </w:tc>
        <w:tc>
          <w:tcPr>
            <w:tcW w:w="2150" w:type="dxa"/>
            <w:shd w:val="clear" w:color="auto" w:fill="FFFFFF"/>
          </w:tcPr>
          <w:p w14:paraId="220FE3FB"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6 semanas</w:t>
            </w:r>
          </w:p>
        </w:tc>
        <w:tc>
          <w:tcPr>
            <w:tcW w:w="2491" w:type="dxa"/>
            <w:shd w:val="clear" w:color="auto" w:fill="FFFFFF"/>
          </w:tcPr>
          <w:p w14:paraId="56A9E541"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2 meses</w:t>
            </w:r>
          </w:p>
        </w:tc>
        <w:tc>
          <w:tcPr>
            <w:tcW w:w="1954" w:type="dxa"/>
            <w:shd w:val="clear" w:color="auto" w:fill="FFFFFF"/>
          </w:tcPr>
          <w:p w14:paraId="4ECCDCFB"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275F7FDB" w14:textId="77777777">
        <w:tblPrEx>
          <w:tblCellMar>
            <w:top w:w="0" w:type="dxa"/>
            <w:bottom w:w="0" w:type="dxa"/>
          </w:tblCellMar>
        </w:tblPrEx>
        <w:trPr>
          <w:trHeight w:hRule="exact" w:val="662"/>
        </w:trPr>
        <w:tc>
          <w:tcPr>
            <w:tcW w:w="2251" w:type="dxa"/>
            <w:shd w:val="clear" w:color="auto" w:fill="FFFFFF"/>
          </w:tcPr>
          <w:p w14:paraId="3E84E9FE" w14:textId="77777777" w:rsidR="0072615D" w:rsidRDefault="0072615D">
            <w:pPr>
              <w:pStyle w:val="Other0"/>
              <w:framePr w:w="10853" w:h="6298" w:vSpace="216" w:wrap="none" w:hAnchor="page" w:x="663" w:y="404"/>
              <w:spacing w:line="288" w:lineRule="auto"/>
              <w:ind w:firstLine="0"/>
              <w:rPr>
                <w:sz w:val="16"/>
                <w:szCs w:val="16"/>
              </w:rPr>
            </w:pPr>
            <w:r>
              <w:rPr>
                <w:rFonts w:ascii="Times New Roman" w:eastAsia="Times New Roman" w:hAnsi="Times New Roman" w:cs="Times New Roman"/>
                <w:sz w:val="16"/>
                <w:szCs w:val="16"/>
              </w:rPr>
              <w:t>de, y vacuna acelular de tos ferina (DTaP)1</w:t>
            </w:r>
            <w:r>
              <w:rPr>
                <w:rFonts w:ascii="Times New Roman" w:eastAsia="Times New Roman" w:hAnsi="Times New Roman" w:cs="Times New Roman"/>
                <w:sz w:val="16"/>
                <w:szCs w:val="16"/>
                <w:vertAlign w:val="superscript"/>
              </w:rPr>
              <w:t xml:space="preserve">2 </w:t>
            </w:r>
            <w:r>
              <w:rPr>
                <w:rFonts w:ascii="Times New Roman" w:eastAsia="Times New Roman" w:hAnsi="Times New Roman" w:cs="Times New Roman"/>
                <w:sz w:val="16"/>
                <w:szCs w:val="16"/>
              </w:rPr>
              <w:t>DTaP2</w:t>
            </w:r>
          </w:p>
        </w:tc>
        <w:tc>
          <w:tcPr>
            <w:tcW w:w="2006" w:type="dxa"/>
            <w:shd w:val="clear" w:color="auto" w:fill="FFFFFF"/>
            <w:vAlign w:val="bottom"/>
          </w:tcPr>
          <w:p w14:paraId="0C119D6D"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4 meses</w:t>
            </w:r>
          </w:p>
        </w:tc>
        <w:tc>
          <w:tcPr>
            <w:tcW w:w="2150" w:type="dxa"/>
            <w:shd w:val="clear" w:color="auto" w:fill="FFFFFF"/>
            <w:vAlign w:val="bottom"/>
          </w:tcPr>
          <w:p w14:paraId="1AD12482"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10 semanas</w:t>
            </w:r>
          </w:p>
        </w:tc>
        <w:tc>
          <w:tcPr>
            <w:tcW w:w="2491" w:type="dxa"/>
            <w:shd w:val="clear" w:color="auto" w:fill="FFFFFF"/>
            <w:vAlign w:val="bottom"/>
          </w:tcPr>
          <w:p w14:paraId="647254C2"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2 meses</w:t>
            </w:r>
          </w:p>
        </w:tc>
        <w:tc>
          <w:tcPr>
            <w:tcW w:w="1954" w:type="dxa"/>
            <w:shd w:val="clear" w:color="auto" w:fill="FFFFFF"/>
            <w:vAlign w:val="bottom"/>
          </w:tcPr>
          <w:p w14:paraId="112A85E6"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6E3CACA5" w14:textId="77777777">
        <w:tblPrEx>
          <w:tblCellMar>
            <w:top w:w="0" w:type="dxa"/>
            <w:bottom w:w="0" w:type="dxa"/>
          </w:tblCellMar>
        </w:tblPrEx>
        <w:trPr>
          <w:trHeight w:hRule="exact" w:val="226"/>
        </w:trPr>
        <w:tc>
          <w:tcPr>
            <w:tcW w:w="2251" w:type="dxa"/>
            <w:shd w:val="clear" w:color="auto" w:fill="FFFFFF"/>
          </w:tcPr>
          <w:p w14:paraId="15B8A9FC"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DTaP3</w:t>
            </w:r>
          </w:p>
        </w:tc>
        <w:tc>
          <w:tcPr>
            <w:tcW w:w="2006" w:type="dxa"/>
            <w:shd w:val="clear" w:color="auto" w:fill="FFFFFF"/>
          </w:tcPr>
          <w:p w14:paraId="685DEF94"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6 meses</w:t>
            </w:r>
          </w:p>
        </w:tc>
        <w:tc>
          <w:tcPr>
            <w:tcW w:w="2150" w:type="dxa"/>
            <w:shd w:val="clear" w:color="auto" w:fill="FFFFFF"/>
          </w:tcPr>
          <w:p w14:paraId="76BCE218"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14 semanas</w:t>
            </w:r>
          </w:p>
        </w:tc>
        <w:tc>
          <w:tcPr>
            <w:tcW w:w="2491" w:type="dxa"/>
            <w:shd w:val="clear" w:color="auto" w:fill="FFFFFF"/>
          </w:tcPr>
          <w:p w14:paraId="473AB10C"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6-12 meses</w:t>
            </w:r>
          </w:p>
        </w:tc>
        <w:tc>
          <w:tcPr>
            <w:tcW w:w="1954" w:type="dxa"/>
            <w:shd w:val="clear" w:color="auto" w:fill="FFFFFF"/>
          </w:tcPr>
          <w:p w14:paraId="31A6FCCA"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6 meses</w:t>
            </w:r>
            <w:r>
              <w:rPr>
                <w:rFonts w:ascii="Times New Roman" w:eastAsia="Times New Roman" w:hAnsi="Times New Roman" w:cs="Times New Roman"/>
                <w:sz w:val="16"/>
                <w:szCs w:val="16"/>
                <w:vertAlign w:val="superscript"/>
              </w:rPr>
              <w:t>4,5</w:t>
            </w:r>
          </w:p>
        </w:tc>
      </w:tr>
      <w:tr w:rsidR="0072615D" w14:paraId="44A90AFD" w14:textId="77777777">
        <w:tblPrEx>
          <w:tblCellMar>
            <w:top w:w="0" w:type="dxa"/>
            <w:bottom w:w="0" w:type="dxa"/>
          </w:tblCellMar>
        </w:tblPrEx>
        <w:trPr>
          <w:trHeight w:hRule="exact" w:val="221"/>
        </w:trPr>
        <w:tc>
          <w:tcPr>
            <w:tcW w:w="2251" w:type="dxa"/>
            <w:shd w:val="clear" w:color="auto" w:fill="FFFFFF"/>
            <w:vAlign w:val="bottom"/>
          </w:tcPr>
          <w:p w14:paraId="28B818EC"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DTaP4</w:t>
            </w:r>
          </w:p>
        </w:tc>
        <w:tc>
          <w:tcPr>
            <w:tcW w:w="2006" w:type="dxa"/>
            <w:shd w:val="clear" w:color="auto" w:fill="FFFFFF"/>
            <w:vAlign w:val="bottom"/>
          </w:tcPr>
          <w:p w14:paraId="39A0EDA0"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15-18 meses</w:t>
            </w:r>
          </w:p>
        </w:tc>
        <w:tc>
          <w:tcPr>
            <w:tcW w:w="2150" w:type="dxa"/>
            <w:shd w:val="clear" w:color="auto" w:fill="FFFFFF"/>
            <w:vAlign w:val="bottom"/>
          </w:tcPr>
          <w:p w14:paraId="6DC8EF6F"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12 meses</w:t>
            </w:r>
          </w:p>
        </w:tc>
        <w:tc>
          <w:tcPr>
            <w:tcW w:w="2491" w:type="dxa"/>
            <w:shd w:val="clear" w:color="auto" w:fill="FFFFFF"/>
            <w:vAlign w:val="bottom"/>
          </w:tcPr>
          <w:p w14:paraId="50966D22"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3 años</w:t>
            </w:r>
          </w:p>
        </w:tc>
        <w:tc>
          <w:tcPr>
            <w:tcW w:w="1954" w:type="dxa"/>
            <w:shd w:val="clear" w:color="auto" w:fill="FFFFFF"/>
            <w:vAlign w:val="bottom"/>
          </w:tcPr>
          <w:p w14:paraId="35E59C46"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6 meses</w:t>
            </w:r>
            <w:r>
              <w:rPr>
                <w:rFonts w:ascii="Times New Roman" w:eastAsia="Times New Roman" w:hAnsi="Times New Roman" w:cs="Times New Roman"/>
                <w:sz w:val="16"/>
                <w:szCs w:val="16"/>
                <w:vertAlign w:val="superscript"/>
              </w:rPr>
              <w:t>4</w:t>
            </w:r>
          </w:p>
        </w:tc>
      </w:tr>
      <w:tr w:rsidR="0072615D" w14:paraId="673479A2" w14:textId="77777777">
        <w:tblPrEx>
          <w:tblCellMar>
            <w:top w:w="0" w:type="dxa"/>
            <w:bottom w:w="0" w:type="dxa"/>
          </w:tblCellMar>
        </w:tblPrEx>
        <w:trPr>
          <w:trHeight w:hRule="exact" w:val="216"/>
        </w:trPr>
        <w:tc>
          <w:tcPr>
            <w:tcW w:w="2251" w:type="dxa"/>
            <w:shd w:val="clear" w:color="auto" w:fill="FFFFFF"/>
          </w:tcPr>
          <w:p w14:paraId="2417526B"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DTaP5</w:t>
            </w:r>
          </w:p>
        </w:tc>
        <w:tc>
          <w:tcPr>
            <w:tcW w:w="2006" w:type="dxa"/>
            <w:shd w:val="clear" w:color="auto" w:fill="FFFFFF"/>
          </w:tcPr>
          <w:p w14:paraId="2DC1A9CA"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4-6 años</w:t>
            </w:r>
          </w:p>
        </w:tc>
        <w:tc>
          <w:tcPr>
            <w:tcW w:w="2150" w:type="dxa"/>
            <w:shd w:val="clear" w:color="auto" w:fill="FFFFFF"/>
          </w:tcPr>
          <w:p w14:paraId="799B78D4"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4 años</w:t>
            </w:r>
          </w:p>
        </w:tc>
        <w:tc>
          <w:tcPr>
            <w:tcW w:w="2491" w:type="dxa"/>
            <w:shd w:val="clear" w:color="auto" w:fill="FFFFFF"/>
            <w:vAlign w:val="bottom"/>
          </w:tcPr>
          <w:p w14:paraId="5C776409"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w:t>
            </w:r>
          </w:p>
        </w:tc>
        <w:tc>
          <w:tcPr>
            <w:tcW w:w="1954" w:type="dxa"/>
            <w:shd w:val="clear" w:color="auto" w:fill="FFFFFF"/>
            <w:vAlign w:val="bottom"/>
          </w:tcPr>
          <w:p w14:paraId="6B459365"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w:t>
            </w:r>
          </w:p>
        </w:tc>
      </w:tr>
      <w:tr w:rsidR="0072615D" w14:paraId="4C2D33E7" w14:textId="77777777">
        <w:tblPrEx>
          <w:tblCellMar>
            <w:top w:w="0" w:type="dxa"/>
            <w:bottom w:w="0" w:type="dxa"/>
          </w:tblCellMar>
        </w:tblPrEx>
        <w:trPr>
          <w:trHeight w:hRule="exact" w:val="446"/>
        </w:trPr>
        <w:tc>
          <w:tcPr>
            <w:tcW w:w="2251" w:type="dxa"/>
            <w:shd w:val="clear" w:color="auto" w:fill="FFFFFF"/>
          </w:tcPr>
          <w:p w14:paraId="632B2413" w14:textId="77777777" w:rsidR="0072615D" w:rsidRDefault="0072615D">
            <w:pPr>
              <w:pStyle w:val="Other0"/>
              <w:framePr w:w="10853" w:h="6298" w:vSpace="216" w:wrap="none" w:hAnchor="page" w:x="663" w:y="404"/>
              <w:spacing w:line="295" w:lineRule="auto"/>
              <w:ind w:firstLine="0"/>
              <w:rPr>
                <w:sz w:val="10"/>
                <w:szCs w:val="10"/>
              </w:rPr>
            </w:pPr>
            <w:r>
              <w:rPr>
                <w:rFonts w:ascii="Times New Roman" w:eastAsia="Times New Roman" w:hAnsi="Times New Roman" w:cs="Times New Roman"/>
                <w:i/>
                <w:iCs/>
                <w:sz w:val="16"/>
                <w:szCs w:val="16"/>
              </w:rPr>
              <w:t xml:space="preserve">Haemophilus influenzae </w:t>
            </w:r>
            <w:r>
              <w:rPr>
                <w:rFonts w:ascii="Times New Roman" w:eastAsia="Times New Roman" w:hAnsi="Times New Roman" w:cs="Times New Roman"/>
                <w:sz w:val="16"/>
                <w:szCs w:val="16"/>
              </w:rPr>
              <w:t>tipo b (Hib)1</w:t>
            </w:r>
            <w:r>
              <w:rPr>
                <w:rFonts w:ascii="Times New Roman" w:eastAsia="Times New Roman" w:hAnsi="Times New Roman" w:cs="Times New Roman"/>
                <w:sz w:val="10"/>
                <w:szCs w:val="10"/>
              </w:rPr>
              <w:t>2,6</w:t>
            </w:r>
          </w:p>
        </w:tc>
        <w:tc>
          <w:tcPr>
            <w:tcW w:w="2006" w:type="dxa"/>
            <w:shd w:val="clear" w:color="auto" w:fill="FFFFFF"/>
            <w:vAlign w:val="bottom"/>
          </w:tcPr>
          <w:p w14:paraId="0913E025"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2 meses</w:t>
            </w:r>
          </w:p>
        </w:tc>
        <w:tc>
          <w:tcPr>
            <w:tcW w:w="2150" w:type="dxa"/>
            <w:shd w:val="clear" w:color="auto" w:fill="FFFFFF"/>
            <w:vAlign w:val="bottom"/>
          </w:tcPr>
          <w:p w14:paraId="5A8AACDA"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6 semanas</w:t>
            </w:r>
          </w:p>
        </w:tc>
        <w:tc>
          <w:tcPr>
            <w:tcW w:w="2491" w:type="dxa"/>
            <w:shd w:val="clear" w:color="auto" w:fill="FFFFFF"/>
            <w:vAlign w:val="bottom"/>
          </w:tcPr>
          <w:p w14:paraId="151616FE"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2 meses</w:t>
            </w:r>
          </w:p>
        </w:tc>
        <w:tc>
          <w:tcPr>
            <w:tcW w:w="1954" w:type="dxa"/>
            <w:shd w:val="clear" w:color="auto" w:fill="FFFFFF"/>
            <w:vAlign w:val="bottom"/>
          </w:tcPr>
          <w:p w14:paraId="0B7CC20D"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173505DA" w14:textId="77777777">
        <w:tblPrEx>
          <w:tblCellMar>
            <w:top w:w="0" w:type="dxa"/>
            <w:bottom w:w="0" w:type="dxa"/>
          </w:tblCellMar>
        </w:tblPrEx>
        <w:trPr>
          <w:trHeight w:hRule="exact" w:val="216"/>
        </w:trPr>
        <w:tc>
          <w:tcPr>
            <w:tcW w:w="2251" w:type="dxa"/>
            <w:shd w:val="clear" w:color="auto" w:fill="FFFFFF"/>
          </w:tcPr>
          <w:p w14:paraId="7D2D142F"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Hib2</w:t>
            </w:r>
          </w:p>
        </w:tc>
        <w:tc>
          <w:tcPr>
            <w:tcW w:w="2006" w:type="dxa"/>
            <w:shd w:val="clear" w:color="auto" w:fill="FFFFFF"/>
          </w:tcPr>
          <w:p w14:paraId="456C4529"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4 meses</w:t>
            </w:r>
          </w:p>
        </w:tc>
        <w:tc>
          <w:tcPr>
            <w:tcW w:w="2150" w:type="dxa"/>
            <w:shd w:val="clear" w:color="auto" w:fill="FFFFFF"/>
          </w:tcPr>
          <w:p w14:paraId="65A619EC"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10 semanas</w:t>
            </w:r>
          </w:p>
        </w:tc>
        <w:tc>
          <w:tcPr>
            <w:tcW w:w="2491" w:type="dxa"/>
            <w:shd w:val="clear" w:color="auto" w:fill="FFFFFF"/>
          </w:tcPr>
          <w:p w14:paraId="303D5F62"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2 meses</w:t>
            </w:r>
          </w:p>
        </w:tc>
        <w:tc>
          <w:tcPr>
            <w:tcW w:w="1954" w:type="dxa"/>
            <w:shd w:val="clear" w:color="auto" w:fill="FFFFFF"/>
          </w:tcPr>
          <w:p w14:paraId="3D80F49D"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4C644421" w14:textId="77777777">
        <w:tblPrEx>
          <w:tblCellMar>
            <w:top w:w="0" w:type="dxa"/>
            <w:bottom w:w="0" w:type="dxa"/>
          </w:tblCellMar>
        </w:tblPrEx>
        <w:trPr>
          <w:trHeight w:hRule="exact" w:val="216"/>
        </w:trPr>
        <w:tc>
          <w:tcPr>
            <w:tcW w:w="2251" w:type="dxa"/>
            <w:shd w:val="clear" w:color="auto" w:fill="FFFFFF"/>
          </w:tcPr>
          <w:p w14:paraId="682E355D"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Hib3</w:t>
            </w:r>
            <w:r>
              <w:rPr>
                <w:rFonts w:ascii="Times New Roman" w:eastAsia="Times New Roman" w:hAnsi="Times New Roman" w:cs="Times New Roman"/>
                <w:sz w:val="16"/>
                <w:szCs w:val="16"/>
                <w:vertAlign w:val="superscript"/>
              </w:rPr>
              <w:t>7</w:t>
            </w:r>
          </w:p>
        </w:tc>
        <w:tc>
          <w:tcPr>
            <w:tcW w:w="2006" w:type="dxa"/>
            <w:shd w:val="clear" w:color="auto" w:fill="FFFFFF"/>
          </w:tcPr>
          <w:p w14:paraId="4FC22154"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6 meses</w:t>
            </w:r>
          </w:p>
        </w:tc>
        <w:tc>
          <w:tcPr>
            <w:tcW w:w="2150" w:type="dxa"/>
            <w:shd w:val="clear" w:color="auto" w:fill="FFFFFF"/>
          </w:tcPr>
          <w:p w14:paraId="6585669C"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14 semanas</w:t>
            </w:r>
          </w:p>
        </w:tc>
        <w:tc>
          <w:tcPr>
            <w:tcW w:w="2491" w:type="dxa"/>
            <w:shd w:val="clear" w:color="auto" w:fill="FFFFFF"/>
          </w:tcPr>
          <w:p w14:paraId="49BE595F"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6-9 meses</w:t>
            </w:r>
          </w:p>
        </w:tc>
        <w:tc>
          <w:tcPr>
            <w:tcW w:w="1954" w:type="dxa"/>
            <w:shd w:val="clear" w:color="auto" w:fill="FFFFFF"/>
          </w:tcPr>
          <w:p w14:paraId="26775E2A"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8 semanas</w:t>
            </w:r>
          </w:p>
        </w:tc>
      </w:tr>
      <w:tr w:rsidR="0072615D" w14:paraId="5815DF52" w14:textId="77777777">
        <w:tblPrEx>
          <w:tblCellMar>
            <w:top w:w="0" w:type="dxa"/>
            <w:bottom w:w="0" w:type="dxa"/>
          </w:tblCellMar>
        </w:tblPrEx>
        <w:trPr>
          <w:trHeight w:hRule="exact" w:val="216"/>
        </w:trPr>
        <w:tc>
          <w:tcPr>
            <w:tcW w:w="2251" w:type="dxa"/>
            <w:shd w:val="clear" w:color="auto" w:fill="FFFFFF"/>
            <w:vAlign w:val="bottom"/>
          </w:tcPr>
          <w:p w14:paraId="3D967BC8"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Hib4</w:t>
            </w:r>
          </w:p>
        </w:tc>
        <w:tc>
          <w:tcPr>
            <w:tcW w:w="2006" w:type="dxa"/>
            <w:shd w:val="clear" w:color="auto" w:fill="FFFFFF"/>
            <w:vAlign w:val="bottom"/>
          </w:tcPr>
          <w:p w14:paraId="511780AC"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12-15 meses</w:t>
            </w:r>
          </w:p>
        </w:tc>
        <w:tc>
          <w:tcPr>
            <w:tcW w:w="2150" w:type="dxa"/>
            <w:shd w:val="clear" w:color="auto" w:fill="FFFFFF"/>
            <w:vAlign w:val="bottom"/>
          </w:tcPr>
          <w:p w14:paraId="0DB0183C"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12 meses</w:t>
            </w:r>
          </w:p>
        </w:tc>
        <w:tc>
          <w:tcPr>
            <w:tcW w:w="2491" w:type="dxa"/>
            <w:shd w:val="clear" w:color="auto" w:fill="FFFFFF"/>
            <w:vAlign w:val="bottom"/>
          </w:tcPr>
          <w:p w14:paraId="379E6FCB"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w:t>
            </w:r>
          </w:p>
        </w:tc>
        <w:tc>
          <w:tcPr>
            <w:tcW w:w="1954" w:type="dxa"/>
            <w:shd w:val="clear" w:color="auto" w:fill="FFFFFF"/>
            <w:vAlign w:val="bottom"/>
          </w:tcPr>
          <w:p w14:paraId="543388D9"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w:t>
            </w:r>
          </w:p>
        </w:tc>
      </w:tr>
      <w:tr w:rsidR="0072615D" w14:paraId="6C6621DB" w14:textId="77777777">
        <w:tblPrEx>
          <w:tblCellMar>
            <w:top w:w="0" w:type="dxa"/>
            <w:bottom w:w="0" w:type="dxa"/>
          </w:tblCellMar>
        </w:tblPrEx>
        <w:trPr>
          <w:trHeight w:hRule="exact" w:val="221"/>
        </w:trPr>
        <w:tc>
          <w:tcPr>
            <w:tcW w:w="2251" w:type="dxa"/>
            <w:shd w:val="clear" w:color="auto" w:fill="FFFFFF"/>
          </w:tcPr>
          <w:p w14:paraId="5A253B9B"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Inactivado, virus poliomielitico</w:t>
            </w:r>
          </w:p>
        </w:tc>
        <w:tc>
          <w:tcPr>
            <w:tcW w:w="2006" w:type="dxa"/>
            <w:shd w:val="clear" w:color="auto" w:fill="FFFFFF"/>
          </w:tcPr>
          <w:p w14:paraId="616C9BF2"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2 meses</w:t>
            </w:r>
          </w:p>
        </w:tc>
        <w:tc>
          <w:tcPr>
            <w:tcW w:w="2150" w:type="dxa"/>
            <w:shd w:val="clear" w:color="auto" w:fill="FFFFFF"/>
          </w:tcPr>
          <w:p w14:paraId="1EA78FAC"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6 semanas</w:t>
            </w:r>
          </w:p>
        </w:tc>
        <w:tc>
          <w:tcPr>
            <w:tcW w:w="2491" w:type="dxa"/>
            <w:shd w:val="clear" w:color="auto" w:fill="FFFFFF"/>
          </w:tcPr>
          <w:p w14:paraId="1D3F7D86"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2 meses</w:t>
            </w:r>
          </w:p>
        </w:tc>
        <w:tc>
          <w:tcPr>
            <w:tcW w:w="1954" w:type="dxa"/>
            <w:shd w:val="clear" w:color="auto" w:fill="FFFFFF"/>
          </w:tcPr>
          <w:p w14:paraId="27BF2E76"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090060C5" w14:textId="77777777">
        <w:tblPrEx>
          <w:tblCellMar>
            <w:top w:w="0" w:type="dxa"/>
            <w:bottom w:w="0" w:type="dxa"/>
          </w:tblCellMar>
        </w:tblPrEx>
        <w:trPr>
          <w:trHeight w:hRule="exact" w:val="437"/>
        </w:trPr>
        <w:tc>
          <w:tcPr>
            <w:tcW w:w="2251" w:type="dxa"/>
            <w:shd w:val="clear" w:color="auto" w:fill="FFFFFF"/>
          </w:tcPr>
          <w:p w14:paraId="252DC938"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(IPV)1</w:t>
            </w:r>
            <w:r>
              <w:rPr>
                <w:rFonts w:ascii="Times New Roman" w:eastAsia="Times New Roman" w:hAnsi="Times New Roman" w:cs="Times New Roman"/>
                <w:sz w:val="16"/>
                <w:szCs w:val="16"/>
                <w:vertAlign w:val="superscript"/>
              </w:rPr>
              <w:t>2</w:t>
            </w:r>
          </w:p>
          <w:p w14:paraId="688D2A28"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IPV2</w:t>
            </w:r>
          </w:p>
        </w:tc>
        <w:tc>
          <w:tcPr>
            <w:tcW w:w="2006" w:type="dxa"/>
            <w:shd w:val="clear" w:color="auto" w:fill="FFFFFF"/>
            <w:vAlign w:val="bottom"/>
          </w:tcPr>
          <w:p w14:paraId="0A971EF2"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4 meses</w:t>
            </w:r>
          </w:p>
        </w:tc>
        <w:tc>
          <w:tcPr>
            <w:tcW w:w="2150" w:type="dxa"/>
            <w:shd w:val="clear" w:color="auto" w:fill="FFFFFF"/>
            <w:vAlign w:val="bottom"/>
          </w:tcPr>
          <w:p w14:paraId="628AD84B"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10 semanas</w:t>
            </w:r>
          </w:p>
        </w:tc>
        <w:tc>
          <w:tcPr>
            <w:tcW w:w="2491" w:type="dxa"/>
            <w:shd w:val="clear" w:color="auto" w:fill="FFFFFF"/>
            <w:vAlign w:val="bottom"/>
          </w:tcPr>
          <w:p w14:paraId="03989FCC"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2-14 meses</w:t>
            </w:r>
          </w:p>
        </w:tc>
        <w:tc>
          <w:tcPr>
            <w:tcW w:w="1954" w:type="dxa"/>
            <w:shd w:val="clear" w:color="auto" w:fill="FFFFFF"/>
            <w:vAlign w:val="bottom"/>
          </w:tcPr>
          <w:p w14:paraId="113713D4"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11E21E96" w14:textId="77777777">
        <w:tblPrEx>
          <w:tblCellMar>
            <w:top w:w="0" w:type="dxa"/>
            <w:bottom w:w="0" w:type="dxa"/>
          </w:tblCellMar>
        </w:tblPrEx>
        <w:trPr>
          <w:trHeight w:hRule="exact" w:val="216"/>
        </w:trPr>
        <w:tc>
          <w:tcPr>
            <w:tcW w:w="2251" w:type="dxa"/>
            <w:shd w:val="clear" w:color="auto" w:fill="FFFFFF"/>
          </w:tcPr>
          <w:p w14:paraId="6E8D143F"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IPV3</w:t>
            </w:r>
          </w:p>
        </w:tc>
        <w:tc>
          <w:tcPr>
            <w:tcW w:w="2006" w:type="dxa"/>
            <w:shd w:val="clear" w:color="auto" w:fill="FFFFFF"/>
          </w:tcPr>
          <w:p w14:paraId="354E94F2"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6-18 meses</w:t>
            </w:r>
          </w:p>
        </w:tc>
        <w:tc>
          <w:tcPr>
            <w:tcW w:w="2150" w:type="dxa"/>
            <w:shd w:val="clear" w:color="auto" w:fill="FFFFFF"/>
          </w:tcPr>
          <w:p w14:paraId="22B4DCA9"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14 semanas</w:t>
            </w:r>
          </w:p>
        </w:tc>
        <w:tc>
          <w:tcPr>
            <w:tcW w:w="2491" w:type="dxa"/>
            <w:shd w:val="clear" w:color="auto" w:fill="FFFFFF"/>
          </w:tcPr>
          <w:p w14:paraId="0F820395"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3.5 años</w:t>
            </w:r>
          </w:p>
        </w:tc>
        <w:tc>
          <w:tcPr>
            <w:tcW w:w="1954" w:type="dxa"/>
            <w:shd w:val="clear" w:color="auto" w:fill="FFFFFF"/>
          </w:tcPr>
          <w:p w14:paraId="09D029D9"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7D23D795" w14:textId="77777777">
        <w:tblPrEx>
          <w:tblCellMar>
            <w:top w:w="0" w:type="dxa"/>
            <w:bottom w:w="0" w:type="dxa"/>
          </w:tblCellMar>
        </w:tblPrEx>
        <w:trPr>
          <w:trHeight w:hRule="exact" w:val="216"/>
        </w:trPr>
        <w:tc>
          <w:tcPr>
            <w:tcW w:w="2251" w:type="dxa"/>
            <w:shd w:val="clear" w:color="auto" w:fill="FFFFFF"/>
            <w:vAlign w:val="bottom"/>
          </w:tcPr>
          <w:p w14:paraId="2ABC0F2D"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IPV4</w:t>
            </w:r>
          </w:p>
        </w:tc>
        <w:tc>
          <w:tcPr>
            <w:tcW w:w="2006" w:type="dxa"/>
            <w:shd w:val="clear" w:color="auto" w:fill="FFFFFF"/>
            <w:vAlign w:val="bottom"/>
          </w:tcPr>
          <w:p w14:paraId="0B9EEB0C"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4-6 años</w:t>
            </w:r>
          </w:p>
        </w:tc>
        <w:tc>
          <w:tcPr>
            <w:tcW w:w="2150" w:type="dxa"/>
            <w:shd w:val="clear" w:color="auto" w:fill="FFFFFF"/>
            <w:vAlign w:val="bottom"/>
          </w:tcPr>
          <w:p w14:paraId="6AABD996"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18 semanas</w:t>
            </w:r>
          </w:p>
        </w:tc>
        <w:tc>
          <w:tcPr>
            <w:tcW w:w="2491" w:type="dxa"/>
            <w:shd w:val="clear" w:color="auto" w:fill="FFFFFF"/>
            <w:vAlign w:val="bottom"/>
          </w:tcPr>
          <w:p w14:paraId="5DC75277"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w:t>
            </w:r>
          </w:p>
        </w:tc>
        <w:tc>
          <w:tcPr>
            <w:tcW w:w="1954" w:type="dxa"/>
            <w:shd w:val="clear" w:color="auto" w:fill="FFFFFF"/>
            <w:vAlign w:val="bottom"/>
          </w:tcPr>
          <w:p w14:paraId="42B38C8D"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w:t>
            </w:r>
          </w:p>
        </w:tc>
      </w:tr>
      <w:tr w:rsidR="0072615D" w14:paraId="62922142" w14:textId="77777777">
        <w:tblPrEx>
          <w:tblCellMar>
            <w:top w:w="0" w:type="dxa"/>
            <w:bottom w:w="0" w:type="dxa"/>
          </w:tblCellMar>
        </w:tblPrEx>
        <w:trPr>
          <w:trHeight w:hRule="exact" w:val="216"/>
        </w:trPr>
        <w:tc>
          <w:tcPr>
            <w:tcW w:w="2251" w:type="dxa"/>
            <w:shd w:val="clear" w:color="auto" w:fill="FFFFFF"/>
            <w:vAlign w:val="bottom"/>
          </w:tcPr>
          <w:p w14:paraId="63127194"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Neumocócico, vacuna</w:t>
            </w:r>
          </w:p>
        </w:tc>
        <w:tc>
          <w:tcPr>
            <w:tcW w:w="2006" w:type="dxa"/>
            <w:shd w:val="clear" w:color="auto" w:fill="FFFFFF"/>
            <w:vAlign w:val="bottom"/>
          </w:tcPr>
          <w:p w14:paraId="559C1DBF"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2 meses</w:t>
            </w:r>
          </w:p>
        </w:tc>
        <w:tc>
          <w:tcPr>
            <w:tcW w:w="2150" w:type="dxa"/>
            <w:shd w:val="clear" w:color="auto" w:fill="FFFFFF"/>
            <w:vAlign w:val="bottom"/>
          </w:tcPr>
          <w:p w14:paraId="612E0033"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6 semanas</w:t>
            </w:r>
          </w:p>
        </w:tc>
        <w:tc>
          <w:tcPr>
            <w:tcW w:w="2491" w:type="dxa"/>
            <w:shd w:val="clear" w:color="auto" w:fill="FFFFFF"/>
            <w:vAlign w:val="bottom"/>
          </w:tcPr>
          <w:p w14:paraId="3CCAA03C" w14:textId="77777777" w:rsidR="0072615D" w:rsidRDefault="0072615D">
            <w:pPr>
              <w:pStyle w:val="Other0"/>
              <w:framePr w:w="10853" w:h="6298" w:vSpace="216" w:wrap="none" w:hAnchor="page" w:x="663" w:y="404"/>
              <w:spacing w:line="240" w:lineRule="auto"/>
              <w:ind w:firstLine="400"/>
              <w:jc w:val="both"/>
              <w:rPr>
                <w:sz w:val="16"/>
                <w:szCs w:val="16"/>
              </w:rPr>
            </w:pPr>
            <w:r>
              <w:rPr>
                <w:rFonts w:ascii="Times New Roman" w:eastAsia="Times New Roman" w:hAnsi="Times New Roman" w:cs="Times New Roman"/>
                <w:sz w:val="16"/>
                <w:szCs w:val="16"/>
              </w:rPr>
              <w:t>2 meses</w:t>
            </w:r>
          </w:p>
        </w:tc>
        <w:tc>
          <w:tcPr>
            <w:tcW w:w="1954" w:type="dxa"/>
            <w:shd w:val="clear" w:color="auto" w:fill="FFFFFF"/>
            <w:vAlign w:val="bottom"/>
          </w:tcPr>
          <w:p w14:paraId="4471F35D"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78EB605A" w14:textId="77777777">
        <w:tblPrEx>
          <w:tblCellMar>
            <w:top w:w="0" w:type="dxa"/>
            <w:bottom w:w="0" w:type="dxa"/>
          </w:tblCellMar>
        </w:tblPrEx>
        <w:trPr>
          <w:trHeight w:hRule="exact" w:val="442"/>
        </w:trPr>
        <w:tc>
          <w:tcPr>
            <w:tcW w:w="2251" w:type="dxa"/>
            <w:shd w:val="clear" w:color="auto" w:fill="FFFFFF"/>
          </w:tcPr>
          <w:p w14:paraId="1B12BF17"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de conjugado (PCV)1</w:t>
            </w:r>
            <w:r>
              <w:rPr>
                <w:rFonts w:ascii="Times New Roman" w:eastAsia="Times New Roman" w:hAnsi="Times New Roman" w:cs="Times New Roman"/>
                <w:sz w:val="16"/>
                <w:szCs w:val="16"/>
                <w:vertAlign w:val="superscript"/>
              </w:rPr>
              <w:t>6</w:t>
            </w:r>
          </w:p>
          <w:p w14:paraId="39398E3A"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PCV2</w:t>
            </w:r>
          </w:p>
        </w:tc>
        <w:tc>
          <w:tcPr>
            <w:tcW w:w="2006" w:type="dxa"/>
            <w:shd w:val="clear" w:color="auto" w:fill="FFFFFF"/>
            <w:vAlign w:val="bottom"/>
          </w:tcPr>
          <w:p w14:paraId="70121BBD"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4 meses</w:t>
            </w:r>
          </w:p>
        </w:tc>
        <w:tc>
          <w:tcPr>
            <w:tcW w:w="2150" w:type="dxa"/>
            <w:shd w:val="clear" w:color="auto" w:fill="FFFFFF"/>
            <w:vAlign w:val="bottom"/>
          </w:tcPr>
          <w:p w14:paraId="01BF053E"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10 semanas</w:t>
            </w:r>
          </w:p>
        </w:tc>
        <w:tc>
          <w:tcPr>
            <w:tcW w:w="2491" w:type="dxa"/>
            <w:shd w:val="clear" w:color="auto" w:fill="FFFFFF"/>
            <w:vAlign w:val="bottom"/>
          </w:tcPr>
          <w:p w14:paraId="1838DE70" w14:textId="77777777" w:rsidR="0072615D" w:rsidRDefault="0072615D">
            <w:pPr>
              <w:pStyle w:val="Other0"/>
              <w:framePr w:w="10853" w:h="6298" w:vSpace="216" w:wrap="none" w:hAnchor="page" w:x="663" w:y="404"/>
              <w:spacing w:line="240" w:lineRule="auto"/>
              <w:ind w:firstLine="400"/>
              <w:jc w:val="both"/>
              <w:rPr>
                <w:sz w:val="16"/>
                <w:szCs w:val="16"/>
              </w:rPr>
            </w:pPr>
            <w:r>
              <w:rPr>
                <w:rFonts w:ascii="Times New Roman" w:eastAsia="Times New Roman" w:hAnsi="Times New Roman" w:cs="Times New Roman"/>
                <w:sz w:val="16"/>
                <w:szCs w:val="16"/>
              </w:rPr>
              <w:t>2 meses</w:t>
            </w:r>
          </w:p>
        </w:tc>
        <w:tc>
          <w:tcPr>
            <w:tcW w:w="1954" w:type="dxa"/>
            <w:shd w:val="clear" w:color="auto" w:fill="FFFFFF"/>
            <w:vAlign w:val="bottom"/>
          </w:tcPr>
          <w:p w14:paraId="58BA2A08"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r w:rsidR="0072615D" w14:paraId="4DFD74C4" w14:textId="77777777">
        <w:tblPrEx>
          <w:tblCellMar>
            <w:top w:w="0" w:type="dxa"/>
            <w:bottom w:w="0" w:type="dxa"/>
          </w:tblCellMar>
        </w:tblPrEx>
        <w:trPr>
          <w:trHeight w:hRule="exact" w:val="211"/>
        </w:trPr>
        <w:tc>
          <w:tcPr>
            <w:tcW w:w="2251" w:type="dxa"/>
            <w:shd w:val="clear" w:color="auto" w:fill="FFFFFF"/>
          </w:tcPr>
          <w:p w14:paraId="78DC48AA"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PCV3</w:t>
            </w:r>
          </w:p>
        </w:tc>
        <w:tc>
          <w:tcPr>
            <w:tcW w:w="2006" w:type="dxa"/>
            <w:shd w:val="clear" w:color="auto" w:fill="FFFFFF"/>
          </w:tcPr>
          <w:p w14:paraId="35DC9838"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6 meses</w:t>
            </w:r>
          </w:p>
        </w:tc>
        <w:tc>
          <w:tcPr>
            <w:tcW w:w="2150" w:type="dxa"/>
            <w:shd w:val="clear" w:color="auto" w:fill="FFFFFF"/>
          </w:tcPr>
          <w:p w14:paraId="6AC87CED"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14 semanas</w:t>
            </w:r>
          </w:p>
        </w:tc>
        <w:tc>
          <w:tcPr>
            <w:tcW w:w="2491" w:type="dxa"/>
            <w:shd w:val="clear" w:color="auto" w:fill="FFFFFF"/>
          </w:tcPr>
          <w:p w14:paraId="286D6F1C" w14:textId="77777777" w:rsidR="0072615D" w:rsidRDefault="0072615D">
            <w:pPr>
              <w:pStyle w:val="Other0"/>
              <w:framePr w:w="10853" w:h="6298" w:vSpace="216" w:wrap="none" w:hAnchor="page" w:x="663" w:y="404"/>
              <w:spacing w:line="240" w:lineRule="auto"/>
              <w:ind w:firstLine="400"/>
              <w:jc w:val="both"/>
              <w:rPr>
                <w:sz w:val="16"/>
                <w:szCs w:val="16"/>
              </w:rPr>
            </w:pPr>
            <w:r>
              <w:rPr>
                <w:rFonts w:ascii="Times New Roman" w:eastAsia="Times New Roman" w:hAnsi="Times New Roman" w:cs="Times New Roman"/>
                <w:sz w:val="16"/>
                <w:szCs w:val="16"/>
              </w:rPr>
              <w:t>6 meses</w:t>
            </w:r>
          </w:p>
        </w:tc>
        <w:tc>
          <w:tcPr>
            <w:tcW w:w="1954" w:type="dxa"/>
            <w:shd w:val="clear" w:color="auto" w:fill="FFFFFF"/>
          </w:tcPr>
          <w:p w14:paraId="094C44F1"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8 semanas</w:t>
            </w:r>
          </w:p>
        </w:tc>
      </w:tr>
      <w:tr w:rsidR="0072615D" w14:paraId="21B6D47D" w14:textId="77777777">
        <w:tblPrEx>
          <w:tblCellMar>
            <w:top w:w="0" w:type="dxa"/>
            <w:bottom w:w="0" w:type="dxa"/>
          </w:tblCellMar>
        </w:tblPrEx>
        <w:trPr>
          <w:trHeight w:hRule="exact" w:val="221"/>
        </w:trPr>
        <w:tc>
          <w:tcPr>
            <w:tcW w:w="2251" w:type="dxa"/>
            <w:shd w:val="clear" w:color="auto" w:fill="FFFFFF"/>
            <w:vAlign w:val="bottom"/>
          </w:tcPr>
          <w:p w14:paraId="0F756B48"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PCV4</w:t>
            </w:r>
          </w:p>
        </w:tc>
        <w:tc>
          <w:tcPr>
            <w:tcW w:w="2006" w:type="dxa"/>
            <w:shd w:val="clear" w:color="auto" w:fill="FFFFFF"/>
            <w:vAlign w:val="bottom"/>
          </w:tcPr>
          <w:p w14:paraId="26A16819"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12-15 meses</w:t>
            </w:r>
          </w:p>
        </w:tc>
        <w:tc>
          <w:tcPr>
            <w:tcW w:w="2150" w:type="dxa"/>
            <w:shd w:val="clear" w:color="auto" w:fill="FFFFFF"/>
            <w:vAlign w:val="bottom"/>
          </w:tcPr>
          <w:p w14:paraId="192350BD"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12 meses</w:t>
            </w:r>
          </w:p>
        </w:tc>
        <w:tc>
          <w:tcPr>
            <w:tcW w:w="2491" w:type="dxa"/>
            <w:shd w:val="clear" w:color="auto" w:fill="FFFFFF"/>
            <w:vAlign w:val="bottom"/>
          </w:tcPr>
          <w:p w14:paraId="7ADD2B56"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w:t>
            </w:r>
          </w:p>
        </w:tc>
        <w:tc>
          <w:tcPr>
            <w:tcW w:w="1954" w:type="dxa"/>
            <w:shd w:val="clear" w:color="auto" w:fill="FFFFFF"/>
            <w:vAlign w:val="bottom"/>
          </w:tcPr>
          <w:p w14:paraId="11D489CA"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w:t>
            </w:r>
          </w:p>
        </w:tc>
      </w:tr>
      <w:tr w:rsidR="0072615D" w14:paraId="1A071153" w14:textId="77777777">
        <w:tblPrEx>
          <w:tblCellMar>
            <w:top w:w="0" w:type="dxa"/>
            <w:bottom w:w="0" w:type="dxa"/>
          </w:tblCellMar>
        </w:tblPrEx>
        <w:trPr>
          <w:trHeight w:hRule="exact" w:val="250"/>
        </w:trPr>
        <w:tc>
          <w:tcPr>
            <w:tcW w:w="2251" w:type="dxa"/>
            <w:shd w:val="clear" w:color="auto" w:fill="FFFFFF"/>
          </w:tcPr>
          <w:p w14:paraId="7E028B89"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Sarampión-parotiditis-rubéola</w:t>
            </w:r>
          </w:p>
        </w:tc>
        <w:tc>
          <w:tcPr>
            <w:tcW w:w="2006" w:type="dxa"/>
            <w:shd w:val="clear" w:color="auto" w:fill="FFFFFF"/>
          </w:tcPr>
          <w:p w14:paraId="42AFF597" w14:textId="77777777" w:rsidR="0072615D" w:rsidRDefault="0072615D">
            <w:pPr>
              <w:pStyle w:val="Other0"/>
              <w:framePr w:w="10853" w:h="6298" w:vSpace="216" w:wrap="none" w:hAnchor="page" w:x="663" w:y="404"/>
              <w:spacing w:line="240" w:lineRule="auto"/>
              <w:ind w:firstLine="0"/>
              <w:rPr>
                <w:sz w:val="16"/>
                <w:szCs w:val="16"/>
              </w:rPr>
            </w:pPr>
            <w:r>
              <w:rPr>
                <w:rFonts w:ascii="Times New Roman" w:eastAsia="Times New Roman" w:hAnsi="Times New Roman" w:cs="Times New Roman"/>
                <w:sz w:val="16"/>
                <w:szCs w:val="16"/>
              </w:rPr>
              <w:t>12-15 meses</w:t>
            </w:r>
            <w:r>
              <w:rPr>
                <w:rFonts w:ascii="Times New Roman" w:eastAsia="Times New Roman" w:hAnsi="Times New Roman" w:cs="Times New Roman"/>
                <w:sz w:val="16"/>
                <w:szCs w:val="16"/>
                <w:vertAlign w:val="superscript"/>
              </w:rPr>
              <w:t>8</w:t>
            </w:r>
          </w:p>
        </w:tc>
        <w:tc>
          <w:tcPr>
            <w:tcW w:w="2150" w:type="dxa"/>
            <w:shd w:val="clear" w:color="auto" w:fill="FFFFFF"/>
          </w:tcPr>
          <w:p w14:paraId="736D6E34" w14:textId="77777777" w:rsidR="0072615D" w:rsidRDefault="0072615D">
            <w:pPr>
              <w:pStyle w:val="Other0"/>
              <w:framePr w:w="10853" w:h="6298" w:vSpace="216" w:wrap="none" w:hAnchor="page" w:x="663" w:y="404"/>
              <w:spacing w:line="240" w:lineRule="auto"/>
              <w:ind w:firstLine="300"/>
              <w:rPr>
                <w:sz w:val="16"/>
                <w:szCs w:val="16"/>
              </w:rPr>
            </w:pPr>
            <w:r>
              <w:rPr>
                <w:rFonts w:ascii="Times New Roman" w:eastAsia="Times New Roman" w:hAnsi="Times New Roman" w:cs="Times New Roman"/>
                <w:sz w:val="16"/>
                <w:szCs w:val="16"/>
              </w:rPr>
              <w:t>12 meses</w:t>
            </w:r>
          </w:p>
        </w:tc>
        <w:tc>
          <w:tcPr>
            <w:tcW w:w="2491" w:type="dxa"/>
            <w:shd w:val="clear" w:color="auto" w:fill="FFFFFF"/>
          </w:tcPr>
          <w:p w14:paraId="4829C49D" w14:textId="77777777" w:rsidR="0072615D" w:rsidRDefault="0072615D">
            <w:pPr>
              <w:pStyle w:val="Other0"/>
              <w:framePr w:w="10853" w:h="6298" w:vSpace="216" w:wrap="none" w:hAnchor="page" w:x="663" w:y="404"/>
              <w:spacing w:line="240" w:lineRule="auto"/>
              <w:ind w:firstLine="400"/>
              <w:rPr>
                <w:sz w:val="16"/>
                <w:szCs w:val="16"/>
              </w:rPr>
            </w:pPr>
            <w:r>
              <w:rPr>
                <w:rFonts w:ascii="Times New Roman" w:eastAsia="Times New Roman" w:hAnsi="Times New Roman" w:cs="Times New Roman"/>
                <w:sz w:val="16"/>
                <w:szCs w:val="16"/>
              </w:rPr>
              <w:t>3-5 años</w:t>
            </w:r>
          </w:p>
        </w:tc>
        <w:tc>
          <w:tcPr>
            <w:tcW w:w="1954" w:type="dxa"/>
            <w:shd w:val="clear" w:color="auto" w:fill="FFFFFF"/>
          </w:tcPr>
          <w:p w14:paraId="0568A177" w14:textId="77777777" w:rsidR="0072615D" w:rsidRDefault="0072615D">
            <w:pPr>
              <w:pStyle w:val="Other0"/>
              <w:framePr w:w="10853" w:h="6298" w:vSpace="216" w:wrap="none" w:hAnchor="page" w:x="663" w:y="404"/>
              <w:spacing w:line="240" w:lineRule="auto"/>
              <w:ind w:firstLine="180"/>
              <w:jc w:val="both"/>
              <w:rPr>
                <w:sz w:val="16"/>
                <w:szCs w:val="16"/>
              </w:rPr>
            </w:pPr>
            <w:r>
              <w:rPr>
                <w:rFonts w:ascii="Times New Roman" w:eastAsia="Times New Roman" w:hAnsi="Times New Roman" w:cs="Times New Roman"/>
                <w:sz w:val="16"/>
                <w:szCs w:val="16"/>
              </w:rPr>
              <w:t>4 semanas</w:t>
            </w:r>
          </w:p>
        </w:tc>
      </w:tr>
    </w:tbl>
    <w:p w14:paraId="1C304E62" w14:textId="77777777" w:rsidR="0072615D" w:rsidRDefault="0072615D">
      <w:pPr>
        <w:framePr w:w="10853" w:h="6298" w:vSpace="216" w:wrap="none" w:hAnchor="page" w:x="663" w:y="404"/>
        <w:spacing w:line="1" w:lineRule="exact"/>
      </w:pPr>
    </w:p>
    <w:p w14:paraId="043BC60B" w14:textId="77777777" w:rsidR="0072615D" w:rsidRDefault="0072615D">
      <w:pPr>
        <w:pStyle w:val="Tablecaption0"/>
        <w:framePr w:w="1214" w:h="235" w:wrap="none" w:hAnchor="page" w:x="788" w:y="6682"/>
        <w:spacing w:line="240" w:lineRule="auto"/>
        <w:ind w:left="0"/>
        <w:rPr>
          <w:sz w:val="16"/>
          <w:szCs w:val="16"/>
        </w:rPr>
      </w:pPr>
      <w:r>
        <w:rPr>
          <w:sz w:val="16"/>
          <w:szCs w:val="16"/>
        </w:rPr>
        <w:t>(triple) (MMR)1</w:t>
      </w:r>
    </w:p>
    <w:p w14:paraId="04294F91" w14:textId="77777777" w:rsidR="0072615D" w:rsidRDefault="0072615D">
      <w:pPr>
        <w:pStyle w:val="Bodytext80"/>
        <w:framePr w:w="192" w:h="4238" w:hRule="exact" w:wrap="none" w:hAnchor="page" w:x="12390" w:y="49"/>
        <w:tabs>
          <w:tab w:val="left" w:pos="2640"/>
        </w:tabs>
        <w:textDirection w:val="tbRl"/>
      </w:pPr>
      <w:r>
        <w:rPr>
          <w:sz w:val="16"/>
          <w:szCs w:val="16"/>
        </w:rPr>
        <w:t>32</w:t>
      </w:r>
      <w:r>
        <w:rPr>
          <w:sz w:val="16"/>
          <w:szCs w:val="16"/>
        </w:rPr>
        <w:tab/>
      </w:r>
      <w:r>
        <w:t>INMUNIZACIÓN ACTIVA</w:t>
      </w:r>
    </w:p>
    <w:p w14:paraId="3FDE30A9" w14:textId="77777777" w:rsidR="0072615D" w:rsidRDefault="0072615D">
      <w:pPr>
        <w:spacing w:line="360" w:lineRule="exact"/>
      </w:pPr>
    </w:p>
    <w:p w14:paraId="49FDAC12" w14:textId="77777777" w:rsidR="0072615D" w:rsidRDefault="0072615D">
      <w:pPr>
        <w:spacing w:line="360" w:lineRule="exact"/>
      </w:pPr>
    </w:p>
    <w:p w14:paraId="23BEFEDD" w14:textId="77777777" w:rsidR="0072615D" w:rsidRDefault="0072615D">
      <w:pPr>
        <w:spacing w:line="360" w:lineRule="exact"/>
      </w:pPr>
    </w:p>
    <w:p w14:paraId="71443355" w14:textId="77777777" w:rsidR="0072615D" w:rsidRDefault="0072615D">
      <w:pPr>
        <w:spacing w:line="360" w:lineRule="exact"/>
      </w:pPr>
    </w:p>
    <w:p w14:paraId="607235EB" w14:textId="77777777" w:rsidR="0072615D" w:rsidRDefault="0072615D">
      <w:pPr>
        <w:spacing w:line="360" w:lineRule="exact"/>
      </w:pPr>
    </w:p>
    <w:p w14:paraId="188B63E5" w14:textId="77777777" w:rsidR="0072615D" w:rsidRDefault="0072615D">
      <w:pPr>
        <w:spacing w:line="360" w:lineRule="exact"/>
      </w:pPr>
    </w:p>
    <w:p w14:paraId="368414C5" w14:textId="77777777" w:rsidR="0072615D" w:rsidRDefault="0072615D">
      <w:pPr>
        <w:spacing w:line="360" w:lineRule="exact"/>
      </w:pPr>
    </w:p>
    <w:p w14:paraId="041D9579" w14:textId="77777777" w:rsidR="0072615D" w:rsidRDefault="0072615D">
      <w:pPr>
        <w:spacing w:line="360" w:lineRule="exact"/>
      </w:pPr>
    </w:p>
    <w:p w14:paraId="7DFBF681" w14:textId="77777777" w:rsidR="0072615D" w:rsidRDefault="0072615D">
      <w:pPr>
        <w:spacing w:line="360" w:lineRule="exact"/>
      </w:pPr>
    </w:p>
    <w:p w14:paraId="462CB1DE" w14:textId="77777777" w:rsidR="0072615D" w:rsidRDefault="0072615D">
      <w:pPr>
        <w:spacing w:line="360" w:lineRule="exact"/>
      </w:pPr>
    </w:p>
    <w:p w14:paraId="3BB066FE" w14:textId="77777777" w:rsidR="0072615D" w:rsidRDefault="0072615D">
      <w:pPr>
        <w:spacing w:line="360" w:lineRule="exact"/>
      </w:pPr>
    </w:p>
    <w:p w14:paraId="796BF3D7" w14:textId="77777777" w:rsidR="0072615D" w:rsidRDefault="0072615D">
      <w:pPr>
        <w:spacing w:line="360" w:lineRule="exact"/>
      </w:pPr>
    </w:p>
    <w:p w14:paraId="3D766994" w14:textId="77777777" w:rsidR="0072615D" w:rsidRDefault="0072615D">
      <w:pPr>
        <w:spacing w:line="360" w:lineRule="exact"/>
      </w:pPr>
    </w:p>
    <w:p w14:paraId="02BD30F4" w14:textId="77777777" w:rsidR="0072615D" w:rsidRDefault="0072615D">
      <w:pPr>
        <w:spacing w:line="360" w:lineRule="exact"/>
      </w:pPr>
    </w:p>
    <w:p w14:paraId="2F0BC07B" w14:textId="77777777" w:rsidR="0072615D" w:rsidRDefault="0072615D">
      <w:pPr>
        <w:spacing w:line="360" w:lineRule="exact"/>
      </w:pPr>
    </w:p>
    <w:p w14:paraId="70E3FF3B" w14:textId="77777777" w:rsidR="0072615D" w:rsidRDefault="0072615D">
      <w:pPr>
        <w:spacing w:line="360" w:lineRule="exact"/>
      </w:pPr>
    </w:p>
    <w:p w14:paraId="75C37563" w14:textId="77777777" w:rsidR="0072615D" w:rsidRDefault="0072615D">
      <w:pPr>
        <w:spacing w:line="360" w:lineRule="exact"/>
      </w:pPr>
    </w:p>
    <w:p w14:paraId="667B5A03" w14:textId="77777777" w:rsidR="0072615D" w:rsidRDefault="0072615D">
      <w:pPr>
        <w:spacing w:line="360" w:lineRule="exact"/>
      </w:pPr>
    </w:p>
    <w:p w14:paraId="25391975" w14:textId="77777777" w:rsidR="0072615D" w:rsidRDefault="0072615D">
      <w:pPr>
        <w:spacing w:after="436" w:line="1" w:lineRule="exact"/>
      </w:pPr>
    </w:p>
    <w:p w14:paraId="1A92545B" w14:textId="77777777" w:rsidR="0072615D" w:rsidRDefault="0072615D">
      <w:pPr>
        <w:spacing w:line="1" w:lineRule="exact"/>
        <w:sectPr w:rsidR="0072615D" w:rsidSect="0072615D">
          <w:footnotePr>
            <w:numFmt w:val="chicago"/>
          </w:footnotePr>
          <w:pgSz w:w="13022" w:h="8501" w:orient="landscape"/>
          <w:pgMar w:top="456" w:right="441" w:bottom="994" w:left="662" w:header="0" w:footer="3" w:gutter="0"/>
          <w:cols w:space="720"/>
          <w:noEndnote/>
          <w:docGrid w:linePitch="360"/>
          <w15:footnoteColumns w:val="1"/>
        </w:sectPr>
      </w:pPr>
    </w:p>
    <w:p w14:paraId="7ABAD908" w14:textId="77777777" w:rsidR="0072615D" w:rsidRDefault="0072615D">
      <w:pPr>
        <w:spacing w:line="1" w:lineRule="exact"/>
      </w:pPr>
      <w:r>
        <w:rPr>
          <w:noProof/>
        </w:rPr>
        <mc:AlternateContent>
          <mc:Choice Requires="wps">
            <w:drawing>
              <wp:anchor distT="0" distB="0" distL="114300" distR="114300" simplePos="0" relativeHeight="251667456" behindDoc="0" locked="0" layoutInCell="1" allowOverlap="1" wp14:anchorId="400A124C" wp14:editId="5D6CBF0E">
                <wp:simplePos x="0" y="0"/>
                <wp:positionH relativeFrom="page">
                  <wp:posOffset>411480</wp:posOffset>
                </wp:positionH>
                <wp:positionV relativeFrom="paragraph">
                  <wp:posOffset>234950</wp:posOffset>
                </wp:positionV>
                <wp:extent cx="7239000" cy="1584960"/>
                <wp:effectExtent l="0" t="0" r="0" b="0"/>
                <wp:wrapTopAndBottom/>
                <wp:docPr id="108" name="Shape 108"/>
                <wp:cNvGraphicFramePr/>
                <a:graphic xmlns:a="http://schemas.openxmlformats.org/drawingml/2006/main">
                  <a:graphicData uri="http://schemas.microsoft.com/office/word/2010/wordprocessingShape">
                    <wps:wsp>
                      <wps:cNvSpPr txBox="1"/>
                      <wps:spPr>
                        <a:xfrm>
                          <a:off x="0" y="0"/>
                          <a:ext cx="7239000" cy="158496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2050"/>
                              <w:gridCol w:w="2237"/>
                              <w:gridCol w:w="2155"/>
                              <w:gridCol w:w="2491"/>
                              <w:gridCol w:w="2467"/>
                            </w:tblGrid>
                            <w:tr w:rsidR="0072615D" w14:paraId="480545D1" w14:textId="77777777">
                              <w:tblPrEx>
                                <w:tblCellMar>
                                  <w:top w:w="0" w:type="dxa"/>
                                  <w:bottom w:w="0" w:type="dxa"/>
                                </w:tblCellMar>
                              </w:tblPrEx>
                              <w:trPr>
                                <w:trHeight w:hRule="exact" w:val="562"/>
                                <w:tblHeader/>
                              </w:trPr>
                              <w:tc>
                                <w:tcPr>
                                  <w:tcW w:w="2050" w:type="dxa"/>
                                  <w:shd w:val="clear" w:color="auto" w:fill="231F20"/>
                                </w:tcPr>
                                <w:p w14:paraId="65613E2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Vacuna y número de dosis</w:t>
                                  </w:r>
                                </w:p>
                              </w:tc>
                              <w:tc>
                                <w:tcPr>
                                  <w:tcW w:w="2237" w:type="dxa"/>
                                  <w:shd w:val="clear" w:color="auto" w:fill="231F20"/>
                                </w:tcPr>
                                <w:p w14:paraId="5E9B90E6"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80" w:firstLine="0"/>
                                    <w:rPr>
                                      <w:sz w:val="24"/>
                                      <w:szCs w:val="24"/>
                                    </w:rPr>
                                  </w:pPr>
                                  <w:r>
                                    <w:rPr>
                                      <w:rFonts w:ascii="Arial" w:eastAsia="Arial" w:hAnsi="Arial" w:cs="Arial"/>
                                      <w:b/>
                                      <w:bCs/>
                                      <w:color w:val="FFFFFF"/>
                                      <w:w w:val="70"/>
                                      <w:sz w:val="24"/>
                                      <w:szCs w:val="24"/>
                                    </w:rPr>
                                    <w:t>Edad recomendada para recibir la dosis</w:t>
                                  </w:r>
                                </w:p>
                              </w:tc>
                              <w:tc>
                                <w:tcPr>
                                  <w:tcW w:w="2155" w:type="dxa"/>
                                  <w:shd w:val="clear" w:color="auto" w:fill="231F20"/>
                                </w:tcPr>
                                <w:p w14:paraId="1112C31D"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left="300" w:firstLine="0"/>
                                    <w:rPr>
                                      <w:sz w:val="24"/>
                                      <w:szCs w:val="24"/>
                                    </w:rPr>
                                  </w:pPr>
                                  <w:r>
                                    <w:rPr>
                                      <w:rFonts w:ascii="Arial" w:eastAsia="Arial" w:hAnsi="Arial" w:cs="Arial"/>
                                      <w:b/>
                                      <w:bCs/>
                                      <w:color w:val="FFFFFF"/>
                                      <w:w w:val="70"/>
                                      <w:sz w:val="24"/>
                                      <w:szCs w:val="24"/>
                                    </w:rPr>
                                    <w:t>Edad mínima al recibir la dosis</w:t>
                                  </w:r>
                                </w:p>
                              </w:tc>
                              <w:tc>
                                <w:tcPr>
                                  <w:tcW w:w="2491" w:type="dxa"/>
                                  <w:shd w:val="clear" w:color="auto" w:fill="231F20"/>
                                </w:tcPr>
                                <w:p w14:paraId="17D3F72B"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400"/>
                                    <w:rPr>
                                      <w:sz w:val="24"/>
                                      <w:szCs w:val="24"/>
                                    </w:rPr>
                                  </w:pPr>
                                  <w:r>
                                    <w:rPr>
                                      <w:rFonts w:ascii="Arial" w:eastAsia="Arial" w:hAnsi="Arial" w:cs="Arial"/>
                                      <w:b/>
                                      <w:bCs/>
                                      <w:color w:val="FFFFFF"/>
                                      <w:w w:val="70"/>
                                      <w:sz w:val="24"/>
                                      <w:szCs w:val="24"/>
                                    </w:rPr>
                                    <w:t>Intervalo recomendado con la dosis siguiente</w:t>
                                  </w:r>
                                </w:p>
                              </w:tc>
                              <w:tc>
                                <w:tcPr>
                                  <w:tcW w:w="2467" w:type="dxa"/>
                                  <w:shd w:val="clear" w:color="auto" w:fill="231F20"/>
                                </w:tcPr>
                                <w:p w14:paraId="39BDF8F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40" w:hanging="40"/>
                                    <w:rPr>
                                      <w:sz w:val="24"/>
                                      <w:szCs w:val="24"/>
                                    </w:rPr>
                                  </w:pPr>
                                  <w:r>
                                    <w:rPr>
                                      <w:rFonts w:ascii="Arial" w:eastAsia="Arial" w:hAnsi="Arial" w:cs="Arial"/>
                                      <w:b/>
                                      <w:bCs/>
                                      <w:color w:val="FFFFFF"/>
                                      <w:w w:val="70"/>
                                      <w:sz w:val="24"/>
                                      <w:szCs w:val="24"/>
                                    </w:rPr>
                                    <w:t>Intervalo mínimo con la dosis siguiente</w:t>
                                  </w:r>
                                </w:p>
                              </w:tc>
                            </w:tr>
                            <w:tr w:rsidR="0072615D" w14:paraId="02C5F2D2" w14:textId="77777777">
                              <w:tblPrEx>
                                <w:tblCellMar>
                                  <w:top w:w="0" w:type="dxa"/>
                                  <w:bottom w:w="0" w:type="dxa"/>
                                </w:tblCellMar>
                              </w:tblPrEx>
                              <w:trPr>
                                <w:trHeight w:hRule="exact" w:val="278"/>
                              </w:trPr>
                              <w:tc>
                                <w:tcPr>
                                  <w:tcW w:w="2050" w:type="dxa"/>
                                  <w:shd w:val="clear" w:color="auto" w:fill="FFFFFF"/>
                                  <w:vAlign w:val="center"/>
                                </w:tcPr>
                                <w:p w14:paraId="0D54493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MMR2</w:t>
                                  </w:r>
                                </w:p>
                              </w:tc>
                              <w:tc>
                                <w:tcPr>
                                  <w:tcW w:w="2237" w:type="dxa"/>
                                  <w:shd w:val="clear" w:color="auto" w:fill="FFFFFF"/>
                                  <w:vAlign w:val="center"/>
                                </w:tcPr>
                                <w:p w14:paraId="75892767"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4-6 años</w:t>
                                  </w:r>
                                </w:p>
                              </w:tc>
                              <w:tc>
                                <w:tcPr>
                                  <w:tcW w:w="2155" w:type="dxa"/>
                                  <w:shd w:val="clear" w:color="auto" w:fill="FFFFFF"/>
                                  <w:vAlign w:val="center"/>
                                </w:tcPr>
                                <w:p w14:paraId="29B9A09E"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13 meses</w:t>
                                  </w:r>
                                </w:p>
                              </w:tc>
                              <w:tc>
                                <w:tcPr>
                                  <w:tcW w:w="2491" w:type="dxa"/>
                                  <w:shd w:val="clear" w:color="auto" w:fill="FFFFFF"/>
                                  <w:vAlign w:val="center"/>
                                </w:tcPr>
                                <w:p w14:paraId="51538D29"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w:t>
                                  </w:r>
                                </w:p>
                              </w:tc>
                              <w:tc>
                                <w:tcPr>
                                  <w:tcW w:w="2467" w:type="dxa"/>
                                  <w:shd w:val="clear" w:color="auto" w:fill="FFFFFF"/>
                                  <w:vAlign w:val="center"/>
                                </w:tcPr>
                                <w:p w14:paraId="0D5B4DD7"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w:t>
                                  </w:r>
                                </w:p>
                              </w:tc>
                            </w:tr>
                            <w:tr w:rsidR="0072615D" w14:paraId="06333665" w14:textId="77777777">
                              <w:tblPrEx>
                                <w:tblCellMar>
                                  <w:top w:w="0" w:type="dxa"/>
                                  <w:bottom w:w="0" w:type="dxa"/>
                                </w:tblCellMar>
                              </w:tblPrEx>
                              <w:trPr>
                                <w:trHeight w:hRule="exact" w:val="230"/>
                              </w:trPr>
                              <w:tc>
                                <w:tcPr>
                                  <w:tcW w:w="2050" w:type="dxa"/>
                                  <w:shd w:val="clear" w:color="auto" w:fill="FFFFFF"/>
                                </w:tcPr>
                                <w:p w14:paraId="7F01213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Varicela</w:t>
                                  </w:r>
                                  <w:r>
                                    <w:rPr>
                                      <w:rFonts w:ascii="Times New Roman" w:eastAsia="Times New Roman" w:hAnsi="Times New Roman" w:cs="Times New Roman"/>
                                      <w:sz w:val="16"/>
                                      <w:szCs w:val="16"/>
                                      <w:vertAlign w:val="superscript"/>
                                    </w:rPr>
                                    <w:t>9</w:t>
                                  </w:r>
                                </w:p>
                              </w:tc>
                              <w:tc>
                                <w:tcPr>
                                  <w:tcW w:w="2237" w:type="dxa"/>
                                  <w:shd w:val="clear" w:color="auto" w:fill="FFFFFF"/>
                                </w:tcPr>
                                <w:p w14:paraId="69649E17"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12-15 meses</w:t>
                                  </w:r>
                                </w:p>
                              </w:tc>
                              <w:tc>
                                <w:tcPr>
                                  <w:tcW w:w="2155" w:type="dxa"/>
                                  <w:shd w:val="clear" w:color="auto" w:fill="FFFFFF"/>
                                </w:tcPr>
                                <w:p w14:paraId="5411B80A"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12 meses</w:t>
                                  </w:r>
                                </w:p>
                              </w:tc>
                              <w:tc>
                                <w:tcPr>
                                  <w:tcW w:w="2491" w:type="dxa"/>
                                  <w:shd w:val="clear" w:color="auto" w:fill="FFFFFF"/>
                                </w:tcPr>
                                <w:p w14:paraId="46CE2FC0"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4 semanas</w:t>
                                  </w:r>
                                  <w:r>
                                    <w:rPr>
                                      <w:rFonts w:ascii="Times New Roman" w:eastAsia="Times New Roman" w:hAnsi="Times New Roman" w:cs="Times New Roman"/>
                                      <w:sz w:val="16"/>
                                      <w:szCs w:val="16"/>
                                      <w:vertAlign w:val="superscript"/>
                                    </w:rPr>
                                    <w:t>9</w:t>
                                  </w:r>
                                </w:p>
                              </w:tc>
                              <w:tc>
                                <w:tcPr>
                                  <w:tcW w:w="2467" w:type="dxa"/>
                                  <w:shd w:val="clear" w:color="auto" w:fill="FFFFFF"/>
                                </w:tcPr>
                                <w:p w14:paraId="6F0AA39A"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4 semanas</w:t>
                                  </w:r>
                                  <w:r>
                                    <w:rPr>
                                      <w:rFonts w:ascii="Times New Roman" w:eastAsia="Times New Roman" w:hAnsi="Times New Roman" w:cs="Times New Roman"/>
                                      <w:sz w:val="16"/>
                                      <w:szCs w:val="16"/>
                                      <w:vertAlign w:val="superscript"/>
                                    </w:rPr>
                                    <w:t>9</w:t>
                                  </w:r>
                                </w:p>
                              </w:tc>
                            </w:tr>
                            <w:tr w:rsidR="0072615D" w14:paraId="30937A64" w14:textId="77777777">
                              <w:tblPrEx>
                                <w:tblCellMar>
                                  <w:top w:w="0" w:type="dxa"/>
                                  <w:bottom w:w="0" w:type="dxa"/>
                                </w:tblCellMar>
                              </w:tblPrEx>
                              <w:trPr>
                                <w:trHeight w:hRule="exact" w:val="221"/>
                              </w:trPr>
                              <w:tc>
                                <w:tcPr>
                                  <w:tcW w:w="2050" w:type="dxa"/>
                                  <w:shd w:val="clear" w:color="auto" w:fill="FFFFFF"/>
                                </w:tcPr>
                                <w:p w14:paraId="75BA867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Hepatitis A1</w:t>
                                  </w:r>
                                </w:p>
                              </w:tc>
                              <w:tc>
                                <w:tcPr>
                                  <w:tcW w:w="2237" w:type="dxa"/>
                                  <w:shd w:val="clear" w:color="auto" w:fill="FFFFFF"/>
                                </w:tcPr>
                                <w:p w14:paraId="0FC4C7BE"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 años</w:t>
                                  </w:r>
                                </w:p>
                              </w:tc>
                              <w:tc>
                                <w:tcPr>
                                  <w:tcW w:w="2155" w:type="dxa"/>
                                  <w:shd w:val="clear" w:color="auto" w:fill="FFFFFF"/>
                                </w:tcPr>
                                <w:p w14:paraId="0B2F6F1C"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2 años</w:t>
                                  </w:r>
                                </w:p>
                              </w:tc>
                              <w:tc>
                                <w:tcPr>
                                  <w:tcW w:w="2491" w:type="dxa"/>
                                  <w:shd w:val="clear" w:color="auto" w:fill="FFFFFF"/>
                                </w:tcPr>
                                <w:p w14:paraId="35C649A8"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6-18 meses</w:t>
                                  </w:r>
                                  <w:r>
                                    <w:rPr>
                                      <w:rFonts w:ascii="Times New Roman" w:eastAsia="Times New Roman" w:hAnsi="Times New Roman" w:cs="Times New Roman"/>
                                      <w:sz w:val="16"/>
                                      <w:szCs w:val="16"/>
                                      <w:vertAlign w:val="superscript"/>
                                    </w:rPr>
                                    <w:t>4</w:t>
                                  </w:r>
                                </w:p>
                              </w:tc>
                              <w:tc>
                                <w:tcPr>
                                  <w:tcW w:w="2467" w:type="dxa"/>
                                  <w:shd w:val="clear" w:color="auto" w:fill="FFFFFF"/>
                                </w:tcPr>
                                <w:p w14:paraId="13048C9F"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6 meses</w:t>
                                  </w:r>
                                  <w:r>
                                    <w:rPr>
                                      <w:rFonts w:ascii="Times New Roman" w:eastAsia="Times New Roman" w:hAnsi="Times New Roman" w:cs="Times New Roman"/>
                                      <w:sz w:val="16"/>
                                      <w:szCs w:val="16"/>
                                      <w:vertAlign w:val="superscript"/>
                                    </w:rPr>
                                    <w:t>4</w:t>
                                  </w:r>
                                </w:p>
                              </w:tc>
                            </w:tr>
                            <w:tr w:rsidR="0072615D" w14:paraId="659638EE" w14:textId="77777777">
                              <w:tblPrEx>
                                <w:tblCellMar>
                                  <w:top w:w="0" w:type="dxa"/>
                                  <w:bottom w:w="0" w:type="dxa"/>
                                </w:tblCellMar>
                              </w:tblPrEx>
                              <w:trPr>
                                <w:trHeight w:hRule="exact" w:val="226"/>
                              </w:trPr>
                              <w:tc>
                                <w:tcPr>
                                  <w:tcW w:w="2050" w:type="dxa"/>
                                  <w:shd w:val="clear" w:color="auto" w:fill="FFFFFF"/>
                                  <w:vAlign w:val="bottom"/>
                                </w:tcPr>
                                <w:p w14:paraId="24CB24D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Hepatitis A2</w:t>
                                  </w:r>
                                </w:p>
                              </w:tc>
                              <w:tc>
                                <w:tcPr>
                                  <w:tcW w:w="2237" w:type="dxa"/>
                                  <w:shd w:val="clear" w:color="auto" w:fill="FFFFFF"/>
                                  <w:vAlign w:val="bottom"/>
                                </w:tcPr>
                                <w:p w14:paraId="205250FC"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30 meses</w:t>
                                  </w:r>
                                </w:p>
                              </w:tc>
                              <w:tc>
                                <w:tcPr>
                                  <w:tcW w:w="2155" w:type="dxa"/>
                                  <w:shd w:val="clear" w:color="auto" w:fill="FFFFFF"/>
                                  <w:vAlign w:val="bottom"/>
                                </w:tcPr>
                                <w:p w14:paraId="10F9A273"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30 meses</w:t>
                                  </w:r>
                                </w:p>
                              </w:tc>
                              <w:tc>
                                <w:tcPr>
                                  <w:tcW w:w="2491" w:type="dxa"/>
                                  <w:shd w:val="clear" w:color="auto" w:fill="FFFFFF"/>
                                  <w:vAlign w:val="bottom"/>
                                </w:tcPr>
                                <w:p w14:paraId="53D9D384"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w:t>
                                  </w:r>
                                </w:p>
                              </w:tc>
                              <w:tc>
                                <w:tcPr>
                                  <w:tcW w:w="2467" w:type="dxa"/>
                                  <w:shd w:val="clear" w:color="auto" w:fill="FFFFFF"/>
                                  <w:vAlign w:val="bottom"/>
                                </w:tcPr>
                                <w:p w14:paraId="66946291"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w:t>
                                  </w:r>
                                </w:p>
                              </w:tc>
                            </w:tr>
                            <w:tr w:rsidR="0072615D" w14:paraId="4C26E859" w14:textId="77777777">
                              <w:tblPrEx>
                                <w:tblCellMar>
                                  <w:top w:w="0" w:type="dxa"/>
                                  <w:bottom w:w="0" w:type="dxa"/>
                                </w:tblCellMar>
                              </w:tblPrEx>
                              <w:trPr>
                                <w:trHeight w:hRule="exact" w:val="206"/>
                              </w:trPr>
                              <w:tc>
                                <w:tcPr>
                                  <w:tcW w:w="2050" w:type="dxa"/>
                                  <w:shd w:val="clear" w:color="auto" w:fill="FFFFFF"/>
                                </w:tcPr>
                                <w:p w14:paraId="4F12DDA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Influenza</w:t>
                                  </w:r>
                                  <w:r>
                                    <w:rPr>
                                      <w:rFonts w:ascii="Times New Roman" w:eastAsia="Times New Roman" w:hAnsi="Times New Roman" w:cs="Times New Roman"/>
                                      <w:sz w:val="16"/>
                                      <w:szCs w:val="16"/>
                                      <w:vertAlign w:val="superscript"/>
                                    </w:rPr>
                                    <w:t>10</w:t>
                                  </w:r>
                                </w:p>
                              </w:tc>
                              <w:tc>
                                <w:tcPr>
                                  <w:tcW w:w="2237" w:type="dxa"/>
                                  <w:shd w:val="clear" w:color="auto" w:fill="FFFFFF"/>
                                  <w:vAlign w:val="bottom"/>
                                </w:tcPr>
                                <w:p w14:paraId="21CE0552" w14:textId="77777777" w:rsidR="0072615D" w:rsidRDefault="0072615D">
                                  <w:pPr>
                                    <w:pStyle w:val="Other0"/>
                                    <w:spacing w:line="240" w:lineRule="auto"/>
                                    <w:ind w:firstLine="280"/>
                                    <w:rPr>
                                      <w:sz w:val="16"/>
                                      <w:szCs w:val="16"/>
                                    </w:rPr>
                                  </w:pPr>
                                  <w:r>
                                    <w:rPr>
                                      <w:rFonts w:ascii="Times New Roman" w:eastAsia="Times New Roman" w:hAnsi="Times New Roman" w:cs="Times New Roman"/>
                                      <w:color w:val="000000"/>
                                      <w:sz w:val="16"/>
                                      <w:szCs w:val="16"/>
                                    </w:rPr>
                                    <w:t>—</w:t>
                                  </w:r>
                                </w:p>
                              </w:tc>
                              <w:tc>
                                <w:tcPr>
                                  <w:tcW w:w="2155" w:type="dxa"/>
                                  <w:shd w:val="clear" w:color="auto" w:fill="FFFFFF"/>
                                </w:tcPr>
                                <w:p w14:paraId="77AED05C"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6 meses</w:t>
                                  </w:r>
                                  <w:r>
                                    <w:rPr>
                                      <w:rFonts w:ascii="Times New Roman" w:eastAsia="Times New Roman" w:hAnsi="Times New Roman" w:cs="Times New Roman"/>
                                      <w:sz w:val="16"/>
                                      <w:szCs w:val="16"/>
                                      <w:vertAlign w:val="superscript"/>
                                    </w:rPr>
                                    <w:t>4</w:t>
                                  </w:r>
                                </w:p>
                              </w:tc>
                              <w:tc>
                                <w:tcPr>
                                  <w:tcW w:w="2491" w:type="dxa"/>
                                  <w:shd w:val="clear" w:color="auto" w:fill="FFFFFF"/>
                                </w:tcPr>
                                <w:p w14:paraId="087C54C2"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1 mes</w:t>
                                  </w:r>
                                </w:p>
                              </w:tc>
                              <w:tc>
                                <w:tcPr>
                                  <w:tcW w:w="2467" w:type="dxa"/>
                                  <w:shd w:val="clear" w:color="auto" w:fill="FFFFFF"/>
                                </w:tcPr>
                                <w:p w14:paraId="24CC495B"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4 semanas</w:t>
                                  </w:r>
                                </w:p>
                              </w:tc>
                            </w:tr>
                            <w:tr w:rsidR="0072615D" w14:paraId="0D4D8CEE" w14:textId="77777777">
                              <w:tblPrEx>
                                <w:tblCellMar>
                                  <w:top w:w="0" w:type="dxa"/>
                                  <w:bottom w:w="0" w:type="dxa"/>
                                </w:tblCellMar>
                              </w:tblPrEx>
                              <w:trPr>
                                <w:trHeight w:hRule="exact" w:val="221"/>
                              </w:trPr>
                              <w:tc>
                                <w:tcPr>
                                  <w:tcW w:w="2050" w:type="dxa"/>
                                  <w:shd w:val="clear" w:color="auto" w:fill="FFFFFF"/>
                                  <w:vAlign w:val="bottom"/>
                                </w:tcPr>
                                <w:p w14:paraId="0BAC725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Neumocócico, vacuna</w:t>
                                  </w:r>
                                </w:p>
                              </w:tc>
                              <w:tc>
                                <w:tcPr>
                                  <w:tcW w:w="2237" w:type="dxa"/>
                                  <w:shd w:val="clear" w:color="auto" w:fill="FFFFFF"/>
                                </w:tcPr>
                                <w:p w14:paraId="71AACBBE" w14:textId="77777777" w:rsidR="0072615D" w:rsidRDefault="0072615D">
                                  <w:pPr>
                                    <w:rPr>
                                      <w:sz w:val="10"/>
                                      <w:szCs w:val="10"/>
                                    </w:rPr>
                                  </w:pPr>
                                </w:p>
                              </w:tc>
                              <w:tc>
                                <w:tcPr>
                                  <w:tcW w:w="2155" w:type="dxa"/>
                                  <w:shd w:val="clear" w:color="auto" w:fill="FFFFFF"/>
                                </w:tcPr>
                                <w:p w14:paraId="40571FF3" w14:textId="77777777" w:rsidR="0072615D" w:rsidRDefault="0072615D">
                                  <w:pPr>
                                    <w:rPr>
                                      <w:sz w:val="10"/>
                                      <w:szCs w:val="10"/>
                                    </w:rPr>
                                  </w:pPr>
                                </w:p>
                              </w:tc>
                              <w:tc>
                                <w:tcPr>
                                  <w:tcW w:w="2491" w:type="dxa"/>
                                  <w:shd w:val="clear" w:color="auto" w:fill="FFFFFF"/>
                                </w:tcPr>
                                <w:p w14:paraId="697184B7" w14:textId="77777777" w:rsidR="0072615D" w:rsidRDefault="0072615D">
                                  <w:pPr>
                                    <w:rPr>
                                      <w:sz w:val="10"/>
                                      <w:szCs w:val="10"/>
                                    </w:rPr>
                                  </w:pPr>
                                </w:p>
                              </w:tc>
                              <w:tc>
                                <w:tcPr>
                                  <w:tcW w:w="2467" w:type="dxa"/>
                                  <w:shd w:val="clear" w:color="auto" w:fill="FFFFFF"/>
                                </w:tcPr>
                                <w:p w14:paraId="42FD5FB5" w14:textId="77777777" w:rsidR="0072615D" w:rsidRDefault="0072615D">
                                  <w:pPr>
                                    <w:rPr>
                                      <w:sz w:val="10"/>
                                      <w:szCs w:val="10"/>
                                    </w:rPr>
                                  </w:pPr>
                                </w:p>
                              </w:tc>
                            </w:tr>
                            <w:tr w:rsidR="0072615D" w14:paraId="1B8FA50B" w14:textId="77777777">
                              <w:tblPrEx>
                                <w:tblCellMar>
                                  <w:top w:w="0" w:type="dxa"/>
                                  <w:bottom w:w="0" w:type="dxa"/>
                                </w:tblCellMar>
                              </w:tblPrEx>
                              <w:trPr>
                                <w:trHeight w:hRule="exact" w:val="240"/>
                              </w:trPr>
                              <w:tc>
                                <w:tcPr>
                                  <w:tcW w:w="2050" w:type="dxa"/>
                                  <w:shd w:val="clear" w:color="auto" w:fill="FFFFFF"/>
                                </w:tcPr>
                                <w:p w14:paraId="732448B2"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de polisacárido (PPV)1</w:t>
                                  </w:r>
                                </w:p>
                              </w:tc>
                              <w:tc>
                                <w:tcPr>
                                  <w:tcW w:w="2237" w:type="dxa"/>
                                  <w:shd w:val="clear" w:color="auto" w:fill="FFFFFF"/>
                                  <w:vAlign w:val="center"/>
                                </w:tcPr>
                                <w:p w14:paraId="5205C462" w14:textId="77777777" w:rsidR="0072615D" w:rsidRDefault="0072615D">
                                  <w:pPr>
                                    <w:pStyle w:val="Other0"/>
                                    <w:spacing w:line="240" w:lineRule="auto"/>
                                    <w:ind w:firstLine="280"/>
                                    <w:rPr>
                                      <w:sz w:val="16"/>
                                      <w:szCs w:val="16"/>
                                    </w:rPr>
                                  </w:pPr>
                                  <w:r>
                                    <w:rPr>
                                      <w:rFonts w:ascii="Times New Roman" w:eastAsia="Times New Roman" w:hAnsi="Times New Roman" w:cs="Times New Roman"/>
                                      <w:color w:val="000000"/>
                                      <w:sz w:val="16"/>
                                      <w:szCs w:val="16"/>
                                    </w:rPr>
                                    <w:t>—</w:t>
                                  </w:r>
                                </w:p>
                              </w:tc>
                              <w:tc>
                                <w:tcPr>
                                  <w:tcW w:w="2155" w:type="dxa"/>
                                  <w:shd w:val="clear" w:color="auto" w:fill="FFFFFF"/>
                                </w:tcPr>
                                <w:p w14:paraId="424BB6D9"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2 años</w:t>
                                  </w:r>
                                </w:p>
                              </w:tc>
                              <w:tc>
                                <w:tcPr>
                                  <w:tcW w:w="2491" w:type="dxa"/>
                                  <w:shd w:val="clear" w:color="auto" w:fill="FFFFFF"/>
                                </w:tcPr>
                                <w:p w14:paraId="6DB2751A"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5 años</w:t>
                                  </w:r>
                                  <w:r>
                                    <w:rPr>
                                      <w:rFonts w:ascii="Times New Roman" w:eastAsia="Times New Roman" w:hAnsi="Times New Roman" w:cs="Times New Roman"/>
                                      <w:sz w:val="16"/>
                                      <w:szCs w:val="16"/>
                                      <w:vertAlign w:val="superscript"/>
                                    </w:rPr>
                                    <w:t>11</w:t>
                                  </w:r>
                                </w:p>
                              </w:tc>
                              <w:tc>
                                <w:tcPr>
                                  <w:tcW w:w="2467" w:type="dxa"/>
                                  <w:shd w:val="clear" w:color="auto" w:fill="FFFFFF"/>
                                </w:tcPr>
                                <w:p w14:paraId="72435137"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5 años</w:t>
                                  </w:r>
                                </w:p>
                              </w:tc>
                            </w:tr>
                            <w:tr w:rsidR="0072615D" w14:paraId="571CA613" w14:textId="77777777">
                              <w:tblPrEx>
                                <w:tblCellMar>
                                  <w:top w:w="0" w:type="dxa"/>
                                  <w:bottom w:w="0" w:type="dxa"/>
                                </w:tblCellMar>
                              </w:tblPrEx>
                              <w:trPr>
                                <w:trHeight w:hRule="exact" w:val="312"/>
                              </w:trPr>
                              <w:tc>
                                <w:tcPr>
                                  <w:tcW w:w="2050" w:type="dxa"/>
                                  <w:tcBorders>
                                    <w:bottom w:val="single" w:sz="4" w:space="0" w:color="auto"/>
                                  </w:tcBorders>
                                  <w:shd w:val="clear" w:color="auto" w:fill="FFFFFF"/>
                                </w:tcPr>
                                <w:p w14:paraId="70BB466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PPV2</w:t>
                                  </w:r>
                                </w:p>
                              </w:tc>
                              <w:tc>
                                <w:tcPr>
                                  <w:tcW w:w="2237" w:type="dxa"/>
                                  <w:tcBorders>
                                    <w:bottom w:val="single" w:sz="4" w:space="0" w:color="auto"/>
                                  </w:tcBorders>
                                  <w:shd w:val="clear" w:color="auto" w:fill="FFFFFF"/>
                                  <w:vAlign w:val="center"/>
                                </w:tcPr>
                                <w:p w14:paraId="5B899C9C"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w:t>
                                  </w:r>
                                </w:p>
                              </w:tc>
                              <w:tc>
                                <w:tcPr>
                                  <w:tcW w:w="2155" w:type="dxa"/>
                                  <w:tcBorders>
                                    <w:bottom w:val="single" w:sz="4" w:space="0" w:color="auto"/>
                                  </w:tcBorders>
                                  <w:shd w:val="clear" w:color="auto" w:fill="FFFFFF"/>
                                </w:tcPr>
                                <w:p w14:paraId="494A04C8"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7 años</w:t>
                                  </w:r>
                                  <w:r>
                                    <w:rPr>
                                      <w:rFonts w:ascii="Times New Roman" w:eastAsia="Times New Roman" w:hAnsi="Times New Roman" w:cs="Times New Roman"/>
                                      <w:sz w:val="16"/>
                                      <w:szCs w:val="16"/>
                                      <w:vertAlign w:val="superscript"/>
                                    </w:rPr>
                                    <w:t>11</w:t>
                                  </w:r>
                                </w:p>
                              </w:tc>
                              <w:tc>
                                <w:tcPr>
                                  <w:tcW w:w="2491" w:type="dxa"/>
                                  <w:tcBorders>
                                    <w:bottom w:val="single" w:sz="4" w:space="0" w:color="auto"/>
                                  </w:tcBorders>
                                  <w:shd w:val="clear" w:color="auto" w:fill="FFFFFF"/>
                                  <w:vAlign w:val="center"/>
                                </w:tcPr>
                                <w:p w14:paraId="37A64D04"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w:t>
                                  </w:r>
                                </w:p>
                              </w:tc>
                              <w:tc>
                                <w:tcPr>
                                  <w:tcW w:w="2467" w:type="dxa"/>
                                  <w:tcBorders>
                                    <w:bottom w:val="single" w:sz="4" w:space="0" w:color="auto"/>
                                  </w:tcBorders>
                                  <w:shd w:val="clear" w:color="auto" w:fill="FFFFFF"/>
                                  <w:vAlign w:val="center"/>
                                </w:tcPr>
                                <w:p w14:paraId="01E55C90"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w:t>
                                  </w:r>
                                </w:p>
                              </w:tc>
                            </w:tr>
                          </w:tbl>
                          <w:p w14:paraId="011C15BA" w14:textId="77777777" w:rsidR="0072615D" w:rsidRDefault="0072615D">
                            <w:pPr>
                              <w:spacing w:line="1" w:lineRule="exact"/>
                            </w:pPr>
                          </w:p>
                        </w:txbxContent>
                      </wps:txbx>
                      <wps:bodyPr lIns="0" tIns="0" rIns="0" bIns="0"/>
                    </wps:wsp>
                  </a:graphicData>
                </a:graphic>
              </wp:anchor>
            </w:drawing>
          </mc:Choice>
          <mc:Fallback>
            <w:pict>
              <v:shape w14:anchorId="400A124C" id="Shape 108" o:spid="_x0000_s1034" type="#_x0000_t202" style="position:absolute;margin-left:32.4pt;margin-top:18.5pt;width:570pt;height:124.8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2050"/>
                        <w:gridCol w:w="2237"/>
                        <w:gridCol w:w="2155"/>
                        <w:gridCol w:w="2491"/>
                        <w:gridCol w:w="2467"/>
                      </w:tblGrid>
                      <w:tr w:rsidR="0072615D" w14:paraId="480545D1" w14:textId="77777777">
                        <w:tblPrEx>
                          <w:tblCellMar>
                            <w:top w:w="0" w:type="dxa"/>
                            <w:bottom w:w="0" w:type="dxa"/>
                          </w:tblCellMar>
                        </w:tblPrEx>
                        <w:trPr>
                          <w:trHeight w:hRule="exact" w:val="562"/>
                          <w:tblHeader/>
                        </w:trPr>
                        <w:tc>
                          <w:tcPr>
                            <w:tcW w:w="2050" w:type="dxa"/>
                            <w:shd w:val="clear" w:color="auto" w:fill="231F20"/>
                          </w:tcPr>
                          <w:p w14:paraId="65613E2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Vacuna y número de dosis</w:t>
                            </w:r>
                          </w:p>
                        </w:tc>
                        <w:tc>
                          <w:tcPr>
                            <w:tcW w:w="2237" w:type="dxa"/>
                            <w:shd w:val="clear" w:color="auto" w:fill="231F20"/>
                          </w:tcPr>
                          <w:p w14:paraId="5E9B90E6"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80" w:firstLine="0"/>
                              <w:rPr>
                                <w:sz w:val="24"/>
                                <w:szCs w:val="24"/>
                              </w:rPr>
                            </w:pPr>
                            <w:r>
                              <w:rPr>
                                <w:rFonts w:ascii="Arial" w:eastAsia="Arial" w:hAnsi="Arial" w:cs="Arial"/>
                                <w:b/>
                                <w:bCs/>
                                <w:color w:val="FFFFFF"/>
                                <w:w w:val="70"/>
                                <w:sz w:val="24"/>
                                <w:szCs w:val="24"/>
                              </w:rPr>
                              <w:t>Edad recomendada para recibir la dosis</w:t>
                            </w:r>
                          </w:p>
                        </w:tc>
                        <w:tc>
                          <w:tcPr>
                            <w:tcW w:w="2155" w:type="dxa"/>
                            <w:shd w:val="clear" w:color="auto" w:fill="231F20"/>
                          </w:tcPr>
                          <w:p w14:paraId="1112C31D"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left="300" w:firstLine="0"/>
                              <w:rPr>
                                <w:sz w:val="24"/>
                                <w:szCs w:val="24"/>
                              </w:rPr>
                            </w:pPr>
                            <w:r>
                              <w:rPr>
                                <w:rFonts w:ascii="Arial" w:eastAsia="Arial" w:hAnsi="Arial" w:cs="Arial"/>
                                <w:b/>
                                <w:bCs/>
                                <w:color w:val="FFFFFF"/>
                                <w:w w:val="70"/>
                                <w:sz w:val="24"/>
                                <w:szCs w:val="24"/>
                              </w:rPr>
                              <w:t>Edad mínima al recibir la dosis</w:t>
                            </w:r>
                          </w:p>
                        </w:tc>
                        <w:tc>
                          <w:tcPr>
                            <w:tcW w:w="2491" w:type="dxa"/>
                            <w:shd w:val="clear" w:color="auto" w:fill="231F20"/>
                          </w:tcPr>
                          <w:p w14:paraId="17D3F72B"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400"/>
                              <w:rPr>
                                <w:sz w:val="24"/>
                                <w:szCs w:val="24"/>
                              </w:rPr>
                            </w:pPr>
                            <w:r>
                              <w:rPr>
                                <w:rFonts w:ascii="Arial" w:eastAsia="Arial" w:hAnsi="Arial" w:cs="Arial"/>
                                <w:b/>
                                <w:bCs/>
                                <w:color w:val="FFFFFF"/>
                                <w:w w:val="70"/>
                                <w:sz w:val="24"/>
                                <w:szCs w:val="24"/>
                              </w:rPr>
                              <w:t>Intervalo recomendado con la dosis siguiente</w:t>
                            </w:r>
                          </w:p>
                        </w:tc>
                        <w:tc>
                          <w:tcPr>
                            <w:tcW w:w="2467" w:type="dxa"/>
                            <w:shd w:val="clear" w:color="auto" w:fill="231F20"/>
                          </w:tcPr>
                          <w:p w14:paraId="39BDF8F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40" w:hanging="40"/>
                              <w:rPr>
                                <w:sz w:val="24"/>
                                <w:szCs w:val="24"/>
                              </w:rPr>
                            </w:pPr>
                            <w:r>
                              <w:rPr>
                                <w:rFonts w:ascii="Arial" w:eastAsia="Arial" w:hAnsi="Arial" w:cs="Arial"/>
                                <w:b/>
                                <w:bCs/>
                                <w:color w:val="FFFFFF"/>
                                <w:w w:val="70"/>
                                <w:sz w:val="24"/>
                                <w:szCs w:val="24"/>
                              </w:rPr>
                              <w:t>Intervalo mínimo con la dosis siguiente</w:t>
                            </w:r>
                          </w:p>
                        </w:tc>
                      </w:tr>
                      <w:tr w:rsidR="0072615D" w14:paraId="02C5F2D2" w14:textId="77777777">
                        <w:tblPrEx>
                          <w:tblCellMar>
                            <w:top w:w="0" w:type="dxa"/>
                            <w:bottom w:w="0" w:type="dxa"/>
                          </w:tblCellMar>
                        </w:tblPrEx>
                        <w:trPr>
                          <w:trHeight w:hRule="exact" w:val="278"/>
                        </w:trPr>
                        <w:tc>
                          <w:tcPr>
                            <w:tcW w:w="2050" w:type="dxa"/>
                            <w:shd w:val="clear" w:color="auto" w:fill="FFFFFF"/>
                            <w:vAlign w:val="center"/>
                          </w:tcPr>
                          <w:p w14:paraId="0D54493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MMR2</w:t>
                            </w:r>
                          </w:p>
                        </w:tc>
                        <w:tc>
                          <w:tcPr>
                            <w:tcW w:w="2237" w:type="dxa"/>
                            <w:shd w:val="clear" w:color="auto" w:fill="FFFFFF"/>
                            <w:vAlign w:val="center"/>
                          </w:tcPr>
                          <w:p w14:paraId="75892767"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4-6 años</w:t>
                            </w:r>
                          </w:p>
                        </w:tc>
                        <w:tc>
                          <w:tcPr>
                            <w:tcW w:w="2155" w:type="dxa"/>
                            <w:shd w:val="clear" w:color="auto" w:fill="FFFFFF"/>
                            <w:vAlign w:val="center"/>
                          </w:tcPr>
                          <w:p w14:paraId="29B9A09E"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13 meses</w:t>
                            </w:r>
                          </w:p>
                        </w:tc>
                        <w:tc>
                          <w:tcPr>
                            <w:tcW w:w="2491" w:type="dxa"/>
                            <w:shd w:val="clear" w:color="auto" w:fill="FFFFFF"/>
                            <w:vAlign w:val="center"/>
                          </w:tcPr>
                          <w:p w14:paraId="51538D29"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w:t>
                            </w:r>
                          </w:p>
                        </w:tc>
                        <w:tc>
                          <w:tcPr>
                            <w:tcW w:w="2467" w:type="dxa"/>
                            <w:shd w:val="clear" w:color="auto" w:fill="FFFFFF"/>
                            <w:vAlign w:val="center"/>
                          </w:tcPr>
                          <w:p w14:paraId="0D5B4DD7"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w:t>
                            </w:r>
                          </w:p>
                        </w:tc>
                      </w:tr>
                      <w:tr w:rsidR="0072615D" w14:paraId="06333665" w14:textId="77777777">
                        <w:tblPrEx>
                          <w:tblCellMar>
                            <w:top w:w="0" w:type="dxa"/>
                            <w:bottom w:w="0" w:type="dxa"/>
                          </w:tblCellMar>
                        </w:tblPrEx>
                        <w:trPr>
                          <w:trHeight w:hRule="exact" w:val="230"/>
                        </w:trPr>
                        <w:tc>
                          <w:tcPr>
                            <w:tcW w:w="2050" w:type="dxa"/>
                            <w:shd w:val="clear" w:color="auto" w:fill="FFFFFF"/>
                          </w:tcPr>
                          <w:p w14:paraId="7F01213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Varicela</w:t>
                            </w:r>
                            <w:r>
                              <w:rPr>
                                <w:rFonts w:ascii="Times New Roman" w:eastAsia="Times New Roman" w:hAnsi="Times New Roman" w:cs="Times New Roman"/>
                                <w:sz w:val="16"/>
                                <w:szCs w:val="16"/>
                                <w:vertAlign w:val="superscript"/>
                              </w:rPr>
                              <w:t>9</w:t>
                            </w:r>
                          </w:p>
                        </w:tc>
                        <w:tc>
                          <w:tcPr>
                            <w:tcW w:w="2237" w:type="dxa"/>
                            <w:shd w:val="clear" w:color="auto" w:fill="FFFFFF"/>
                          </w:tcPr>
                          <w:p w14:paraId="69649E17"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12-15 meses</w:t>
                            </w:r>
                          </w:p>
                        </w:tc>
                        <w:tc>
                          <w:tcPr>
                            <w:tcW w:w="2155" w:type="dxa"/>
                            <w:shd w:val="clear" w:color="auto" w:fill="FFFFFF"/>
                          </w:tcPr>
                          <w:p w14:paraId="5411B80A"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12 meses</w:t>
                            </w:r>
                          </w:p>
                        </w:tc>
                        <w:tc>
                          <w:tcPr>
                            <w:tcW w:w="2491" w:type="dxa"/>
                            <w:shd w:val="clear" w:color="auto" w:fill="FFFFFF"/>
                          </w:tcPr>
                          <w:p w14:paraId="46CE2FC0"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4 semanas</w:t>
                            </w:r>
                            <w:r>
                              <w:rPr>
                                <w:rFonts w:ascii="Times New Roman" w:eastAsia="Times New Roman" w:hAnsi="Times New Roman" w:cs="Times New Roman"/>
                                <w:sz w:val="16"/>
                                <w:szCs w:val="16"/>
                                <w:vertAlign w:val="superscript"/>
                              </w:rPr>
                              <w:t>9</w:t>
                            </w:r>
                          </w:p>
                        </w:tc>
                        <w:tc>
                          <w:tcPr>
                            <w:tcW w:w="2467" w:type="dxa"/>
                            <w:shd w:val="clear" w:color="auto" w:fill="FFFFFF"/>
                          </w:tcPr>
                          <w:p w14:paraId="6F0AA39A"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4 semanas</w:t>
                            </w:r>
                            <w:r>
                              <w:rPr>
                                <w:rFonts w:ascii="Times New Roman" w:eastAsia="Times New Roman" w:hAnsi="Times New Roman" w:cs="Times New Roman"/>
                                <w:sz w:val="16"/>
                                <w:szCs w:val="16"/>
                                <w:vertAlign w:val="superscript"/>
                              </w:rPr>
                              <w:t>9</w:t>
                            </w:r>
                          </w:p>
                        </w:tc>
                      </w:tr>
                      <w:tr w:rsidR="0072615D" w14:paraId="30937A64" w14:textId="77777777">
                        <w:tblPrEx>
                          <w:tblCellMar>
                            <w:top w:w="0" w:type="dxa"/>
                            <w:bottom w:w="0" w:type="dxa"/>
                          </w:tblCellMar>
                        </w:tblPrEx>
                        <w:trPr>
                          <w:trHeight w:hRule="exact" w:val="221"/>
                        </w:trPr>
                        <w:tc>
                          <w:tcPr>
                            <w:tcW w:w="2050" w:type="dxa"/>
                            <w:shd w:val="clear" w:color="auto" w:fill="FFFFFF"/>
                          </w:tcPr>
                          <w:p w14:paraId="75BA867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Hepatitis A1</w:t>
                            </w:r>
                          </w:p>
                        </w:tc>
                        <w:tc>
                          <w:tcPr>
                            <w:tcW w:w="2237" w:type="dxa"/>
                            <w:shd w:val="clear" w:color="auto" w:fill="FFFFFF"/>
                          </w:tcPr>
                          <w:p w14:paraId="0FC4C7BE"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2 años</w:t>
                            </w:r>
                          </w:p>
                        </w:tc>
                        <w:tc>
                          <w:tcPr>
                            <w:tcW w:w="2155" w:type="dxa"/>
                            <w:shd w:val="clear" w:color="auto" w:fill="FFFFFF"/>
                          </w:tcPr>
                          <w:p w14:paraId="0B2F6F1C"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2 años</w:t>
                            </w:r>
                          </w:p>
                        </w:tc>
                        <w:tc>
                          <w:tcPr>
                            <w:tcW w:w="2491" w:type="dxa"/>
                            <w:shd w:val="clear" w:color="auto" w:fill="FFFFFF"/>
                          </w:tcPr>
                          <w:p w14:paraId="35C649A8"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6-18 meses</w:t>
                            </w:r>
                            <w:r>
                              <w:rPr>
                                <w:rFonts w:ascii="Times New Roman" w:eastAsia="Times New Roman" w:hAnsi="Times New Roman" w:cs="Times New Roman"/>
                                <w:sz w:val="16"/>
                                <w:szCs w:val="16"/>
                                <w:vertAlign w:val="superscript"/>
                              </w:rPr>
                              <w:t>4</w:t>
                            </w:r>
                          </w:p>
                        </w:tc>
                        <w:tc>
                          <w:tcPr>
                            <w:tcW w:w="2467" w:type="dxa"/>
                            <w:shd w:val="clear" w:color="auto" w:fill="FFFFFF"/>
                          </w:tcPr>
                          <w:p w14:paraId="13048C9F"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6 meses</w:t>
                            </w:r>
                            <w:r>
                              <w:rPr>
                                <w:rFonts w:ascii="Times New Roman" w:eastAsia="Times New Roman" w:hAnsi="Times New Roman" w:cs="Times New Roman"/>
                                <w:sz w:val="16"/>
                                <w:szCs w:val="16"/>
                                <w:vertAlign w:val="superscript"/>
                              </w:rPr>
                              <w:t>4</w:t>
                            </w:r>
                          </w:p>
                        </w:tc>
                      </w:tr>
                      <w:tr w:rsidR="0072615D" w14:paraId="659638EE" w14:textId="77777777">
                        <w:tblPrEx>
                          <w:tblCellMar>
                            <w:top w:w="0" w:type="dxa"/>
                            <w:bottom w:w="0" w:type="dxa"/>
                          </w:tblCellMar>
                        </w:tblPrEx>
                        <w:trPr>
                          <w:trHeight w:hRule="exact" w:val="226"/>
                        </w:trPr>
                        <w:tc>
                          <w:tcPr>
                            <w:tcW w:w="2050" w:type="dxa"/>
                            <w:shd w:val="clear" w:color="auto" w:fill="FFFFFF"/>
                            <w:vAlign w:val="bottom"/>
                          </w:tcPr>
                          <w:p w14:paraId="24CB24D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Hepatitis A2</w:t>
                            </w:r>
                          </w:p>
                        </w:tc>
                        <w:tc>
                          <w:tcPr>
                            <w:tcW w:w="2237" w:type="dxa"/>
                            <w:shd w:val="clear" w:color="auto" w:fill="FFFFFF"/>
                            <w:vAlign w:val="bottom"/>
                          </w:tcPr>
                          <w:p w14:paraId="205250FC"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20"/>
                                <w:szCs w:val="20"/>
                              </w:rPr>
                              <w:t>&gt;</w:t>
                            </w:r>
                            <w:r>
                              <w:rPr>
                                <w:rFonts w:ascii="Times New Roman" w:eastAsia="Times New Roman" w:hAnsi="Times New Roman" w:cs="Times New Roman"/>
                                <w:sz w:val="16"/>
                                <w:szCs w:val="16"/>
                              </w:rPr>
                              <w:t>30 meses</w:t>
                            </w:r>
                          </w:p>
                        </w:tc>
                        <w:tc>
                          <w:tcPr>
                            <w:tcW w:w="2155" w:type="dxa"/>
                            <w:shd w:val="clear" w:color="auto" w:fill="FFFFFF"/>
                            <w:vAlign w:val="bottom"/>
                          </w:tcPr>
                          <w:p w14:paraId="10F9A273"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30 meses</w:t>
                            </w:r>
                          </w:p>
                        </w:tc>
                        <w:tc>
                          <w:tcPr>
                            <w:tcW w:w="2491" w:type="dxa"/>
                            <w:shd w:val="clear" w:color="auto" w:fill="FFFFFF"/>
                            <w:vAlign w:val="bottom"/>
                          </w:tcPr>
                          <w:p w14:paraId="53D9D384"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w:t>
                            </w:r>
                          </w:p>
                        </w:tc>
                        <w:tc>
                          <w:tcPr>
                            <w:tcW w:w="2467" w:type="dxa"/>
                            <w:shd w:val="clear" w:color="auto" w:fill="FFFFFF"/>
                            <w:vAlign w:val="bottom"/>
                          </w:tcPr>
                          <w:p w14:paraId="66946291"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w:t>
                            </w:r>
                          </w:p>
                        </w:tc>
                      </w:tr>
                      <w:tr w:rsidR="0072615D" w14:paraId="4C26E859" w14:textId="77777777">
                        <w:tblPrEx>
                          <w:tblCellMar>
                            <w:top w:w="0" w:type="dxa"/>
                            <w:bottom w:w="0" w:type="dxa"/>
                          </w:tblCellMar>
                        </w:tblPrEx>
                        <w:trPr>
                          <w:trHeight w:hRule="exact" w:val="206"/>
                        </w:trPr>
                        <w:tc>
                          <w:tcPr>
                            <w:tcW w:w="2050" w:type="dxa"/>
                            <w:shd w:val="clear" w:color="auto" w:fill="FFFFFF"/>
                          </w:tcPr>
                          <w:p w14:paraId="4F12DDA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Influenza</w:t>
                            </w:r>
                            <w:r>
                              <w:rPr>
                                <w:rFonts w:ascii="Times New Roman" w:eastAsia="Times New Roman" w:hAnsi="Times New Roman" w:cs="Times New Roman"/>
                                <w:sz w:val="16"/>
                                <w:szCs w:val="16"/>
                                <w:vertAlign w:val="superscript"/>
                              </w:rPr>
                              <w:t>10</w:t>
                            </w:r>
                          </w:p>
                        </w:tc>
                        <w:tc>
                          <w:tcPr>
                            <w:tcW w:w="2237" w:type="dxa"/>
                            <w:shd w:val="clear" w:color="auto" w:fill="FFFFFF"/>
                            <w:vAlign w:val="bottom"/>
                          </w:tcPr>
                          <w:p w14:paraId="21CE0552" w14:textId="77777777" w:rsidR="0072615D" w:rsidRDefault="0072615D">
                            <w:pPr>
                              <w:pStyle w:val="Other0"/>
                              <w:spacing w:line="240" w:lineRule="auto"/>
                              <w:ind w:firstLine="280"/>
                              <w:rPr>
                                <w:sz w:val="16"/>
                                <w:szCs w:val="16"/>
                              </w:rPr>
                            </w:pPr>
                            <w:r>
                              <w:rPr>
                                <w:rFonts w:ascii="Times New Roman" w:eastAsia="Times New Roman" w:hAnsi="Times New Roman" w:cs="Times New Roman"/>
                                <w:color w:val="000000"/>
                                <w:sz w:val="16"/>
                                <w:szCs w:val="16"/>
                              </w:rPr>
                              <w:t>—</w:t>
                            </w:r>
                          </w:p>
                        </w:tc>
                        <w:tc>
                          <w:tcPr>
                            <w:tcW w:w="2155" w:type="dxa"/>
                            <w:shd w:val="clear" w:color="auto" w:fill="FFFFFF"/>
                          </w:tcPr>
                          <w:p w14:paraId="77AED05C"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6 meses</w:t>
                            </w:r>
                            <w:r>
                              <w:rPr>
                                <w:rFonts w:ascii="Times New Roman" w:eastAsia="Times New Roman" w:hAnsi="Times New Roman" w:cs="Times New Roman"/>
                                <w:sz w:val="16"/>
                                <w:szCs w:val="16"/>
                                <w:vertAlign w:val="superscript"/>
                              </w:rPr>
                              <w:t>4</w:t>
                            </w:r>
                          </w:p>
                        </w:tc>
                        <w:tc>
                          <w:tcPr>
                            <w:tcW w:w="2491" w:type="dxa"/>
                            <w:shd w:val="clear" w:color="auto" w:fill="FFFFFF"/>
                          </w:tcPr>
                          <w:p w14:paraId="087C54C2"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1 mes</w:t>
                            </w:r>
                          </w:p>
                        </w:tc>
                        <w:tc>
                          <w:tcPr>
                            <w:tcW w:w="2467" w:type="dxa"/>
                            <w:shd w:val="clear" w:color="auto" w:fill="FFFFFF"/>
                          </w:tcPr>
                          <w:p w14:paraId="24CC495B"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4 semanas</w:t>
                            </w:r>
                          </w:p>
                        </w:tc>
                      </w:tr>
                      <w:tr w:rsidR="0072615D" w14:paraId="0D4D8CEE" w14:textId="77777777">
                        <w:tblPrEx>
                          <w:tblCellMar>
                            <w:top w:w="0" w:type="dxa"/>
                            <w:bottom w:w="0" w:type="dxa"/>
                          </w:tblCellMar>
                        </w:tblPrEx>
                        <w:trPr>
                          <w:trHeight w:hRule="exact" w:val="221"/>
                        </w:trPr>
                        <w:tc>
                          <w:tcPr>
                            <w:tcW w:w="2050" w:type="dxa"/>
                            <w:shd w:val="clear" w:color="auto" w:fill="FFFFFF"/>
                            <w:vAlign w:val="bottom"/>
                          </w:tcPr>
                          <w:p w14:paraId="0BAC725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Neumocócico, vacuna</w:t>
                            </w:r>
                          </w:p>
                        </w:tc>
                        <w:tc>
                          <w:tcPr>
                            <w:tcW w:w="2237" w:type="dxa"/>
                            <w:shd w:val="clear" w:color="auto" w:fill="FFFFFF"/>
                          </w:tcPr>
                          <w:p w14:paraId="71AACBBE" w14:textId="77777777" w:rsidR="0072615D" w:rsidRDefault="0072615D">
                            <w:pPr>
                              <w:rPr>
                                <w:sz w:val="10"/>
                                <w:szCs w:val="10"/>
                              </w:rPr>
                            </w:pPr>
                          </w:p>
                        </w:tc>
                        <w:tc>
                          <w:tcPr>
                            <w:tcW w:w="2155" w:type="dxa"/>
                            <w:shd w:val="clear" w:color="auto" w:fill="FFFFFF"/>
                          </w:tcPr>
                          <w:p w14:paraId="40571FF3" w14:textId="77777777" w:rsidR="0072615D" w:rsidRDefault="0072615D">
                            <w:pPr>
                              <w:rPr>
                                <w:sz w:val="10"/>
                                <w:szCs w:val="10"/>
                              </w:rPr>
                            </w:pPr>
                          </w:p>
                        </w:tc>
                        <w:tc>
                          <w:tcPr>
                            <w:tcW w:w="2491" w:type="dxa"/>
                            <w:shd w:val="clear" w:color="auto" w:fill="FFFFFF"/>
                          </w:tcPr>
                          <w:p w14:paraId="697184B7" w14:textId="77777777" w:rsidR="0072615D" w:rsidRDefault="0072615D">
                            <w:pPr>
                              <w:rPr>
                                <w:sz w:val="10"/>
                                <w:szCs w:val="10"/>
                              </w:rPr>
                            </w:pPr>
                          </w:p>
                        </w:tc>
                        <w:tc>
                          <w:tcPr>
                            <w:tcW w:w="2467" w:type="dxa"/>
                            <w:shd w:val="clear" w:color="auto" w:fill="FFFFFF"/>
                          </w:tcPr>
                          <w:p w14:paraId="42FD5FB5" w14:textId="77777777" w:rsidR="0072615D" w:rsidRDefault="0072615D">
                            <w:pPr>
                              <w:rPr>
                                <w:sz w:val="10"/>
                                <w:szCs w:val="10"/>
                              </w:rPr>
                            </w:pPr>
                          </w:p>
                        </w:tc>
                      </w:tr>
                      <w:tr w:rsidR="0072615D" w14:paraId="1B8FA50B" w14:textId="77777777">
                        <w:tblPrEx>
                          <w:tblCellMar>
                            <w:top w:w="0" w:type="dxa"/>
                            <w:bottom w:w="0" w:type="dxa"/>
                          </w:tblCellMar>
                        </w:tblPrEx>
                        <w:trPr>
                          <w:trHeight w:hRule="exact" w:val="240"/>
                        </w:trPr>
                        <w:tc>
                          <w:tcPr>
                            <w:tcW w:w="2050" w:type="dxa"/>
                            <w:shd w:val="clear" w:color="auto" w:fill="FFFFFF"/>
                          </w:tcPr>
                          <w:p w14:paraId="732448B2"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de polisacárido (PPV)1</w:t>
                            </w:r>
                          </w:p>
                        </w:tc>
                        <w:tc>
                          <w:tcPr>
                            <w:tcW w:w="2237" w:type="dxa"/>
                            <w:shd w:val="clear" w:color="auto" w:fill="FFFFFF"/>
                            <w:vAlign w:val="center"/>
                          </w:tcPr>
                          <w:p w14:paraId="5205C462" w14:textId="77777777" w:rsidR="0072615D" w:rsidRDefault="0072615D">
                            <w:pPr>
                              <w:pStyle w:val="Other0"/>
                              <w:spacing w:line="240" w:lineRule="auto"/>
                              <w:ind w:firstLine="280"/>
                              <w:rPr>
                                <w:sz w:val="16"/>
                                <w:szCs w:val="16"/>
                              </w:rPr>
                            </w:pPr>
                            <w:r>
                              <w:rPr>
                                <w:rFonts w:ascii="Times New Roman" w:eastAsia="Times New Roman" w:hAnsi="Times New Roman" w:cs="Times New Roman"/>
                                <w:color w:val="000000"/>
                                <w:sz w:val="16"/>
                                <w:szCs w:val="16"/>
                              </w:rPr>
                              <w:t>—</w:t>
                            </w:r>
                          </w:p>
                        </w:tc>
                        <w:tc>
                          <w:tcPr>
                            <w:tcW w:w="2155" w:type="dxa"/>
                            <w:shd w:val="clear" w:color="auto" w:fill="FFFFFF"/>
                          </w:tcPr>
                          <w:p w14:paraId="424BB6D9"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2 años</w:t>
                            </w:r>
                          </w:p>
                        </w:tc>
                        <w:tc>
                          <w:tcPr>
                            <w:tcW w:w="2491" w:type="dxa"/>
                            <w:shd w:val="clear" w:color="auto" w:fill="FFFFFF"/>
                          </w:tcPr>
                          <w:p w14:paraId="6DB2751A"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5 años</w:t>
                            </w:r>
                            <w:r>
                              <w:rPr>
                                <w:rFonts w:ascii="Times New Roman" w:eastAsia="Times New Roman" w:hAnsi="Times New Roman" w:cs="Times New Roman"/>
                                <w:sz w:val="16"/>
                                <w:szCs w:val="16"/>
                                <w:vertAlign w:val="superscript"/>
                              </w:rPr>
                              <w:t>11</w:t>
                            </w:r>
                          </w:p>
                        </w:tc>
                        <w:tc>
                          <w:tcPr>
                            <w:tcW w:w="2467" w:type="dxa"/>
                            <w:shd w:val="clear" w:color="auto" w:fill="FFFFFF"/>
                          </w:tcPr>
                          <w:p w14:paraId="72435137"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5 años</w:t>
                            </w:r>
                          </w:p>
                        </w:tc>
                      </w:tr>
                      <w:tr w:rsidR="0072615D" w14:paraId="571CA613" w14:textId="77777777">
                        <w:tblPrEx>
                          <w:tblCellMar>
                            <w:top w:w="0" w:type="dxa"/>
                            <w:bottom w:w="0" w:type="dxa"/>
                          </w:tblCellMar>
                        </w:tblPrEx>
                        <w:trPr>
                          <w:trHeight w:hRule="exact" w:val="312"/>
                        </w:trPr>
                        <w:tc>
                          <w:tcPr>
                            <w:tcW w:w="2050" w:type="dxa"/>
                            <w:tcBorders>
                              <w:bottom w:val="single" w:sz="4" w:space="0" w:color="auto"/>
                            </w:tcBorders>
                            <w:shd w:val="clear" w:color="auto" w:fill="FFFFFF"/>
                          </w:tcPr>
                          <w:p w14:paraId="70BB466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PPV2</w:t>
                            </w:r>
                          </w:p>
                        </w:tc>
                        <w:tc>
                          <w:tcPr>
                            <w:tcW w:w="2237" w:type="dxa"/>
                            <w:tcBorders>
                              <w:bottom w:val="single" w:sz="4" w:space="0" w:color="auto"/>
                            </w:tcBorders>
                            <w:shd w:val="clear" w:color="auto" w:fill="FFFFFF"/>
                            <w:vAlign w:val="center"/>
                          </w:tcPr>
                          <w:p w14:paraId="5B899C9C" w14:textId="77777777" w:rsidR="0072615D" w:rsidRDefault="0072615D">
                            <w:pPr>
                              <w:pStyle w:val="Other0"/>
                              <w:spacing w:line="240" w:lineRule="auto"/>
                              <w:ind w:firstLine="280"/>
                              <w:rPr>
                                <w:sz w:val="16"/>
                                <w:szCs w:val="16"/>
                              </w:rPr>
                            </w:pPr>
                            <w:r>
                              <w:rPr>
                                <w:rFonts w:ascii="Times New Roman" w:eastAsia="Times New Roman" w:hAnsi="Times New Roman" w:cs="Times New Roman"/>
                                <w:sz w:val="16"/>
                                <w:szCs w:val="16"/>
                              </w:rPr>
                              <w:t>—</w:t>
                            </w:r>
                          </w:p>
                        </w:tc>
                        <w:tc>
                          <w:tcPr>
                            <w:tcW w:w="2155" w:type="dxa"/>
                            <w:tcBorders>
                              <w:bottom w:val="single" w:sz="4" w:space="0" w:color="auto"/>
                            </w:tcBorders>
                            <w:shd w:val="clear" w:color="auto" w:fill="FFFFFF"/>
                          </w:tcPr>
                          <w:p w14:paraId="494A04C8" w14:textId="77777777" w:rsidR="0072615D" w:rsidRDefault="0072615D">
                            <w:pPr>
                              <w:pStyle w:val="Other0"/>
                              <w:spacing w:line="240" w:lineRule="auto"/>
                              <w:ind w:firstLine="300"/>
                              <w:rPr>
                                <w:sz w:val="16"/>
                                <w:szCs w:val="16"/>
                              </w:rPr>
                            </w:pPr>
                            <w:r>
                              <w:rPr>
                                <w:rFonts w:ascii="Times New Roman" w:eastAsia="Times New Roman" w:hAnsi="Times New Roman" w:cs="Times New Roman"/>
                                <w:sz w:val="16"/>
                                <w:szCs w:val="16"/>
                              </w:rPr>
                              <w:t>7 años</w:t>
                            </w:r>
                            <w:r>
                              <w:rPr>
                                <w:rFonts w:ascii="Times New Roman" w:eastAsia="Times New Roman" w:hAnsi="Times New Roman" w:cs="Times New Roman"/>
                                <w:sz w:val="16"/>
                                <w:szCs w:val="16"/>
                                <w:vertAlign w:val="superscript"/>
                              </w:rPr>
                              <w:t>11</w:t>
                            </w:r>
                          </w:p>
                        </w:tc>
                        <w:tc>
                          <w:tcPr>
                            <w:tcW w:w="2491" w:type="dxa"/>
                            <w:tcBorders>
                              <w:bottom w:val="single" w:sz="4" w:space="0" w:color="auto"/>
                            </w:tcBorders>
                            <w:shd w:val="clear" w:color="auto" w:fill="FFFFFF"/>
                            <w:vAlign w:val="center"/>
                          </w:tcPr>
                          <w:p w14:paraId="37A64D04" w14:textId="77777777" w:rsidR="0072615D" w:rsidRDefault="0072615D">
                            <w:pPr>
                              <w:pStyle w:val="Other0"/>
                              <w:spacing w:line="240" w:lineRule="auto"/>
                              <w:ind w:firstLine="400"/>
                              <w:rPr>
                                <w:sz w:val="16"/>
                                <w:szCs w:val="16"/>
                              </w:rPr>
                            </w:pPr>
                            <w:r>
                              <w:rPr>
                                <w:rFonts w:ascii="Times New Roman" w:eastAsia="Times New Roman" w:hAnsi="Times New Roman" w:cs="Times New Roman"/>
                                <w:sz w:val="16"/>
                                <w:szCs w:val="16"/>
                              </w:rPr>
                              <w:t>—</w:t>
                            </w:r>
                          </w:p>
                        </w:tc>
                        <w:tc>
                          <w:tcPr>
                            <w:tcW w:w="2467" w:type="dxa"/>
                            <w:tcBorders>
                              <w:bottom w:val="single" w:sz="4" w:space="0" w:color="auto"/>
                            </w:tcBorders>
                            <w:shd w:val="clear" w:color="auto" w:fill="FFFFFF"/>
                            <w:vAlign w:val="center"/>
                          </w:tcPr>
                          <w:p w14:paraId="01E55C90"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w:t>
                            </w:r>
                          </w:p>
                        </w:tc>
                      </w:tr>
                    </w:tbl>
                    <w:p w14:paraId="011C15BA" w14:textId="77777777" w:rsidR="0072615D" w:rsidRDefault="0072615D">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68480" behindDoc="0" locked="0" layoutInCell="1" allowOverlap="1" wp14:anchorId="2FEA66EF" wp14:editId="4E7BB969">
                <wp:simplePos x="0" y="0"/>
                <wp:positionH relativeFrom="page">
                  <wp:posOffset>7867015</wp:posOffset>
                </wp:positionH>
                <wp:positionV relativeFrom="paragraph">
                  <wp:posOffset>1710055</wp:posOffset>
                </wp:positionV>
                <wp:extent cx="121920" cy="2679065"/>
                <wp:effectExtent l="0" t="0" r="0" b="0"/>
                <wp:wrapSquare wrapText="bothSides"/>
                <wp:docPr id="110" name="Shape 110"/>
                <wp:cNvGraphicFramePr/>
                <a:graphic xmlns:a="http://schemas.openxmlformats.org/drawingml/2006/main">
                  <a:graphicData uri="http://schemas.microsoft.com/office/word/2010/wordprocessingShape">
                    <wps:wsp>
                      <wps:cNvSpPr txBox="1"/>
                      <wps:spPr>
                        <a:xfrm>
                          <a:off x="0" y="0"/>
                          <a:ext cx="121920" cy="2679065"/>
                        </a:xfrm>
                        <a:prstGeom prst="rect">
                          <a:avLst/>
                        </a:prstGeom>
                        <a:noFill/>
                      </wps:spPr>
                      <wps:txbx>
                        <w:txbxContent>
                          <w:p w14:paraId="4595B1BD" w14:textId="77777777" w:rsidR="0072615D" w:rsidRDefault="0072615D">
                            <w:pPr>
                              <w:pStyle w:val="Bodytext80"/>
                              <w:tabs>
                                <w:tab w:val="left" w:pos="3994"/>
                              </w:tabs>
                              <w:rPr>
                                <w:sz w:val="16"/>
                                <w:szCs w:val="16"/>
                              </w:rPr>
                            </w:pPr>
                            <w:r>
                              <w:t>INMUNIZACIÓN ACTIVA</w:t>
                            </w:r>
                            <w:r>
                              <w:tab/>
                            </w:r>
                            <w:r>
                              <w:rPr>
                                <w:sz w:val="16"/>
                                <w:szCs w:val="16"/>
                              </w:rPr>
                              <w:t>33</w:t>
                            </w:r>
                          </w:p>
                        </w:txbxContent>
                      </wps:txbx>
                      <wps:bodyPr vert="vert" lIns="0" tIns="0" rIns="0" bIns="0" upright="1"/>
                    </wps:wsp>
                  </a:graphicData>
                </a:graphic>
              </wp:anchor>
            </w:drawing>
          </mc:Choice>
          <mc:Fallback>
            <w:pict>
              <v:shape w14:anchorId="2FEA66EF" id="Shape 110" o:spid="_x0000_s1035" type="#_x0000_t202" style="position:absolute;margin-left:619.45pt;margin-top:134.65pt;width:9.6pt;height:210.95pt;z-index:2516684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" filled="f" stroked="f">
                <v:textbox style="layout-flow:vertical" inset="0,0,0,0">
                  <w:txbxContent>
                    <w:p w14:paraId="4595B1BD" w14:textId="77777777" w:rsidR="0072615D" w:rsidRDefault="0072615D">
                      <w:pPr>
                        <w:pStyle w:val="Bodytext80"/>
                        <w:tabs>
                          <w:tab w:val="left" w:pos="3994"/>
                        </w:tabs>
                        <w:rPr>
                          <w:sz w:val="16"/>
                          <w:szCs w:val="16"/>
                        </w:rPr>
                      </w:pPr>
                      <w:r>
                        <w:t>INMUNIZACIÓN ACTIVA</w:t>
                      </w:r>
                      <w:r>
                        <w:tab/>
                      </w:r>
                      <w:r>
                        <w:rPr>
                          <w:sz w:val="16"/>
                          <w:szCs w:val="16"/>
                        </w:rPr>
                        <w:t>33</w:t>
                      </w:r>
                    </w:p>
                  </w:txbxContent>
                </v:textbox>
                <w10:wrap type="square" anchorx="page"/>
              </v:shape>
            </w:pict>
          </mc:Fallback>
        </mc:AlternateContent>
      </w:r>
    </w:p>
    <w:p w14:paraId="6D250E07" w14:textId="77777777" w:rsidR="0072615D" w:rsidRDefault="0072615D">
      <w:pPr>
        <w:pStyle w:val="Heading31"/>
        <w:keepNext/>
        <w:keepLines/>
        <w:spacing w:after="60"/>
        <w:jc w:val="center"/>
        <w:rPr>
          <w:sz w:val="16"/>
          <w:szCs w:val="16"/>
        </w:rPr>
      </w:pPr>
      <w:bookmarkStart w:id="181" w:name="bookmark181"/>
      <w:bookmarkStart w:id="182" w:name="bookmark182"/>
      <w:bookmarkStart w:id="183" w:name="bookmark183"/>
      <w:r>
        <w:rPr>
          <w:b w:val="0"/>
          <w:bCs w:val="0"/>
        </w:rPr>
        <w:t xml:space="preserve">Cuadro 1- 7. </w:t>
      </w:r>
      <w:r>
        <w:t>Edades e intervalos recomendados y mínimos entre una y otra dosis de vacunas</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181"/>
      <w:bookmarkEnd w:id="182"/>
      <w:bookmarkEnd w:id="183"/>
    </w:p>
    <w:p w14:paraId="419801C7" w14:textId="77777777" w:rsidR="0072615D" w:rsidRDefault="0072615D">
      <w:pPr>
        <w:pStyle w:val="Bodytext60"/>
        <w:numPr>
          <w:ilvl w:val="0"/>
          <w:numId w:val="25"/>
        </w:numPr>
        <w:tabs>
          <w:tab w:val="left" w:pos="307"/>
        </w:tabs>
        <w:spacing w:before="60"/>
      </w:pPr>
      <w:bookmarkStart w:id="184" w:name="bookmark184"/>
      <w:bookmarkEnd w:id="184"/>
      <w:r>
        <w:t xml:space="preserve">Se cuenta con vacunas mixtas. Se prefiere usar vacunas mixtas autorizadas en vez de aquellas que entrañan la inyección del componente equivalente, en un sitio separado (fuente: Centers for Disease Control and Prevention. Combination vaccines for childhood immunization: recommendations of the Advisory Committee on Immunization Practice [ACIP], the American Academy of Pediatrics [AAP] and the American Academy of Family Physicians [AAFP]. </w:t>
      </w:r>
      <w:r>
        <w:rPr>
          <w:i/>
          <w:iCs/>
        </w:rPr>
        <w:t>MMWR Recomm Rep.</w:t>
      </w:r>
      <w:r>
        <w:t xml:space="preserve"> 1999:48[RR-5]:1-15). Al utilizar las vacunas mixtas, la edad mínima para hacerlo sería la fecha más cercana al límite de caducidad de cualquiera de los componentes individuales; el intervalo mínimo entre una y otra dosis es igual al intervalo máximo de cualquiera de los antígenos individuales.</w:t>
      </w:r>
    </w:p>
    <w:p w14:paraId="7F890409" w14:textId="77777777" w:rsidR="0072615D" w:rsidRDefault="0072615D">
      <w:pPr>
        <w:pStyle w:val="Bodytext60"/>
        <w:numPr>
          <w:ilvl w:val="0"/>
          <w:numId w:val="25"/>
        </w:numPr>
        <w:tabs>
          <w:tab w:val="left" w:pos="314"/>
        </w:tabs>
      </w:pPr>
      <w:bookmarkStart w:id="185" w:name="bookmark185"/>
      <w:bookmarkEnd w:id="185"/>
      <w:r>
        <w:t>Se cuenta con una vacuna mixta de hepatitis B-Hib (Comvax, fabricado por Merck Vaccine Division, West Point, PA) y otra mixta DTaP/hepatitis B/IPV (Pediarix, fabricado por GlaxoSmithKline Biologicals, Rixensart, Bélgica). No se usarán tales vacunas en niños menores de seis semanas de vida.</w:t>
      </w:r>
    </w:p>
    <w:p w14:paraId="466CB7D1" w14:textId="77777777" w:rsidR="0072615D" w:rsidRDefault="0072615D">
      <w:pPr>
        <w:pStyle w:val="Bodytext60"/>
        <w:numPr>
          <w:ilvl w:val="0"/>
          <w:numId w:val="25"/>
        </w:numPr>
        <w:tabs>
          <w:tab w:val="left" w:pos="314"/>
        </w:tabs>
      </w:pPr>
      <w:bookmarkStart w:id="186" w:name="bookmark186"/>
      <w:bookmarkEnd w:id="186"/>
      <w:r>
        <w:t>La vacuna contra hepatitis B3 debe administrarse ocho semanas o más después de aplicar la vacuna contra hepatitis B2 y 16 semanas después de la de hepatitis B1, y no debe aplicarse antes de los seis meses de vida.</w:t>
      </w:r>
    </w:p>
    <w:p w14:paraId="53D4B227" w14:textId="77777777" w:rsidR="0072615D" w:rsidRDefault="0072615D">
      <w:pPr>
        <w:pStyle w:val="Bodytext60"/>
        <w:numPr>
          <w:ilvl w:val="0"/>
          <w:numId w:val="25"/>
        </w:numPr>
        <w:tabs>
          <w:tab w:val="left" w:pos="307"/>
        </w:tabs>
        <w:ind w:left="0" w:firstLine="0"/>
        <w:jc w:val="both"/>
      </w:pPr>
      <w:bookmarkStart w:id="187" w:name="bookmark187"/>
      <w:bookmarkEnd w:id="187"/>
      <w:r>
        <w:t>Meses calendario.</w:t>
      </w:r>
    </w:p>
    <w:p w14:paraId="21C36B38" w14:textId="77777777" w:rsidR="0072615D" w:rsidRDefault="0072615D">
      <w:pPr>
        <w:pStyle w:val="Bodytext60"/>
        <w:numPr>
          <w:ilvl w:val="0"/>
          <w:numId w:val="25"/>
        </w:numPr>
        <w:tabs>
          <w:tab w:val="left" w:pos="318"/>
        </w:tabs>
        <w:jc w:val="both"/>
      </w:pPr>
      <w:bookmarkStart w:id="188" w:name="bookmark188"/>
      <w:bookmarkEnd w:id="188"/>
      <w:r>
        <w:t>Se recomienda que el intervalo mínimo entre DTaP3 y DTaP4 sea de seis meses o más. Sin embargo, no es necesario repetir DTaP4 si se administró cuatro meses o más, después de toxoides de difteria y tétanos y vacuna acelular de tos ferina-3 (DTaP3).</w:t>
      </w:r>
    </w:p>
    <w:p w14:paraId="60F51025" w14:textId="77777777" w:rsidR="0072615D" w:rsidRDefault="0072615D">
      <w:pPr>
        <w:pStyle w:val="Bodytext60"/>
        <w:numPr>
          <w:ilvl w:val="0"/>
          <w:numId w:val="25"/>
        </w:numPr>
        <w:tabs>
          <w:tab w:val="left" w:pos="318"/>
        </w:tabs>
        <w:jc w:val="both"/>
      </w:pPr>
      <w:bookmarkStart w:id="189" w:name="bookmark189"/>
      <w:bookmarkEnd w:id="189"/>
      <w:r>
        <w:t xml:space="preserve">En el caso de Hib y PCV, los niños que recibieron la primera dosis de vacuna a los siete meses de vida o más necesitarán menos dosis para completar la serie (consúltese Centers for Disease Control and Prevention. Haemophilus b conjugate vaccines for prevention of </w:t>
      </w:r>
      <w:r>
        <w:rPr>
          <w:i/>
          <w:iCs/>
        </w:rPr>
        <w:t>Haemophilus influenzae,</w:t>
      </w:r>
      <w:r>
        <w:t xml:space="preserve"> type b disease among infants and children two months of age and older: recommendations of the ACIP. </w:t>
      </w:r>
      <w:r>
        <w:rPr>
          <w:i/>
          <w:iCs/>
        </w:rPr>
        <w:t>MMWR Recomm Rep.</w:t>
      </w:r>
      <w:r>
        <w:t xml:space="preserve"> 1991;40(RR-1):1-7; y Centers for Disease Control and Prevention. Preventing pneumococcal disease among infants and young children: recommendations of the Advisory Committee on Immunization Practices [ACIP]. </w:t>
      </w:r>
      <w:r>
        <w:rPr>
          <w:i/>
          <w:iCs/>
        </w:rPr>
        <w:t>MMWR Recomm Rep.</w:t>
      </w:r>
      <w:r>
        <w:t xml:space="preserve"> 2000;49[RR-9]:1-38).</w:t>
      </w:r>
    </w:p>
    <w:p w14:paraId="34793C40" w14:textId="77777777" w:rsidR="0072615D" w:rsidRDefault="0072615D">
      <w:pPr>
        <w:pStyle w:val="Bodytext60"/>
        <w:numPr>
          <w:ilvl w:val="0"/>
          <w:numId w:val="25"/>
        </w:numPr>
        <w:tabs>
          <w:tab w:val="left" w:pos="318"/>
        </w:tabs>
        <w:jc w:val="both"/>
      </w:pPr>
      <w:bookmarkStart w:id="190" w:name="bookmark190"/>
      <w:bookmarkEnd w:id="190"/>
      <w:r>
        <w:t>En el caso de usar el preparado hecho de proteína de membrana externa meningocócica-fosfato de poliorribosilribitol (PRP-OMP [PedvaxHIB, fabricado por Merck Vaccine Division, West Point, PA]), no se necesita la dosis que se administra a los seis meses de edad.</w:t>
      </w:r>
    </w:p>
    <w:p w14:paraId="2A0930CD" w14:textId="77777777" w:rsidR="0072615D" w:rsidRDefault="0072615D">
      <w:pPr>
        <w:pStyle w:val="Bodytext60"/>
        <w:numPr>
          <w:ilvl w:val="0"/>
          <w:numId w:val="25"/>
        </w:numPr>
        <w:tabs>
          <w:tab w:val="left" w:pos="318"/>
        </w:tabs>
        <w:jc w:val="both"/>
      </w:pPr>
      <w:bookmarkStart w:id="191" w:name="bookmark191"/>
      <w:bookmarkEnd w:id="191"/>
      <w:r>
        <w:t xml:space="preserve">En un brote de sarampión, si el ataque se observa en niños menores de 12 meses de vida, puede emprenderse como una medida de control la vacunación antisarampionosa de pequeños de seis meses y mayores. Sin embargo, no hay que incluir como parte de la serie las dosis administradas antes de los 12 meses de edad (fuente: Centers for Disease Control and Prevention. Measles, mumps, and rubella: vaccine use and strategies for elimination of measles, rubella, and congenital rubella syndrome and control of mumps: recommendations of the Advisory Committee on Immunization Practices [ACIP]. </w:t>
      </w:r>
      <w:r>
        <w:rPr>
          <w:i/>
          <w:iCs/>
        </w:rPr>
        <w:t>MMWR Recomm Rep.</w:t>
      </w:r>
      <w:r>
        <w:t xml:space="preserve"> 1998;42[RR-8]:1-57).</w:t>
      </w:r>
    </w:p>
    <w:p w14:paraId="3DA2023D" w14:textId="77777777" w:rsidR="0072615D" w:rsidRDefault="0072615D">
      <w:pPr>
        <w:pStyle w:val="Bodytext60"/>
        <w:numPr>
          <w:ilvl w:val="0"/>
          <w:numId w:val="25"/>
        </w:numPr>
        <w:tabs>
          <w:tab w:val="left" w:pos="307"/>
        </w:tabs>
        <w:ind w:left="0" w:firstLine="0"/>
        <w:jc w:val="both"/>
      </w:pPr>
      <w:bookmarkStart w:id="192" w:name="bookmark192"/>
      <w:bookmarkEnd w:id="192"/>
      <w:r>
        <w:t>Los niños de 12 meses a 13 años necesitan sólo una dosis de vacuna contra la varicela. Los adolescentes de 13 años y mayores deben recibir dos dosis separadas por un lapso de cuatro semanas o más.</w:t>
      </w:r>
    </w:p>
    <w:p w14:paraId="0B3CA8DE" w14:textId="77777777" w:rsidR="0072615D" w:rsidRDefault="0072615D">
      <w:pPr>
        <w:pStyle w:val="Bodytext60"/>
        <w:numPr>
          <w:ilvl w:val="0"/>
          <w:numId w:val="25"/>
        </w:numPr>
        <w:tabs>
          <w:tab w:val="left" w:pos="307"/>
        </w:tabs>
        <w:spacing w:line="293" w:lineRule="auto"/>
        <w:ind w:hanging="340"/>
        <w:jc w:val="both"/>
      </w:pPr>
      <w:bookmarkStart w:id="193" w:name="bookmark193"/>
      <w:bookmarkEnd w:id="193"/>
      <w:r>
        <w:t>Es recomendable usar dos dosis de vacuna hecha de virus de influenza inactivados con una diferencia de cuatro semanas, en niños de seis meses a nueve años de vida que reciben tal producto por primera vez. Los niños de seis meses a nueve años que recibieron previamente la vacuna mencionada y los de nueve años y mayores sólo necesitan una dosis por estación en que prevalece la influenza.</w:t>
      </w:r>
    </w:p>
    <w:p w14:paraId="312703CC" w14:textId="77777777" w:rsidR="0072615D" w:rsidRDefault="0072615D">
      <w:pPr>
        <w:pStyle w:val="Bodytext60"/>
        <w:numPr>
          <w:ilvl w:val="0"/>
          <w:numId w:val="25"/>
        </w:numPr>
        <w:tabs>
          <w:tab w:val="left" w:pos="307"/>
        </w:tabs>
        <w:spacing w:after="60" w:line="266" w:lineRule="auto"/>
        <w:ind w:hanging="340"/>
        <w:jc w:val="both"/>
        <w:sectPr w:rsidR="0072615D" w:rsidSect="0072615D">
          <w:footnotePr>
            <w:numFmt w:val="chicago"/>
          </w:footnotePr>
          <w:pgSz w:w="13022" w:h="8501" w:orient="landscape"/>
          <w:pgMar w:top="1085" w:right="974" w:bottom="304" w:left="648" w:header="0" w:footer="3" w:gutter="0"/>
          <w:cols w:space="720"/>
          <w:noEndnote/>
          <w:docGrid w:linePitch="360"/>
          <w15:footnoteColumns w:val="1"/>
        </w:sectPr>
      </w:pPr>
      <w:bookmarkStart w:id="194" w:name="bookmark194"/>
      <w:bookmarkEnd w:id="194"/>
      <w:r>
        <w:t xml:space="preserve">Es recomendable administrar una segunda dosis de PPV a personas expuestas al máximo riesgo de contraer una infección neumocócica grave y los que tienen la probabilidad de mostrar un decremento rápido de la concentración de anticuerpos antineumocócicos. Cabe pensar en una nueva vacunación tres años después de la dosis previa, en niños expuestos al máximo riesgo de infección neumocócica grave que para la fecha de la nueva vacunación tendrían menos de 10 años (véase Centers for Disease Control and Prevention. Prevention of pneumococcal disease: recommendations of the Advisory Committee on Immunization Practice [ACIP]. </w:t>
      </w:r>
      <w:r>
        <w:rPr>
          <w:i/>
          <w:iCs/>
        </w:rPr>
        <w:t>MMWR Recomm Rep</w:t>
      </w:r>
      <w:r>
        <w:t xml:space="preserve"> 1997;46[RR-8]:1-24).</w:t>
      </w:r>
    </w:p>
    <w:p w14:paraId="40C976F6" w14:textId="77777777" w:rsidR="0072615D" w:rsidRDefault="0072615D">
      <w:pPr>
        <w:pStyle w:val="BodyText"/>
        <w:spacing w:after="100"/>
        <w:ind w:firstLine="0"/>
      </w:pPr>
      <w:r>
        <w:t>consultorio o se le atiende por alguna causa diferente de la vacunación (p. ej., revisión de otitis media). En dicha situación el clínico podrá considerar la aplicación de la vacuna antes del intervalo o edad mínimos. Si el clínico conoce al niño, será preferible reprogramarlo para la vacunación en una fecha e intervalo más cercanos a los recomendados. Si el clínico desconoce a los padres o al niño, o no tiene la seguridad de que regresen (p. ej., habitualmente no acuden a las citas), es preferible administrar la vacuna en esa visita en vez de reprogramar al pequeño para otra posterior. Hay que contar como válidas las dosis administradas cuatro días o menos, antes del intervalo o edad mínimos; dicha recomendación de cuatro días no es válida para la vacuna antirrábica porque ella sigue un programa propio y peculiar. No se contarán como dosis válidas las administradas cinco días o más, antes del intervalo o edad mínimos y es mejor repetirlas en la edad apropiada. La repetición de la dosis se espaciará después de la dosis no válida en un lapso mayor que el intervalo mínimo recomendado que se incluye en el cuadro 1-7. En algunas situaciones, las normas locales o estatales obligan a administrar dosis de vacunas escogidas en edades específicas o después de ellas, y así se anula tal recomendación de cuatro días.</w:t>
      </w:r>
    </w:p>
    <w:p w14:paraId="0BE58AA5" w14:textId="77777777" w:rsidR="0072615D" w:rsidRDefault="0072615D">
      <w:pPr>
        <w:pStyle w:val="Bodytext70"/>
      </w:pPr>
      <w:r>
        <w:t>Posibilidad de intercambiar vacunas</w:t>
      </w:r>
    </w:p>
    <w:p w14:paraId="0004962A" w14:textId="77777777" w:rsidR="0072615D" w:rsidRDefault="0072615D">
      <w:pPr>
        <w:pStyle w:val="BodyText"/>
        <w:ind w:firstLine="0"/>
      </w:pPr>
      <w:r>
        <w:t>Las vacunas similares elaboradas por diferentes fabricantes difieren a veces en el número y la cantidad de sus componentes antigénicos específicos, la fórmula e inclusión de aditivos y agentes conjugantes con los cuales se producen grados distintos de respuesta inmunitaria. Sin embargo, casi todos los expertos consideran que son intercambiables tales vacunas, si se administran conforme a sus indicaciones autorizadas, aunque son escasos los datos que corroboran los efectos de tal maniobra de intercambio. Las vacunas aprobadas que pueden usarse en vez de otras durante una serie de vacunaciones, provenientes de fabricantes distintos según las recomendaciones de ACIP o AAP, comprenden los toxoides diftéricos y tetánicos, las vacunas de virus poliomielíticos vivos o inactivados, las elaboradas contra las de hepatitis A o B y la vacuna antirrábica (véase “Rabia”, sección 3). Entre las vacunas similares utilizadas en programas diferentes que conviene no intercambiar, está el protocolo de dos dosis de vacuna contra hepatitis B que se dispone para adolescentes de 11 a 15 años. Los jovencitos que comenzaron un régimen de tres dosis de vacuna contra hepatitis B no son candidatos para completar la serie con la vacuna de ese tipo utilizada en un protocolo de dos dosis y viceversa (véase “Hepatitis B”, sección 3).</w:t>
      </w:r>
    </w:p>
    <w:p w14:paraId="4B0181E7" w14:textId="77777777" w:rsidR="0072615D" w:rsidRDefault="0072615D">
      <w:pPr>
        <w:pStyle w:val="BodyText"/>
        <w:spacing w:line="276" w:lineRule="auto"/>
        <w:ind w:firstLine="360"/>
      </w:pPr>
      <w:r>
        <w:t xml:space="preserve">Se ha considerado la posibilidad de intercambiar las vacunas aprobadas hechas de conjugado de Hib, para inmunización primaria y refuerzo en la medida en que cumplan las recomendaciones respecto de la conversión de un régimen de tres dosis (complejo de membrana externa y polirribosilrribitol [PRP-OMC]) a un régimen de cuatro dosis (todos los demás preparados conjugados de PRP) (véase </w:t>
      </w:r>
      <w:r>
        <w:rPr>
          <w:rFonts w:ascii="Times New Roman" w:eastAsia="Times New Roman" w:hAnsi="Times New Roman" w:cs="Times New Roman"/>
          <w:i/>
          <w:iCs/>
          <w:sz w:val="16"/>
          <w:szCs w:val="16"/>
        </w:rPr>
        <w:t>“Haemophilus influenzae</w:t>
      </w:r>
      <w:r>
        <w:rPr>
          <w:i/>
          <w:iCs/>
        </w:rPr>
        <w:t>,</w:t>
      </w:r>
      <w:r>
        <w:t xml:space="preserve"> infecciones”, sección 3).</w:t>
      </w:r>
    </w:p>
    <w:p w14:paraId="13E1610D" w14:textId="77777777" w:rsidR="0072615D" w:rsidRDefault="0072615D">
      <w:pPr>
        <w:pStyle w:val="BodyText"/>
        <w:spacing w:after="100"/>
        <w:ind w:firstLine="360"/>
      </w:pPr>
      <w:r>
        <w:t>En la medida de lo posible habrá que utilizar la misma vacuna DTaP para las primeras tres dosis de una serie de vacunación contra la tos ferina (véase “Tos ferina”, sección 3). Son escasos los datos sobre inocuidad e inmunogenicidad y no se dispone de datos de la eficacia de las diferentes vacunas DTaP cuando se intercambian libremente en la serie primaria. Sin embargo, en situaciones en que se desconoce el tipo de productos DTaP administrados con anterioridad, o es difícil disponer de tal tipo de vacunas, cabe recurrir a cualquiera de las vacunas DTaP aprobadas para utilizar en la serie primaria. En lo que se refiere a la cuarta y quinta dosis de DTaP, es aceptable cualquier producto aprobado, sean cuales sean DTaP o toxoides diftérico o tetánico y vacunas de células enteras de tos ferina, recibidas. En el caso del intercambio de DTaP, hepatitis B y vacuna por combinación de virus poliomielíticos inactivados, véase resumen de “Tos ferina”, sección 3. Las recomendaciones en cuestión pueden ser modificadas conforme surjan nuevos datos.</w:t>
      </w:r>
    </w:p>
    <w:p w14:paraId="4854E0CD" w14:textId="77777777" w:rsidR="0072615D" w:rsidRDefault="0072615D">
      <w:pPr>
        <w:pStyle w:val="Bodytext70"/>
      </w:pPr>
      <w:r>
        <w:t>Administración simultánea de múltiples vacunas</w:t>
      </w:r>
    </w:p>
    <w:p w14:paraId="7B40F156" w14:textId="77777777" w:rsidR="0072615D" w:rsidRDefault="0072615D">
      <w:pPr>
        <w:pStyle w:val="BodyText"/>
        <w:spacing w:after="100"/>
        <w:ind w:firstLine="0"/>
      </w:pPr>
      <w:r>
        <w:t>Casi todas las vacunas pueden ser aplicadas simultáneamente en forma innocua y eficaz; no existen contraindicaciones para esa práctica, en el caso de las recomendaciones habituales para lactantes y niños. Las respuestas inmunitarias a una vacuna por lo común no interfieren con las de las demás. Una excepción sería la disminución de la capacidad inmunógena cuando se aplican juntas las vacunas contra el cólera y la fiebre amarilla, o bien con una diferencia de una a tres semanas. La administración simultánea de las vacunas IPV, MMR, varicela o DTaP origina cifras de seroconversión y efectos adversos semejantes a las observadas cuando se administran las vacunas en visitas separadas. La administración simultánea de las vacunas habituales no menoscaba la eficacia ni la inocuidad de cualquiera de los productos recomendados para niños y por ello se aconseja seguir tal práctica en el caso de todas las vacunas, incluidas DTaP, IPV, MMR, varicela, hepatitis A y B, Hib y conjugados neumocócicos y vacunas de polisacáridos, que sean adecuadas para la edad y el estado de inmunización previa del receptor. Cuando se administran simultáneamente las vacunas, habrá que utilizar jeringuillas y sitios separados, y la inyección en la misma extremidad debe estar a 2.5 cm de distancia para así diferenciar cualquier reacción local. La administración simultánea de múltiples vacunas incrementa significativamente las tasas de inmunización. Nunca se mezclará en la misma jeringuilla vacunas individuales, salvo que haya sido aprobado específicamente y el fabricante lo señale en la etiqueta. En el caso de personas que se preparan para un viaje internacional, es posible aplicar en forma concurrente múltiples vacunas.</w:t>
      </w:r>
    </w:p>
    <w:p w14:paraId="05775A6B" w14:textId="77777777" w:rsidR="0072615D" w:rsidRDefault="0072615D">
      <w:pPr>
        <w:pStyle w:val="Bodytext70"/>
      </w:pPr>
      <w:r>
        <w:t>Retrasos y omisiones en las vacunaciones</w:t>
      </w:r>
    </w:p>
    <w:p w14:paraId="4ED47D2F" w14:textId="77777777" w:rsidR="0072615D" w:rsidRDefault="0072615D">
      <w:pPr>
        <w:pStyle w:val="BodyText"/>
        <w:spacing w:after="100"/>
        <w:ind w:firstLine="0"/>
      </w:pPr>
      <w:r>
        <w:t>El retraso del calendario de vacunación no obliga a reiniciar toda la serie. Si no se aplicó una dosis de DTaP, IPV, Hib, conjugado de neumococos, hepatitis A o B, habrá que aplicar las vacunaciones subsecuentes en la siguiente visita como si hubiera transcurrido el intervalo normal. Hay que hacer la anotación respectiva en el expediente clínico de niños en los que ocurrió retraso u omisión de la vacunación, de modo que el personal asistencial recuerde reanudar el régimen en la siguiente oportunidad. Hay que cumplir con los criterios de edad e intervalos mínimos para la aplicación de todas las dosis (cuadro 1-7).</w:t>
      </w:r>
    </w:p>
    <w:p w14:paraId="48D34466" w14:textId="77777777" w:rsidR="0072615D" w:rsidRDefault="0072615D">
      <w:pPr>
        <w:pStyle w:val="Bodytext70"/>
      </w:pPr>
      <w:r>
        <w:t>Desconocimiento o incertidumbre respecto de vacunaciones</w:t>
      </w:r>
    </w:p>
    <w:p w14:paraId="6BF3CC1A" w14:textId="77777777" w:rsidR="0072615D" w:rsidRDefault="0072615D">
      <w:pPr>
        <w:pStyle w:val="BodyText"/>
        <w:spacing w:after="100"/>
        <w:ind w:firstLine="0"/>
      </w:pPr>
      <w:r>
        <w:t>El médico atiende a veces a niños de los que no tiene certidumbre de su estado de inmunización o vacunación. Muchos menores, adolescentes y adultos jóvenes no cuentan con la documentación correcta de sus vacunaciones. Es posible que sean inexactos los recuerdos del padre o tutor sobre los antecedentes de vacunación y las vacunas específicas administradas. En términos generales, si hay duda, habrá que para utilizar en la serie primaria. En lo que se refiere a la cuarta y quinta dosis de DTaP, es aceptable cualquier producto aprobado, sean cuales sean DTaP o toxoides diftérico o tetánico y vacunas de células enteras de tos ferina, recibidas. En el caso del intercambio de DTaP, hepatitis B y vacuna por combinación de virus poliomielíticos inactivados, véase resumen de “Tos ferina”, sección 3. Las recomendaciones en cuestión pueden ser modificadas conforme surjan nuevos datos.</w:t>
      </w:r>
    </w:p>
    <w:p w14:paraId="02E9F37E" w14:textId="77777777" w:rsidR="0072615D" w:rsidRDefault="0072615D">
      <w:pPr>
        <w:pStyle w:val="Bodytext70"/>
      </w:pPr>
      <w:r>
        <w:t>Administración simultánea de múltiples vacunas</w:t>
      </w:r>
    </w:p>
    <w:p w14:paraId="642EC791" w14:textId="77777777" w:rsidR="0072615D" w:rsidRDefault="0072615D">
      <w:pPr>
        <w:pStyle w:val="BodyText"/>
        <w:spacing w:after="100"/>
        <w:ind w:firstLine="0"/>
      </w:pPr>
      <w:r>
        <w:t>Casi todas las vacunas pueden ser aplicadas simultáneamente en forma innocua y eficaz; no existen contraindicaciones para esa práctica, en el caso de las recomendaciones habituales para lactantes y niños. Las respuestas inmunitarias a una vacuna por lo común no interfieren con las de las demás. Una excepción sería la disminución de la capacidad inmunógena cuando se aplican juntas las vacunas contra el cólera y la fiebre amarilla, o bien con una diferencia de una a tres semanas. La administración simultánea de las vacunas IPV, MMR, varicela o DTaP origina cifras de seroconversión y efectos adversos semejantes a las observadas cuando se administran las vacunas en visitas separadas. La administración simultánea de las vacunas habituales no menoscaba la eficacia ni la inocuidad de cualquiera de los productos recomendados para niños y por ello se aconseja seguir tal práctica en el caso de todas las vacunas, incluidas DTaP, IPV, MMR, varicela, hepatitis A y B, Hib y conjugados neumocócicos y vacunas de polisacáridos, que sean adecuadas para la edad y el estado de inmunización previa del receptor. Cuando se administran simultáneamente las vacunas, habrá que utilizar jeringuillas y sitios separados, y la inyección en la misma extremidad debe estar a 2.5 cm de distancia para así diferenciar cualquier reacción local. La administración simultánea de múltiples vacunas incrementa significativamente las tasas de inmunización. Nunca se mezclará en la misma jeringuilla vacunas individuales, salvo que haya sido aprobado específicamente y el fabricante lo señale en la etiqueta. En el caso de personas que se preparan para un viaje internacional, es posible aplicar en forma concurrente múltiples vacunas.</w:t>
      </w:r>
    </w:p>
    <w:p w14:paraId="71AAF89E" w14:textId="77777777" w:rsidR="0072615D" w:rsidRDefault="0072615D">
      <w:pPr>
        <w:pStyle w:val="Bodytext70"/>
      </w:pPr>
      <w:r>
        <w:t>Retrasos y omisiones en las vacunaciones</w:t>
      </w:r>
    </w:p>
    <w:p w14:paraId="4710A84E" w14:textId="77777777" w:rsidR="0072615D" w:rsidRDefault="0072615D">
      <w:pPr>
        <w:pStyle w:val="BodyText"/>
        <w:spacing w:after="100"/>
        <w:ind w:firstLine="0"/>
      </w:pPr>
      <w:r>
        <w:t>El retraso del calendario de vacunación no obliga a reiniciar toda la serie. Si no se aplicó una dosis de DTaP, IPV, Hib, conjugado de neumococos, hepatitis A o B, habrá que aplicar las vacunaciones subsecuentes en la siguiente visita como si hubiera transcurrido el intervalo normal. Hay que hacer la anotación respectiva en el expediente clínico de niños en los que ocurrió retraso u omisión de la vacunación, de modo que el personal asistencial recuerde reanudar el régimen en la siguiente oportunidad. Hay que cumplir con los criterios de edad e intervalos mínimos para la aplicación de todas las dosis (cuadro 1-7).</w:t>
      </w:r>
    </w:p>
    <w:p w14:paraId="6515892E" w14:textId="77777777" w:rsidR="0072615D" w:rsidRDefault="0072615D">
      <w:pPr>
        <w:pStyle w:val="Bodytext70"/>
      </w:pPr>
      <w:r>
        <w:t>Desconocimiento o incertidumbre respecto de vacunaciones</w:t>
      </w:r>
    </w:p>
    <w:p w14:paraId="063CA98B" w14:textId="77777777" w:rsidR="0072615D" w:rsidRDefault="0072615D">
      <w:pPr>
        <w:pStyle w:val="BodyText"/>
        <w:spacing w:after="100"/>
        <w:ind w:firstLine="0"/>
        <w:sectPr w:rsidR="0072615D" w:rsidSect="0072615D">
          <w:headerReference w:type="even" r:id="rId104"/>
          <w:headerReference w:type="default" r:id="rId105"/>
          <w:footerReference w:type="even" r:id="rId106"/>
          <w:footerReference w:type="default" r:id="rId107"/>
          <w:headerReference w:type="first" r:id="rId108"/>
          <w:footerReference w:type="first" r:id="rId109"/>
          <w:footnotePr>
            <w:numFmt w:val="chicago"/>
          </w:footnotePr>
          <w:pgSz w:w="8501" w:h="13022"/>
          <w:pgMar w:top="941" w:right="813" w:bottom="528" w:left="805" w:header="0" w:footer="3" w:gutter="0"/>
          <w:cols w:space="720"/>
          <w:noEndnote/>
          <w:titlePg/>
          <w:docGrid w:linePitch="360"/>
          <w15:footnoteColumns w:val="1"/>
        </w:sectPr>
      </w:pPr>
      <w:r>
        <w:t xml:space="preserve">El médico atiende a veces a niños de los que no tiene certidumbre de su estado de inmunización o vacunación. Muchos menores, adolescentes y adultos jóvenes no cuentan con la documentación correcta de sus vacunaciones. Es posible que sean inexactos los recuerdos del padre o tutor sobre los antecedentes de vacunación y las vacunas específicas administradas. En términos generales, si hay duda, habrá que </w:t>
      </w:r>
    </w:p>
    <w:p w14:paraId="6040E853" w14:textId="77777777" w:rsidR="0072615D" w:rsidRDefault="0072615D">
      <w:pPr>
        <w:pStyle w:val="BodyText"/>
        <w:spacing w:after="100"/>
        <w:ind w:firstLine="0"/>
      </w:pPr>
      <w:r>
        <w:t>considerar a tales pacientes como susceptibles de enfermarse y emprender la inmunización apropiada inmediatamente siguiendo un calendario que concuerde con la edad actual de la persona. No existen datos de que la administración de las vacunas de MMR, varicela, Hib, hepatitis A o B o contra virus polioimielíticos a receptores ya inmunizados sea dañina; convendrá usar Td en vez de DTaP en niños de siete años de vida o mayores (véase “Tos ferina”, sección 3). Las nuevas vacunaciones con múltiples dosis de DTaP pueden hacer que aumenten las cifras de reacciones locales que incluyan hinchazón de extremidades; pueden realizarse métodos serológicos en busca de anticuerpos específicos a las toxinas tetánica y diftérica antes de administrar dosis adicionales (véase “Inmunizaciones” en Evaluación médica inicial de niños extranjeros adoptados, en busca de enfermedades infecciosas, sección 2).</w:t>
      </w:r>
    </w:p>
    <w:p w14:paraId="351DA626" w14:textId="77777777" w:rsidR="0072615D" w:rsidRDefault="0072615D">
      <w:pPr>
        <w:pStyle w:val="Bodytext70"/>
      </w:pPr>
      <w:r>
        <w:t>Vacunaciones hechas fuera de Estados Unidos</w:t>
      </w:r>
    </w:p>
    <w:p w14:paraId="4D7BCC28" w14:textId="77777777" w:rsidR="0072615D" w:rsidRDefault="0072615D">
      <w:pPr>
        <w:pStyle w:val="BodyText"/>
        <w:spacing w:after="100"/>
        <w:ind w:firstLine="0"/>
      </w:pPr>
      <w:r>
        <w:t>Las personas vacunadas en otros países, que incluyen a los niños en adopción internacional, refugiados y estudiantes en planes de intercambio, deben ser inmunizados con base en los calendarios recomendados en Estados Unidos para lactantes, niños y adolescentes sanos (fig. 1-1 y cuadro 1-6). En términos generales se aceptará sólo la documentación escrita como prueba de que se hizo la vacunación. Pueden considerarse válidos los registros escritos si son similares las vacunas, las fechas de aplicación, el número de dosis y los intervalos entre una y otra, así como la edad del paciente en la fecha de la vacunación, a las de los calendarios actuales estadounidenses. En otros países es posible que algunas vacunas no tengan potencia adecuada, pero casi todas las que se usan a nivel mundial son elaboradas siguiendo estándares adecuados de control de calidad y son productos fiables. Sin embargo, los registros de vacunación de algunos niños, en particular los que están en orfanatorios, quizá no reflejan con exactitud la protección debido a inexactitudes, falta de potencia de la vacuna u otros problemas, como sería registrar MMR, pero aplicar un producto que no contenga uno de sus componentes (como la fracción contra la rubéola). Por tal motivo, es razonable valorar los títulos de anticuerpos de dichos niños. En el caso de cualquier menor que haya sido vacunado fuera de Estados Unidos, si surge alguna duda en cuanto a si se hicieron las vacunaciones o fueron inmunógenas, la mejor estrategia es repetir la inyección de las vacunas en duda (véase “Inmunizaciones” en Evaluación médica inicial de niños extranjeros adoptados, en busca de enfermedades infecciosas, sección 2).</w:t>
      </w:r>
    </w:p>
    <w:p w14:paraId="2153F7E5" w14:textId="77777777" w:rsidR="0072615D" w:rsidRDefault="0072615D">
      <w:pPr>
        <w:pStyle w:val="Bodytext70"/>
      </w:pPr>
      <w:r>
        <w:t>Dosis de vacunas</w:t>
      </w:r>
    </w:p>
    <w:p w14:paraId="2D59CC1B" w14:textId="77777777" w:rsidR="0072615D" w:rsidRDefault="0072615D">
      <w:pPr>
        <w:pStyle w:val="BodyText"/>
        <w:ind w:firstLine="0"/>
      </w:pPr>
      <w:r>
        <w:t>Es mejor no aplicar dosis fraccionadas o disminuidas de DTaP o de cualquier otra vacuna, incluidas las que se usan en prematuros o productos de bajo peso neonatal.</w:t>
      </w:r>
    </w:p>
    <w:p w14:paraId="68F7FF53" w14:textId="77777777" w:rsidR="0072615D" w:rsidRDefault="0072615D">
      <w:pPr>
        <w:pStyle w:val="BodyText"/>
        <w:spacing w:after="140"/>
        <w:ind w:firstLine="0"/>
      </w:pPr>
      <w:r>
        <w:t xml:space="preserve">No se ha demostrado la utilidad de tal práctica como medio de disminuir la frecuencia de reacciones adversas; asimismo, el procedimiento en cuestión quizá genere menor protección contra las enfermedades, del que se logra con las dosis recomendadas. Se ha señalado una menor respuesta de anticuerpos en productos a término y prematuros, después de recibir dosis menores de toxoides diftérico y tetánico y vacuna contra la tos ferina </w:t>
      </w:r>
      <w:r>
        <w:rPr>
          <w:i/>
          <w:iCs/>
        </w:rPr>
        <w:t>(</w:t>
      </w:r>
      <w:r>
        <w:rPr>
          <w:rFonts w:ascii="Times New Roman" w:eastAsia="Times New Roman" w:hAnsi="Times New Roman" w:cs="Times New Roman"/>
          <w:i/>
          <w:iCs/>
          <w:sz w:val="16"/>
          <w:szCs w:val="16"/>
        </w:rPr>
        <w:t>diphteria and tetanus and pertussis</w:t>
      </w:r>
      <w:r>
        <w:rPr>
          <w:i/>
          <w:iCs/>
        </w:rPr>
        <w:t>,</w:t>
      </w:r>
      <w:r>
        <w:t xml:space="preserve"> DTP). No se tomará en cuenta la administración previa de una dosis menor de la habitual o la que se aplicó por una vía no estándar, y habrá que revacunar al niño con dosis y fechas adecuadas a su edad. Rebasar las dosis recomendadas también puede ser peligroso. Las concentraciones locales excesivas de vacunas inyectables con gérmenes inactivados pueden originar reacciones tisulares o sistémicas más intensas, en tanto que la administración de una dosis mayor de una vacuna de gérmenes vivos entraña un riesgo teórico, aunque no corroborado en la práctica.</w:t>
      </w:r>
    </w:p>
    <w:p w14:paraId="0D0AF2FD" w14:textId="77777777" w:rsidR="0072615D" w:rsidRDefault="0072615D">
      <w:pPr>
        <w:pStyle w:val="Bodytext70"/>
        <w:spacing w:after="140" w:line="214" w:lineRule="auto"/>
      </w:pPr>
      <w:r>
        <w:t>Inmunización activa de personas que han recibido recientemente concentrados de inmunoglobulinas</w:t>
      </w:r>
    </w:p>
    <w:p w14:paraId="78189399" w14:textId="77777777" w:rsidR="0072615D" w:rsidRDefault="0072615D">
      <w:pPr>
        <w:pStyle w:val="BodyText"/>
        <w:ind w:firstLine="0"/>
      </w:pPr>
      <w:r>
        <w:t>Las vacunas hechas de virus vivos pueden generar menor inmunogenicidad si se aplican poco antes o en el lapso de varios meses de que se ha administrado un concentrado inmunoglobulínico (IG). Se ha demostrado en particular que la administración de dichos concentrados inhibe la respuesta a la vacuna antisarampionosa durante un lapso duradero. También se ha señalado inhibición de la respuesta inmunitaria a la vacuna contra la rubéola. El intervalo apropiado sugerido entre la aplicación del concentrado inmunoglobulínico y la vacuna antisarampionosa puede variar con las indicaciones para usar el concentrado y la dosis del mismo, así como del producto específico; en el cuadro 3-62 se señalan intervalos sugeridos. Si es necesario usar el concentrado inmunoglobulínico en término de 14 días de haber administrado vacuna antisarampionosa o que contenga la reacción contra tal germen, las vacunas a base de virus vivos se administrarán de nuevo después del periodo especificado en el cuadro 3-62, salvo que los datos de pruebas serológicas hechas en un intervalo adecuado después de administrar el concentrado señalen que hubo producción adecuada de anticuerpos séricos.</w:t>
      </w:r>
    </w:p>
    <w:p w14:paraId="61E33D8E" w14:textId="77777777" w:rsidR="0072615D" w:rsidRDefault="0072615D">
      <w:pPr>
        <w:pStyle w:val="BodyText"/>
        <w:ind w:firstLine="360"/>
      </w:pPr>
      <w:r>
        <w:t>Se desconoce el efecto que tiene la administración de concentrado inmunoglobulínico en la respuesta de generación de anticuerpos a la vacuna contra la varicela. La administración de dicho producto, ante la posibilidad de inhibición, debe retrasarse después que el sujeto recibió el concentrado o un hemoderivado (excepto eritrocitos lavados), siguiendo la misma recomendación que se hace con la vacuna antisarampionosa (cuadro 3-62). Además, en circunstancias óptimas será mejor no administrar los concentrados inmunoglobulínicos durante 14 días después de la vacunación. Si en ese lapso se usa un concentrado inmunoglobulínico, habrá que vacunar de nuevo a quien recibió la vacuna, después del periodo especificado en el cuadro 3-62 o valorar en él la inmunidad contra la varicela en esa fecha, y si es seronegativo vacunarlo de nuevo. La administración de concentrados inmunoglobulínicos no interfiere con la respuesta de generación de anticuerpos a la vacuna contra la fiebre amarilla u OPV. En consecuencia, las dos vacunas recién mencionadas pueden aplicarse simultáneamente con un concentrado inmunoglobulínico o en cualquier fecha antes o después de usarlo.</w:t>
      </w:r>
    </w:p>
    <w:p w14:paraId="65BD5CDB" w14:textId="77777777" w:rsidR="0072615D" w:rsidRDefault="0072615D">
      <w:pPr>
        <w:pStyle w:val="BodyText"/>
        <w:ind w:firstLine="360"/>
      </w:pPr>
      <w:r>
        <w:t>A diferencia de las vacunas hechas de virus vivos, el uso de concentrados inmunoglobulínicos no causa, según se ha demostrado, inhibición notable de las respuestas inmunitarias hacia vacunas con virus inactivados y toxoides. La administración concomitante y las dosis recomendadas de los concentrados inmunoglobulínicos contra hepatitis B, tétanos o rabia y la vacuna inactivada o toxoides correspondientes para profilaxia después de la exposición, no merma la eficacia de la vacuna y se genera así inmunidad inmediata y a largo plazo. Se recomiendan las dosis estándar de las vacunas correspondientes; no conviene aumentar el volumen de la dosis o el número de vacunaciones. Se aplicarán las vacunas en sitios que no sean los mismos de la aplicación intramuscular (IM) de los concentrados. Para mayor información consultar los resúmenes sobre enfermedades específicas, en la sección 3.</w:t>
      </w:r>
    </w:p>
    <w:p w14:paraId="2CA02975" w14:textId="77777777" w:rsidR="0072615D" w:rsidRDefault="0072615D">
      <w:pPr>
        <w:pStyle w:val="BodyText"/>
        <w:ind w:firstLine="360"/>
      </w:pPr>
      <w:r>
        <w:t xml:space="preserve">Se ha recomendado administrar la vacuna de hepatitis A junto con el concentrado inmunoglobulínico en situaciones en que conviene la protección inmediata </w:t>
      </w:r>
      <w:r>
        <w:rPr>
          <w:rFonts w:ascii="Times New Roman" w:eastAsia="Times New Roman" w:hAnsi="Times New Roman" w:cs="Times New Roman"/>
          <w:i/>
          <w:iCs/>
          <w:sz w:val="16"/>
          <w:szCs w:val="16"/>
        </w:rPr>
        <w:t>y</w:t>
      </w:r>
      <w:r>
        <w:t xml:space="preserve"> duradera contra la infección por dicho virus. Se ha demostrado que esta combinación de inmunización activa/pasiva hace que surjan concentraciones significativamente menores de anticuerpos séricos, que las inducidas por la administración de la vacuna sola, pero las concentraciones en cuestión aún son lo suficientemente altas como para aceptarlas como protectoras, y no se alteran las cifras de frecuencia de seroconversión.</w:t>
      </w:r>
    </w:p>
    <w:p w14:paraId="17633690" w14:textId="77777777" w:rsidR="0072615D" w:rsidRDefault="0072615D">
      <w:pPr>
        <w:pStyle w:val="BodyText"/>
        <w:spacing w:after="100" w:line="276" w:lineRule="auto"/>
        <w:ind w:firstLine="360"/>
      </w:pPr>
      <w:r>
        <w:t xml:space="preserve">Una excepción posible a la falta de inhibición de las respuestas inmunitarias a vacunas con virus inactivados pudiera ser el efecto del concentrado intravenoso de inmunoglobulina contra el virus sincitial respiratorio </w:t>
      </w:r>
      <w:r>
        <w:rPr>
          <w:i/>
          <w:iCs/>
        </w:rPr>
        <w:t>(</w:t>
      </w:r>
      <w:r>
        <w:rPr>
          <w:rFonts w:ascii="Times New Roman" w:eastAsia="Times New Roman" w:hAnsi="Times New Roman" w:cs="Times New Roman"/>
          <w:i/>
          <w:iCs/>
          <w:sz w:val="16"/>
          <w:szCs w:val="16"/>
        </w:rPr>
        <w:t>respiratory syncytial virus immune globulin intravenous</w:t>
      </w:r>
      <w:r>
        <w:rPr>
          <w:i/>
          <w:iCs/>
        </w:rPr>
        <w:t>,</w:t>
      </w:r>
      <w:r>
        <w:t xml:space="preserve"> RSV-IGIV) en las respuestas de generación de anticuerpos a algunas vacunas con gérmenes inactivados. Sin embargo, los datos no son concluyentes y no está indicada la administración de dosis suplementarias de tales vacunas en quienes han recibido RSV-IGIV. Quienes reciben este último concentrado intravenoso al virus sincitial, en vez de diferir el uso de las vacunas MMR y varicela, deben ser vacunados según el calendario recomendado para la inmunización sistemática de niños (véase fig. 1-1). El anticuerpo monoclonal contra el virus sincitial respiratorio (palivizumab) no interfiere con la respuesta a vacunas con virus inactivados o vivos.</w:t>
      </w:r>
    </w:p>
    <w:p w14:paraId="5430E99C" w14:textId="77777777" w:rsidR="0072615D" w:rsidRDefault="0072615D">
      <w:pPr>
        <w:pStyle w:val="Bodytext70"/>
      </w:pPr>
      <w:r>
        <w:t>Pruebas con tuberculina</w:t>
      </w:r>
    </w:p>
    <w:p w14:paraId="737EE175" w14:textId="77777777" w:rsidR="0072615D" w:rsidRDefault="0072615D">
      <w:pPr>
        <w:pStyle w:val="BodyText"/>
        <w:spacing w:after="100"/>
        <w:ind w:firstLine="0"/>
      </w:pPr>
      <w:r>
        <w:t>Las recomendaciones para las pruebas con tuberculina (véase “Tuberculosis”, sección 3) son independientes de las que se plantean para las vacunaciones. Las pruebas con tuberculina en personas de cualquier edad no son necesarias antes de administrar vacunas hechas de virus vivos como las de MMR, varicela o fiebre amarilla. Puede realizarse una cutirreacción con tuberculina en la misma visita en que se aplican las vacunas mencionadas. La vacuna antisarampionosa suprime temporalmente la reactividad de la tuberculina y por ello, si es conveniente realizar la cutirreacción contra el producto y no puede hacerse en la misma sesión que la inmunización contra el sarampión, habrá que diferir la cutirreacción cuatro a seis semanas. Se desconoce el efecto que tienen las vacunas contra la varicela y la fiebre amarilla hechas de virus vivos, en la reactividad a la cutirreacción con tuberculina.</w:t>
      </w:r>
    </w:p>
    <w:p w14:paraId="659C32E6" w14:textId="77777777" w:rsidR="0072615D" w:rsidRDefault="0072615D">
      <w:pPr>
        <w:pStyle w:val="Bodytext70"/>
      </w:pPr>
      <w:r>
        <w:t>Archivos y registros de vacunaciones</w:t>
      </w:r>
    </w:p>
    <w:p w14:paraId="345982E3" w14:textId="77777777" w:rsidR="0072615D" w:rsidRDefault="0072615D">
      <w:pPr>
        <w:pStyle w:val="BodyText"/>
        <w:spacing w:after="240"/>
        <w:ind w:firstLine="0"/>
      </w:pPr>
      <w:r>
        <w:t>REGISTROS DE VACUNACIONES PERSONALES DE LOS PACIENTES</w:t>
      </w:r>
    </w:p>
    <w:p w14:paraId="68FF166E" w14:textId="77777777" w:rsidR="0072615D" w:rsidRDefault="0072615D">
      <w:pPr>
        <w:pStyle w:val="BodyText"/>
        <w:ind w:firstLine="0"/>
      </w:pPr>
      <w:r>
        <w:t>Todo departamento estatal de salud ha elaborado un registro oficial de vacunaciones que debe entregarse a los progenitores de todo neonato pues sus datos deben coincidir con el acta de nacimiento o los del pasaporte, y en la siguiente visita se le conservará con documentos vitales. Los médicos deben colaborar en esta tarea al anotar en dicho registro los datos de vacunación y alentar a los pacientes no sólo a conservarla, sino también a presentarla en cada visita a un profesional de la atención a la salud.</w:t>
      </w:r>
    </w:p>
    <w:p w14:paraId="1D0C5D3E" w14:textId="77777777" w:rsidR="0072615D" w:rsidRDefault="0072615D">
      <w:pPr>
        <w:pStyle w:val="BodyText"/>
        <w:ind w:firstLine="360"/>
      </w:pPr>
      <w:r>
        <w:t>Los registros de vacunación adquieren importancia especial en el caso de personas que cambian frecuentemente de domicilio. Facilita la conservación de un registro médico exacto del paciente, permite al médico valorar el estado de inmunización del menor y satisface la necesidad de documentar las vacunaciones en la atención infantil y la inscripción a escuelas y también para admisión en otras instituciones y organizaciones.</w:t>
      </w:r>
    </w:p>
    <w:p w14:paraId="7E61E0D9" w14:textId="77777777" w:rsidR="0072615D" w:rsidRDefault="0072615D">
      <w:pPr>
        <w:pStyle w:val="BodyText"/>
        <w:ind w:firstLine="360"/>
      </w:pPr>
      <w:r>
        <w:t>En Estados Unidos muchos estados han elaborado registros de vacunación computadorizados, a nivel estatal para registrar y vigilar las vacunaciones, independientemente que los servicios de vacunación se hayan prestado en dicho estado o en otro. En un ciclo de vacunaciones habituales recomendadas, los niños habrán sido atendidos por unos tres profesionales de salud diferentes. Las bases de datos de los registros ayudan a recordar a los padres y a los profesionales asistenciales, la fecha en que debe vacunarse al pequeño o si ya fue rebasada, y también permiten a los profesionales asistenciales valorar las necesidades de vacunación de sus pacientes en cada visita.</w:t>
      </w:r>
    </w:p>
    <w:p w14:paraId="0BFBD00F" w14:textId="77777777" w:rsidR="0072615D" w:rsidRDefault="0072615D">
      <w:pPr>
        <w:pStyle w:val="BodyText"/>
        <w:spacing w:after="220"/>
        <w:ind w:firstLine="0"/>
      </w:pPr>
      <w:r>
        <w:t>Los registros también sirven para medir la protección de inmunización. AAP insta a los médicos a colaborar con los funcionarios estatales y locales de salud al aportar datos de vacunación para los sistemas de registro estatal. Mientras los registros en cuestión funcionan de manera fidedigna, padres y médicos deben depender del registro de vacunación personal para documentar el estado de inmunización de cada niño.</w:t>
      </w:r>
    </w:p>
    <w:p w14:paraId="5669803A" w14:textId="77777777" w:rsidR="0072615D" w:rsidRDefault="0072615D">
      <w:pPr>
        <w:pStyle w:val="BodyText"/>
        <w:spacing w:after="220"/>
        <w:ind w:firstLine="0"/>
      </w:pPr>
      <w:r>
        <w:t>REGISTROS DE INMUNIZACIONES QUE LLEVAN LOS MÉDICOS</w:t>
      </w:r>
    </w:p>
    <w:p w14:paraId="2869146D" w14:textId="77777777" w:rsidR="0072615D" w:rsidRDefault="0072615D">
      <w:pPr>
        <w:pStyle w:val="BodyText"/>
        <w:ind w:firstLine="0"/>
      </w:pPr>
      <w:r>
        <w:t>Todo médico debe asegurar que los antecedentes de vacunaciones de cada niño permanecen en un registro confidencial y permanente que pueda ser revisado de manera fácil y actualizado cuando se aplican nuevas vacunas. El registro médico que conserva el profesional de asistencia primaria debe incluir todas las vacunas recibidas, comprendidas las que pudieron haberse aplicado en otra institución asistencial. El formato del registro debe facilitar la identificación y recordar a los pacientes la necesidad de ser vacunados.</w:t>
      </w:r>
    </w:p>
    <w:p w14:paraId="62416DE4" w14:textId="77777777" w:rsidR="0072615D" w:rsidRDefault="0072615D">
      <w:pPr>
        <w:pStyle w:val="BodyText"/>
        <w:spacing w:after="100"/>
        <w:ind w:firstLine="360"/>
      </w:pPr>
      <w:r>
        <w:t>Los registros de niños en que ha habido retraso u omisión de las vacunaciones deben tener señales muy visibles que indiquen la necesidad de completar las vacunaciones. En lo que toca a los datos que exige la Ley Nacional de Lesiones por Vacunas en Niños, de 1986, y también datos recomendados por la AAP que deben ser consignados en el expediente clínico de cada paciente en cada vacunación, conviene consultar “Información para los pacientes y sus padres” al principio de esta sección.</w:t>
      </w:r>
    </w:p>
    <w:p w14:paraId="0321AAEF" w14:textId="77777777" w:rsidR="0072615D" w:rsidRDefault="0072615D">
      <w:pPr>
        <w:pStyle w:val="Bodytext70"/>
        <w:spacing w:after="220"/>
      </w:pPr>
      <w:r>
        <w:t>Escasez de vacunas</w:t>
      </w:r>
    </w:p>
    <w:p w14:paraId="3DA743E7" w14:textId="77777777" w:rsidR="0072615D" w:rsidRDefault="0072615D">
      <w:pPr>
        <w:pStyle w:val="BodyText"/>
        <w:ind w:firstLine="0"/>
      </w:pPr>
      <w:r>
        <w:t xml:space="preserve">De 2001 a 2003 en Estados Unidos se observó una escasez no vista antes en el calendario de vacunación de niños y adolescentes; tal situación incluyó cinco vacunas utilizadas para prevenir ocho de las 11 enfermedades infecciosas de niños, evitables con vacunas, y fue más intensa en algunas regiones de dicho país que en otras. Ante tal deficiencia, hubo necesidad de hacer cambios temporales en las recomendaciones para vacunar niños, y en ellos intervinieron AAP, ACIP y el </w:t>
      </w:r>
      <w:r>
        <w:rPr>
          <w:rFonts w:ascii="Times New Roman" w:eastAsia="Times New Roman" w:hAnsi="Times New Roman" w:cs="Times New Roman"/>
          <w:i/>
          <w:iCs/>
          <w:sz w:val="16"/>
          <w:szCs w:val="16"/>
        </w:rPr>
        <w:t xml:space="preserve">National Immunization Program </w:t>
      </w:r>
      <w:r>
        <w:t xml:space="preserve">de los CDC, que incluyeron el retraso de determinadas inmunizaciones en algunos menores, el establecimiento de prioridades de vacunas en caso de niños de alto riesgo y la suspensión en algunos estados, de las exigencias de vacunación para incorporación a escuelas y centros asistenciales. Algunos comités de organizaciones a nivel nacional, como el </w:t>
      </w:r>
      <w:r>
        <w:rPr>
          <w:rFonts w:ascii="Times New Roman" w:eastAsia="Times New Roman" w:hAnsi="Times New Roman" w:cs="Times New Roman"/>
          <w:i/>
          <w:iCs/>
          <w:sz w:val="16"/>
          <w:szCs w:val="16"/>
        </w:rPr>
        <w:t>National Vaccine Advisory Committee</w:t>
      </w:r>
      <w:r>
        <w:t xml:space="preserve"> y la </w:t>
      </w:r>
      <w:r>
        <w:rPr>
          <w:rFonts w:ascii="Times New Roman" w:eastAsia="Times New Roman" w:hAnsi="Times New Roman" w:cs="Times New Roman"/>
          <w:i/>
          <w:iCs/>
          <w:sz w:val="16"/>
          <w:szCs w:val="16"/>
        </w:rPr>
        <w:t>US General Accounting Office</w:t>
      </w:r>
      <w:r>
        <w:rPr>
          <w:i/>
          <w:iCs/>
        </w:rPr>
        <w:t>,</w:t>
      </w:r>
      <w:r>
        <w:t xml:space="preserve"> han planteado estrategias integrales para evitar que se repitan en lo futuro tales problemas, y alientan a las autoridades de alta jerarquía a colaborar para emprender acciones correctivas.</w:t>
      </w:r>
    </w:p>
    <w:p w14:paraId="54E4CDC9" w14:textId="77777777" w:rsidR="0072615D" w:rsidRDefault="0072615D">
      <w:pPr>
        <w:pStyle w:val="BodyText"/>
        <w:spacing w:after="340"/>
        <w:ind w:firstLine="360"/>
      </w:pPr>
      <w:r>
        <w:t xml:space="preserve">Cuando hay escasez de vacunas, los médicos y otros profesionales asistenciales deben conservar listas de niños y adolescentes que no fueron vacunados en la fecha o edad recomendada para llamarles cuando el abasto de tales productos se vuelva suficiente. Para tener información complementaria sobre la escasez de vacunas y las recomendaciones en este sentido conviene consultar las páginas Web del </w:t>
      </w:r>
      <w:r>
        <w:rPr>
          <w:rFonts w:ascii="Times New Roman" w:eastAsia="Times New Roman" w:hAnsi="Times New Roman" w:cs="Times New Roman"/>
          <w:i/>
          <w:iCs/>
          <w:sz w:val="16"/>
          <w:szCs w:val="16"/>
        </w:rPr>
        <w:t>National Immunization Program</w:t>
      </w:r>
      <w:r>
        <w:t xml:space="preserve"> (</w:t>
      </w:r>
      <w:hyperlink r:id="rId110" w:history="1">
        <w:r>
          <w:t>www.cdc.gov/nip</w:t>
        </w:r>
      </w:hyperlink>
      <w:r>
        <w:t xml:space="preserve">) o la </w:t>
      </w:r>
      <w:r>
        <w:rPr>
          <w:rFonts w:ascii="Times New Roman" w:eastAsia="Times New Roman" w:hAnsi="Times New Roman" w:cs="Times New Roman"/>
          <w:i/>
          <w:iCs/>
          <w:sz w:val="16"/>
          <w:szCs w:val="16"/>
        </w:rPr>
        <w:t xml:space="preserve">American Academy of Pediatrics </w:t>
      </w:r>
      <w:r>
        <w:t>(</w:t>
      </w:r>
      <w:hyperlink r:id="rId111" w:history="1">
        <w:r>
          <w:t>www.aap.org</w:t>
        </w:r>
      </w:hyperlink>
      <w:r>
        <w:t xml:space="preserve">). Para análisis recientes de la escasez de los productos en cuestión se pueden consultar las páginas Web de la </w:t>
      </w:r>
      <w:r>
        <w:rPr>
          <w:rFonts w:ascii="Times New Roman" w:eastAsia="Times New Roman" w:hAnsi="Times New Roman" w:cs="Times New Roman"/>
          <w:i/>
          <w:iCs/>
          <w:sz w:val="16"/>
          <w:szCs w:val="16"/>
        </w:rPr>
        <w:t>National Vaccine Program Office</w:t>
      </w:r>
      <w:r>
        <w:t xml:space="preserve"> (</w:t>
      </w:r>
      <w:hyperlink r:id="rId112" w:history="1">
        <w:r>
          <w:t>www.cdc.gov/od/nvpo</w:t>
        </w:r>
      </w:hyperlink>
      <w:r>
        <w:t xml:space="preserve">) y la </w:t>
      </w:r>
      <w:r>
        <w:rPr>
          <w:rFonts w:ascii="Times New Roman" w:eastAsia="Times New Roman" w:hAnsi="Times New Roman" w:cs="Times New Roman"/>
          <w:i/>
          <w:iCs/>
          <w:sz w:val="16"/>
          <w:szCs w:val="16"/>
        </w:rPr>
        <w:t>General Accounting Office</w:t>
      </w:r>
      <w:r>
        <w:t xml:space="preserve"> (</w:t>
      </w:r>
      <w:hyperlink r:id="rId113" w:history="1">
        <w:r>
          <w:t>www.gao.gov</w:t>
        </w:r>
      </w:hyperlink>
      <w:r>
        <w:t>).</w:t>
      </w:r>
    </w:p>
    <w:p w14:paraId="68B772D5" w14:textId="77777777" w:rsidR="0072615D" w:rsidRDefault="0072615D">
      <w:pPr>
        <w:pStyle w:val="Bodytext70"/>
        <w:spacing w:after="220"/>
      </w:pPr>
      <w:r>
        <w:t>Seguridad y contraindicaciones de las vacunas</w:t>
      </w:r>
    </w:p>
    <w:p w14:paraId="60BD34E9" w14:textId="77777777" w:rsidR="0072615D" w:rsidRDefault="0072615D">
      <w:pPr>
        <w:pStyle w:val="BodyText"/>
        <w:spacing w:after="220"/>
        <w:ind w:firstLine="0"/>
      </w:pPr>
      <w:r>
        <w:t>RIESGOS Y REACCIONES ADVERSAS</w:t>
      </w:r>
    </w:p>
    <w:p w14:paraId="55A3BF30" w14:textId="77777777" w:rsidR="0072615D" w:rsidRDefault="0072615D">
      <w:pPr>
        <w:pStyle w:val="BodyText"/>
        <w:ind w:firstLine="0"/>
      </w:pPr>
      <w:r>
        <w:t>Por lo regular todas las vacunas aprobadas para la población en Estados Unidos son seguras y eficaces, aunque tal afirmación no es absoluta para todas las personas. Determinados individuos que las reciben mostrarán alguna reacción adversa, y en otros casos no siempre se logrará protección absoluta. El objetivo de una vacuna es alcanzar el máximo grado de protección con la menor aparición de reacciones adversas.</w:t>
      </w:r>
    </w:p>
    <w:p w14:paraId="05EA6789" w14:textId="77777777" w:rsidR="0072615D" w:rsidRDefault="0072615D">
      <w:pPr>
        <w:pStyle w:val="BodyText"/>
        <w:ind w:firstLine="360"/>
      </w:pPr>
      <w:r>
        <w:t>Los peligros de la vacunación varían desde triviales y molestos hasta graves y letales. Al plantear las recomendaciones en este sentido se comparan los beneficios e inocuidad de las vacunas con los riesgos que impone la enfermedad natural a la persona y la comunidad. Mucha gente no se percata de la amenaza perenne que imponen algunas enfermedades evitables por vacuna (como la tos ferina y el sarampión) en la comunidad y el peligro del tétanos en personas no vacunadas. Con las recomendaciones se busca llevar al máximo la protección y reducir al mínimo el riesgo, al brindar orientación específica en cuanto a dosis, vía y momento oportuno de la vacunación y al identificar a personas que deben ser vacunadas, así como las circunstancias que justifican precauciones o que incluso obligan a contraindicar la vacunación.</w:t>
      </w:r>
    </w:p>
    <w:p w14:paraId="0C92B71C" w14:textId="77777777" w:rsidR="0072615D" w:rsidRDefault="0072615D">
      <w:pPr>
        <w:pStyle w:val="BodyText"/>
        <w:ind w:firstLine="360"/>
      </w:pPr>
      <w:r>
        <w:t>Las reacciones adversas comunes suelen ser leves o moderadas (como fiebre o hinchazón local, enrojecimiento y dolor en el sitio de la inyección) y no dejan secuelas permanentes. Son intrínsecas de cada antígeno inmunizante o de otro componente de la vacuna, pero surgen frecuentemente y son inevitables. Entre los ejemplos estaría la inflamación local después de aplicar la vacuna DtaP, y la fiebre y la erupción una a dos semanas después de aplicar la vacuna MMR.</w:t>
      </w:r>
    </w:p>
    <w:p w14:paraId="73875375" w14:textId="77777777" w:rsidR="0072615D" w:rsidRDefault="0072615D">
      <w:pPr>
        <w:pStyle w:val="BodyText"/>
        <w:ind w:firstLine="360"/>
      </w:pPr>
      <w:r>
        <w:t>Han surgido abscesos estériles en el sitio de la inyección de algunas vacunas hechas de virus o gérmenes inactivados; los abscesos quizá son consecuencia de una respuesta inflamatoria a la vacuna o sus aditivos; en algunos casos pueden ser causados por la inoculación subcutánea inadvertida de una vacuna que se elaboró para administrarse por vía intramuscular. La aplicación de la vacuna con bacilo de Calmette-Guérin (BCG) a menudo es seguida de la aparición de quistes y abscesos locales, linfadenopatía regional o las tres complicaciones, que mostrarán resolución espontánea (véase “Tuberculosis”, sección 3).</w:t>
      </w:r>
    </w:p>
    <w:p w14:paraId="2999A8BD" w14:textId="77777777" w:rsidR="0072615D" w:rsidRDefault="0072615D">
      <w:pPr>
        <w:pStyle w:val="BodyText"/>
        <w:spacing w:after="340"/>
        <w:ind w:firstLine="360"/>
        <w:sectPr w:rsidR="0072615D" w:rsidSect="0072615D">
          <w:headerReference w:type="even" r:id="rId114"/>
          <w:headerReference w:type="default" r:id="rId115"/>
          <w:footerReference w:type="even" r:id="rId116"/>
          <w:footerReference w:type="default" r:id="rId117"/>
          <w:footnotePr>
            <w:numFmt w:val="chicago"/>
          </w:footnotePr>
          <w:type w:val="continuous"/>
          <w:pgSz w:w="8501" w:h="13022"/>
          <w:pgMar w:top="941" w:right="813" w:bottom="528" w:left="805" w:header="0" w:footer="3" w:gutter="0"/>
          <w:cols w:space="720"/>
          <w:noEndnote/>
          <w:docGrid w:linePitch="360"/>
          <w15:footnoteColumns w:val="1"/>
        </w:sectPr>
      </w:pPr>
      <w:r>
        <w:t xml:space="preserve">En raras ocasiones surgen efectos adversos graves que dejan secuelas permanentes o causan enfermedades letales. La aparición de dichos problemas después de la vacunación no prueba que la vacuna originó los síntomas o signos. Las vacunas se aplican a lactantes y niños en una época de su vida en que algunas enfermedades muy a menudo se manifiestan clínicamente (como serían cuadros convulsivos). Ante la posible coincidencia casual de una reacción adversa con la fecha de aplicación de una vacuna específica, cualquier relación causal verdadera obliga a que se pruebe que la reacción surgió con una frecuencia significativamente mayor entre quienes reciben la vacuna que en los grupos no vacunados de edad y residencia similares. La identificación del virus </w:t>
      </w:r>
    </w:p>
    <w:p w14:paraId="06EB309B" w14:textId="77777777" w:rsidR="0072615D" w:rsidRDefault="0072615D">
      <w:pPr>
        <w:pStyle w:val="BodyText"/>
        <w:spacing w:after="340"/>
        <w:ind w:firstLine="0"/>
      </w:pPr>
      <w:r>
        <w:t xml:space="preserve">recomendaciones en este sentido conviene consultar las páginas Web del </w:t>
      </w:r>
      <w:r>
        <w:rPr>
          <w:rFonts w:ascii="Times New Roman" w:eastAsia="Times New Roman" w:hAnsi="Times New Roman" w:cs="Times New Roman"/>
          <w:i/>
          <w:iCs/>
          <w:sz w:val="16"/>
          <w:szCs w:val="16"/>
        </w:rPr>
        <w:t>National Immunization Program</w:t>
      </w:r>
      <w:r>
        <w:t xml:space="preserve"> (</w:t>
      </w:r>
      <w:hyperlink r:id="rId118" w:history="1">
        <w:r>
          <w:t>www.cdc.gov/nip</w:t>
        </w:r>
      </w:hyperlink>
      <w:r>
        <w:t xml:space="preserve">) o la </w:t>
      </w:r>
      <w:r>
        <w:rPr>
          <w:rFonts w:ascii="Times New Roman" w:eastAsia="Times New Roman" w:hAnsi="Times New Roman" w:cs="Times New Roman"/>
          <w:i/>
          <w:iCs/>
          <w:sz w:val="16"/>
          <w:szCs w:val="16"/>
        </w:rPr>
        <w:t xml:space="preserve">American Academy of Pediatrics </w:t>
      </w:r>
      <w:r>
        <w:t>(</w:t>
      </w:r>
      <w:hyperlink r:id="rId119" w:history="1">
        <w:r>
          <w:t>www.aap.org</w:t>
        </w:r>
      </w:hyperlink>
      <w:r>
        <w:t xml:space="preserve">). Para análisis recientes de la escasez de los productos en cuestión se pueden consultar las páginas Web de la </w:t>
      </w:r>
      <w:r>
        <w:rPr>
          <w:rFonts w:ascii="Times New Roman" w:eastAsia="Times New Roman" w:hAnsi="Times New Roman" w:cs="Times New Roman"/>
          <w:i/>
          <w:iCs/>
          <w:sz w:val="16"/>
          <w:szCs w:val="16"/>
        </w:rPr>
        <w:t>National Vaccine Program Office</w:t>
      </w:r>
      <w:r>
        <w:t xml:space="preserve"> (</w:t>
      </w:r>
      <w:hyperlink r:id="rId120" w:history="1">
        <w:r>
          <w:t>www.cdc.gov/od/nvpo</w:t>
        </w:r>
      </w:hyperlink>
      <w:r>
        <w:t xml:space="preserve">) y la </w:t>
      </w:r>
      <w:r>
        <w:rPr>
          <w:rFonts w:ascii="Times New Roman" w:eastAsia="Times New Roman" w:hAnsi="Times New Roman" w:cs="Times New Roman"/>
          <w:i/>
          <w:iCs/>
          <w:sz w:val="16"/>
          <w:szCs w:val="16"/>
        </w:rPr>
        <w:t>General Accounting Office</w:t>
      </w:r>
      <w:r>
        <w:t xml:space="preserve"> (</w:t>
      </w:r>
      <w:hyperlink r:id="rId121" w:history="1">
        <w:r>
          <w:t>www.gao.gov</w:t>
        </w:r>
      </w:hyperlink>
      <w:r>
        <w:t>).</w:t>
      </w:r>
    </w:p>
    <w:p w14:paraId="07B46AE7" w14:textId="77777777" w:rsidR="0072615D" w:rsidRDefault="0072615D">
      <w:pPr>
        <w:pStyle w:val="Bodytext70"/>
        <w:spacing w:after="220"/>
      </w:pPr>
      <w:r>
        <w:t>Seguridad y contraindicaciones de las vacunas</w:t>
      </w:r>
    </w:p>
    <w:p w14:paraId="2F75C310" w14:textId="77777777" w:rsidR="0072615D" w:rsidRDefault="0072615D">
      <w:pPr>
        <w:pStyle w:val="BodyText"/>
        <w:spacing w:after="220"/>
        <w:ind w:firstLine="0"/>
      </w:pPr>
      <w:r>
        <w:t>RIESGOS Y REACCIONES ADVERSAS</w:t>
      </w:r>
    </w:p>
    <w:p w14:paraId="53C8F78E" w14:textId="77777777" w:rsidR="0072615D" w:rsidRDefault="0072615D">
      <w:pPr>
        <w:pStyle w:val="BodyText"/>
        <w:ind w:firstLine="0"/>
      </w:pPr>
      <w:r>
        <w:t>Por lo regular todas las vacunas aprobadas para la población en Estados Unidos son seguras y eficaces, aunque tal afirmación no es absoluta para todas las personas. Determinados individuos que las reciben mostrarán alguna reacción adversa, y en otros casos no siempre se logrará protección absoluta. El objetivo de una vacuna es alcanzar el máximo grado de protección con la menor aparición de reacciones adversas.</w:t>
      </w:r>
    </w:p>
    <w:p w14:paraId="5FCDEC02" w14:textId="77777777" w:rsidR="0072615D" w:rsidRDefault="0072615D">
      <w:pPr>
        <w:pStyle w:val="BodyText"/>
        <w:ind w:firstLine="360"/>
      </w:pPr>
      <w:r>
        <w:t>Los peligros de la vacunación varían desde triviales y molestos hasta graves y letales. Al plantear las recomendaciones en este sentido se comparan los beneficios e inocuidad de las vacunas con los riesgos que impone la enfermedad natural a la persona y la comunidad. Mucha gente no se percata de la amenaza perenne que imponen algunas enfermedades evitables por vacuna (como la tos ferina y el sarampión) en la comunidad y el peligro del tétanos en personas no vacunadas. Con las recomendaciones se busca llevar al máximo la protección y reducir al mínimo el riesgo, al brindar orientación específica en cuanto a dosis, vía y momento oportuno de la vacunación y al identificar a personas que deben ser vacunadas, así como las circunstancias que justifican precauciones o que incluso obligan a contraindicar la vacunación.</w:t>
      </w:r>
    </w:p>
    <w:p w14:paraId="79E3F85E" w14:textId="77777777" w:rsidR="0072615D" w:rsidRDefault="0072615D">
      <w:pPr>
        <w:pStyle w:val="BodyText"/>
        <w:ind w:firstLine="360"/>
      </w:pPr>
      <w:r>
        <w:t>Las reacciones adversas comunes suelen ser leves o moderadas (como fiebre o hinchazón local, enrojecimiento y dolor en el sitio de la inyección) y no dejan secuelas permanentes. Son intrínsecas de cada antígeno inmunizante o de otro componente de la vacuna, pero surgen frecuentemente y son inevitables. Entre los ejemplos estaría la inflamación local después de aplicar la vacuna DtaP, y la fiebre y la erupción una a dos semanas después de aplicar la vacuna MMR.</w:t>
      </w:r>
    </w:p>
    <w:p w14:paraId="39BC20B7" w14:textId="77777777" w:rsidR="0072615D" w:rsidRDefault="0072615D">
      <w:pPr>
        <w:pStyle w:val="BodyText"/>
        <w:ind w:firstLine="360"/>
      </w:pPr>
      <w:r>
        <w:t>Han surgido abscesos estériles en el sitio de la inyección de algunas vacunas hechas de virus o gérmenes inactivados; los abscesos quizá son consecuencia de una respuesta inflamatoria a la vacuna o sus aditivos; en algunos casos pueden ser causados por la inoculación subcutánea inadvertida de una vacuna que se elaboró para administrarse por vía intramuscular. La aplicación de la vacuna con bacilo de Calmette-Guérin (BCG) a menudo es seguida de la aparición de quistes y abscesos locales, linfadenopatía regional o las tres complicaciones, que mostrarán resolución espontánea (véase “Tuberculosis”, sección 3).</w:t>
      </w:r>
    </w:p>
    <w:p w14:paraId="013FDBFC" w14:textId="77777777" w:rsidR="0072615D" w:rsidRDefault="0072615D">
      <w:pPr>
        <w:pStyle w:val="BodyText"/>
        <w:ind w:firstLine="360"/>
      </w:pPr>
      <w:r>
        <w:t>En raras ocasiones surgen efectos adversos graves que dejan secuelas permanentes o causan enfermedades letales. La aparición de dichos problemas después de la vacunación no prueba que la vacuna originó los síntomas o signos. Las vacunas se aplican a lactantes y niños en una época de su vida en que algunas enfermedades muy a menudo se manifiestan clínicamente (como serían cuadros convulsivos). Ante la posible coincidencia casual de una reacción adversa con la fecha de aplicación de una vacuna específica, cualquier relación causal verdadera obliga a que se pruebe que la reacción surgió con una frecuencia significativamente mayor entre quienes reciben la vacuna que en los grupos no vacunados de edad y residencia similares. La identificación del virus vacunal del niño enfermo con síntomas compatibles puede servir de apoyo para probar un vínculo con la vacuna (p. ej., poliomielitis vinculada con la vacuna, con la aplicación de OPV). En casi todos los casos de vacunas hechas de virus vivos, la prueba de la relación causal entre la vacuna y un cuadro patológico posterior obliga a aislar e identificar la sepa de la vacuna del vacunado, a pesar de que el aislamiento de un virus de la vacuna puede ser totalmente fortuito y aleatorio.</w:t>
      </w:r>
    </w:p>
    <w:p w14:paraId="09E6FB50" w14:textId="77777777" w:rsidR="0072615D" w:rsidRDefault="0072615D">
      <w:pPr>
        <w:pStyle w:val="BodyText"/>
        <w:spacing w:after="220" w:line="276" w:lineRule="auto"/>
        <w:ind w:firstLine="360"/>
      </w:pPr>
      <w:r>
        <w:t xml:space="preserve">Un cuadro específico que surge en una sola persona después de vacunada no constituye prueba suficiente para afirmar que el trastorno fue causado por la vacuna, pero es importante la notificación de reacciones adversas después de vacunación, al </w:t>
      </w:r>
      <w:r>
        <w:rPr>
          <w:rFonts w:ascii="Times New Roman" w:eastAsia="Times New Roman" w:hAnsi="Times New Roman" w:cs="Times New Roman"/>
          <w:i/>
          <w:iCs/>
          <w:sz w:val="16"/>
          <w:szCs w:val="16"/>
        </w:rPr>
        <w:t>Vaccine Adverse Event Reporting System</w:t>
      </w:r>
      <w:r>
        <w:t xml:space="preserve"> (VAERS; véase más adelante en esta sección “Notificación de reacciones adversas”) en Estados Unidos, porque si se juntan otros señalamientos quizá aporte pruebas de una reacción adversa imprevista. Los casos de niños y adolescentes que terminan por mostrar una enfermedad evitable por vacuna en cualquier fecha después de la vacunación (ineficacia) deben ser notificados al departamento de salud local o estatal y también al Sistema de Notificación de Reacciones Adversas por Vacunas.</w:t>
      </w:r>
    </w:p>
    <w:p w14:paraId="7D43D858" w14:textId="77777777" w:rsidR="0072615D" w:rsidRDefault="0072615D">
      <w:pPr>
        <w:pStyle w:val="BodyText"/>
        <w:spacing w:after="220"/>
        <w:ind w:firstLine="0"/>
      </w:pPr>
      <w:r>
        <w:t>COMITÉ DE REVISIÓN DE SEGURIDAD DE LAS VACUNACIONES (INSTITUTO DE MEDICINA)</w:t>
      </w:r>
    </w:p>
    <w:p w14:paraId="2ECF9AB9" w14:textId="77777777" w:rsidR="0072615D" w:rsidRDefault="0072615D">
      <w:pPr>
        <w:pStyle w:val="BodyText"/>
        <w:spacing w:line="276" w:lineRule="auto"/>
        <w:ind w:firstLine="0"/>
      </w:pPr>
      <w:r>
        <w:t xml:space="preserve">En Estados Unidos, los CDC y el </w:t>
      </w:r>
      <w:r>
        <w:rPr>
          <w:rFonts w:ascii="Times New Roman" w:eastAsia="Times New Roman" w:hAnsi="Times New Roman" w:cs="Times New Roman"/>
          <w:i/>
          <w:iCs/>
          <w:sz w:val="16"/>
          <w:szCs w:val="16"/>
        </w:rPr>
        <w:t>National Institute of Health</w:t>
      </w:r>
      <w:r>
        <w:t xml:space="preserve"> comisionaron al </w:t>
      </w:r>
      <w:r>
        <w:rPr>
          <w:rFonts w:ascii="Times New Roman" w:eastAsia="Times New Roman" w:hAnsi="Times New Roman" w:cs="Times New Roman"/>
          <w:i/>
          <w:iCs/>
          <w:sz w:val="16"/>
          <w:szCs w:val="16"/>
        </w:rPr>
        <w:t>Institute of Medicine</w:t>
      </w:r>
      <w:r>
        <w:t xml:space="preserve"> (IOM) de la </w:t>
      </w:r>
      <w:r>
        <w:rPr>
          <w:rFonts w:ascii="Times New Roman" w:eastAsia="Times New Roman" w:hAnsi="Times New Roman" w:cs="Times New Roman"/>
          <w:i/>
          <w:iCs/>
          <w:sz w:val="16"/>
          <w:szCs w:val="16"/>
        </w:rPr>
        <w:t>National Academy of Sciences</w:t>
      </w:r>
      <w:r>
        <w:t xml:space="preserve"> para integrar un </w:t>
      </w:r>
      <w:r>
        <w:rPr>
          <w:rFonts w:ascii="Times New Roman" w:eastAsia="Times New Roman" w:hAnsi="Times New Roman" w:cs="Times New Roman"/>
          <w:i/>
          <w:iCs/>
          <w:sz w:val="16"/>
          <w:szCs w:val="16"/>
        </w:rPr>
        <w:t>Immunization Safety Review Committee</w:t>
      </w:r>
      <w:r>
        <w:rPr>
          <w:i/>
          <w:iCs/>
        </w:rPr>
        <w:t>,</w:t>
      </w:r>
      <w:r>
        <w:t xml:space="preserve"> en el año 2000. Dicho comité independiente de expertos tuvo como tarea explorar como mínimo nueve hipótesis sobre aspectos dudosos de la seguridad o inocuidad de la vacunación, existentes y nuevos hasta el año 2003. Hasta el año 2002 dicho comité había revisado las hipótesis siguientes:</w:t>
      </w:r>
    </w:p>
    <w:p w14:paraId="6D6F78E8" w14:textId="77777777" w:rsidR="0072615D" w:rsidRDefault="0072615D">
      <w:pPr>
        <w:pStyle w:val="BodyText"/>
        <w:numPr>
          <w:ilvl w:val="0"/>
          <w:numId w:val="21"/>
        </w:numPr>
        <w:tabs>
          <w:tab w:val="left" w:pos="341"/>
        </w:tabs>
        <w:ind w:firstLine="0"/>
      </w:pPr>
      <w:bookmarkStart w:id="195" w:name="bookmark195"/>
      <w:bookmarkEnd w:id="195"/>
      <w:r>
        <w:t>Que existe un vínculo entre la vacuna triple (MMR) y el autismo</w:t>
      </w:r>
    </w:p>
    <w:p w14:paraId="687E43FB" w14:textId="77777777" w:rsidR="0072615D" w:rsidRDefault="0072615D">
      <w:pPr>
        <w:pStyle w:val="BodyText"/>
        <w:numPr>
          <w:ilvl w:val="0"/>
          <w:numId w:val="21"/>
        </w:numPr>
        <w:tabs>
          <w:tab w:val="left" w:pos="341"/>
        </w:tabs>
        <w:ind w:left="360" w:hanging="360"/>
      </w:pPr>
      <w:bookmarkStart w:id="196" w:name="bookmark196"/>
      <w:bookmarkEnd w:id="196"/>
      <w:r>
        <w:t>Que las vacunas que contienen timerosal pueden contribuir a trastornos del desarrollo del sistema nervioso como autismo, discapacidades didácticas (dislexias) y retraso en el habla</w:t>
      </w:r>
    </w:p>
    <w:p w14:paraId="4F02DD02" w14:textId="77777777" w:rsidR="0072615D" w:rsidRDefault="0072615D">
      <w:pPr>
        <w:pStyle w:val="BodyText"/>
        <w:numPr>
          <w:ilvl w:val="0"/>
          <w:numId w:val="21"/>
        </w:numPr>
        <w:tabs>
          <w:tab w:val="left" w:pos="341"/>
        </w:tabs>
        <w:ind w:left="360" w:hanging="360"/>
      </w:pPr>
      <w:bookmarkStart w:id="197" w:name="bookmark197"/>
      <w:bookmarkEnd w:id="197"/>
      <w:r>
        <w:t>Que las vacunaciones múltiples pueden acompañarse de disfunción del sistema inmunitario, como sobrecarga del mismo</w:t>
      </w:r>
    </w:p>
    <w:p w14:paraId="3BE573FD" w14:textId="77777777" w:rsidR="0072615D" w:rsidRDefault="0072615D">
      <w:pPr>
        <w:pStyle w:val="BodyText"/>
        <w:numPr>
          <w:ilvl w:val="0"/>
          <w:numId w:val="21"/>
        </w:numPr>
        <w:tabs>
          <w:tab w:val="left" w:pos="341"/>
        </w:tabs>
        <w:ind w:left="360" w:hanging="360"/>
      </w:pPr>
      <w:bookmarkStart w:id="198" w:name="bookmark198"/>
      <w:bookmarkEnd w:id="198"/>
      <w:r>
        <w:t>Que la vacuna contra hepatitis B pudiera vincularse con trastornos neurológicos desmielinizantes</w:t>
      </w:r>
    </w:p>
    <w:p w14:paraId="6C9F77B7" w14:textId="77777777" w:rsidR="0072615D" w:rsidRDefault="0072615D">
      <w:pPr>
        <w:pStyle w:val="BodyText"/>
        <w:numPr>
          <w:ilvl w:val="0"/>
          <w:numId w:val="21"/>
        </w:numPr>
        <w:tabs>
          <w:tab w:val="left" w:pos="341"/>
        </w:tabs>
        <w:ind w:left="360" w:hanging="360"/>
      </w:pPr>
      <w:bookmarkStart w:id="199" w:name="bookmark199"/>
      <w:bookmarkEnd w:id="199"/>
      <w:r>
        <w:t xml:space="preserve">Que la contaminación de la vacuna antipoliomielítica por virus simio </w:t>
      </w:r>
      <w:r>
        <w:rPr>
          <w:i/>
          <w:iCs/>
        </w:rPr>
        <w:t>(</w:t>
      </w:r>
      <w:r>
        <w:rPr>
          <w:rFonts w:ascii="Times New Roman" w:eastAsia="Times New Roman" w:hAnsi="Times New Roman" w:cs="Times New Roman"/>
          <w:i/>
          <w:iCs/>
          <w:sz w:val="16"/>
          <w:szCs w:val="16"/>
        </w:rPr>
        <w:t>simian virus</w:t>
      </w:r>
      <w:r>
        <w:rPr>
          <w:i/>
          <w:iCs/>
        </w:rPr>
        <w:t xml:space="preserve">, </w:t>
      </w:r>
      <w:r>
        <w:t>SV)-40 puede acompañarse de cáncer</w:t>
      </w:r>
    </w:p>
    <w:p w14:paraId="3CC09A45" w14:textId="77777777" w:rsidR="0072615D" w:rsidRDefault="0072615D">
      <w:pPr>
        <w:pStyle w:val="BodyText"/>
        <w:spacing w:line="283" w:lineRule="auto"/>
        <w:ind w:firstLine="360"/>
      </w:pPr>
      <w:r>
        <w:t xml:space="preserve">Pueden consultarse datos sobre el IOM, señalamientos del </w:t>
      </w:r>
      <w:r>
        <w:rPr>
          <w:rFonts w:ascii="Times New Roman" w:eastAsia="Times New Roman" w:hAnsi="Times New Roman" w:cs="Times New Roman"/>
          <w:i/>
          <w:iCs/>
          <w:sz w:val="16"/>
          <w:szCs w:val="16"/>
        </w:rPr>
        <w:t>Immunization Safety Review Committee</w:t>
      </w:r>
      <w:r>
        <w:t xml:space="preserve"> y revisiones de otros comités, en la Web (</w:t>
      </w:r>
      <w:hyperlink r:id="rId122" w:history="1">
        <w:r>
          <w:t>www.iom.edu/IOM/IOMHome.nsf/Pages/immunization+safety+review</w:t>
        </w:r>
      </w:hyperlink>
      <w:r>
        <w:t>).</w:t>
      </w:r>
    </w:p>
    <w:p w14:paraId="43EB2D65"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Vacuna triple (MMR) y autismo.</w:t>
      </w:r>
      <w:r>
        <w:t xml:space="preserve"> En 2001, el </w:t>
      </w:r>
      <w:r>
        <w:rPr>
          <w:rFonts w:ascii="Times New Roman" w:eastAsia="Times New Roman" w:hAnsi="Times New Roman" w:cs="Times New Roman"/>
          <w:i/>
          <w:iCs/>
          <w:sz w:val="16"/>
          <w:szCs w:val="16"/>
        </w:rPr>
        <w:t>Immunization Safety Review Committee</w:t>
      </w:r>
      <w:r>
        <w:t xml:space="preserve"> del IOM evaluó la posibilidad científica de la hipótesis de que la vacuna triple contribuye a la aparición de la gama del trastorno autista </w:t>
      </w:r>
      <w:r>
        <w:rPr>
          <w:i/>
          <w:iCs/>
        </w:rPr>
        <w:t>(</w:t>
      </w:r>
      <w:r>
        <w:rPr>
          <w:rFonts w:ascii="Times New Roman" w:eastAsia="Times New Roman" w:hAnsi="Times New Roman" w:cs="Times New Roman"/>
          <w:i/>
          <w:iCs/>
          <w:sz w:val="16"/>
          <w:szCs w:val="16"/>
        </w:rPr>
        <w:t>autistic spectrum disorder</w:t>
      </w:r>
      <w:r>
        <w:t>, ASD). El comité concluyó que el reciente incremento de la tendencia en el número de casos diagnosticados de autismo no se puede atribuir a la vacuna mencionada. El IOM, después de reconocer que las conclusiones de los estudios científicos nunca son absolutas, recomendó nuevas investigaciones para explorar la posibilidad de que la exposición a la vacuna triple pudiera constituir un factor de riesgo de que surgiera ASD en casos raros. Dicho comité también concluyó que habría que dejar sin cambios las recomendaciones actuales del uso sistemático de la vacuna triple entre los 12 y 15 meses de edad y cuatro a seis años de edad. AAP también convocó a un grupo de expertos para revisar el problema antes de la revisión del IOM y dicho grupo señaló que las pruebas disponibles no apoyan ni refuerzan la hipótesis de que la vacuna triple cause autismo, trastornos similares ni enteropatía inflamatoria.</w:t>
      </w:r>
      <w:r>
        <w:footnoteReference w:id="14"/>
      </w:r>
    </w:p>
    <w:p w14:paraId="30395DD9"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Timerosal y vacunas.</w:t>
      </w:r>
      <w:r>
        <w:t xml:space="preserve"> El </w:t>
      </w:r>
      <w:r>
        <w:rPr>
          <w:rFonts w:ascii="Times New Roman" w:eastAsia="Times New Roman" w:hAnsi="Times New Roman" w:cs="Times New Roman"/>
          <w:i/>
          <w:iCs/>
          <w:sz w:val="16"/>
          <w:szCs w:val="16"/>
        </w:rPr>
        <w:t>Immunization Safety Review Committee</w:t>
      </w:r>
      <w:r>
        <w:t xml:space="preserve"> del IOM examinó la hipótesis de que las vacunas que contienen timerosal pudieran causar trastornos específicos del desarrollo del sistema nervioso, como autismo, trastorno de déficit de atención/ hiperactividad y retrasos en la adquisición del habla o el lenguaje. El comité concluyó que las pruebas existentes no eran suficientes para aceptar o rechazar una relación causal.</w:t>
      </w:r>
    </w:p>
    <w:p w14:paraId="23D225BA" w14:textId="77777777" w:rsidR="0072615D" w:rsidRDefault="0072615D">
      <w:pPr>
        <w:pStyle w:val="BodyText"/>
        <w:ind w:firstLine="360"/>
      </w:pPr>
      <w:r>
        <w:t>El comité en cuestión señaló que: “Los efectos que tiene el timerosal en la salud son inciertos, pero sabemos que las vacunas que lo contienen protegen contra peligros reales y probados, a niños, lactantes y embarazadas no vacunados”. A finales de 2001, todas las vacunas en el calendario de vacunación recomendado para niños y adolescentes no contenían timerosal o sólo cantidades ínfimas de él.</w:t>
      </w:r>
    </w:p>
    <w:p w14:paraId="4FFE0685"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Vacunaciones múltiples y disfunción inmunitaria.</w:t>
      </w:r>
      <w:r>
        <w:t xml:space="preserve"> El </w:t>
      </w:r>
      <w:r>
        <w:rPr>
          <w:rFonts w:ascii="Times New Roman" w:eastAsia="Times New Roman" w:hAnsi="Times New Roman" w:cs="Times New Roman"/>
          <w:i/>
          <w:iCs/>
          <w:sz w:val="16"/>
          <w:szCs w:val="16"/>
        </w:rPr>
        <w:t>Immunization Safety Review Committee</w:t>
      </w:r>
      <w:r>
        <w:t xml:space="preserve"> del IOM valoró las pruebas que sustentan la hipótesis de que vacunaciones múltiples agravan el peligro de disfunción inmunitaria. Entre las consideraciones específicas se incluyeron pruebas epidemiológicas y mecanismos biológicos posibles vinculados con infecciones, diabetes mellitus de tipo 1 y cuadros alérgicos. El comité en cuestión advirtió que las pruebas epidemiológicas permitían el rechazo de una relación causal entre las vacunaciones múltiples y el mayor peligro de infecciones y la aparición de diabetes mellitus de tipo 1. Las pruebas mencionadas en cuanto al riesgo de que surgiera un trastorno alérgico, y en particular el asma, no fueron suficientes para aceptar o rechazar una relación causal.</w:t>
      </w:r>
    </w:p>
    <w:p w14:paraId="5F4CEDC3"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Vacuna contra hepatitis B y trastornos neurológicos desmielinizantes.</w:t>
      </w:r>
      <w:r>
        <w:t xml:space="preserve"> El </w:t>
      </w:r>
      <w:r>
        <w:rPr>
          <w:rFonts w:ascii="Times New Roman" w:eastAsia="Times New Roman" w:hAnsi="Times New Roman" w:cs="Times New Roman"/>
          <w:i/>
          <w:iCs/>
          <w:sz w:val="16"/>
          <w:szCs w:val="16"/>
        </w:rPr>
        <w:t>Immunization Safety Review Committee</w:t>
      </w:r>
      <w:r>
        <w:t xml:space="preserve"> del IOM concluyó que las pruebas existentes permiten rechazar una relación causal entre la aplicación de la vacuna contra hepatitis B en adultos y la incidencia y recidiva de esclerosis múltiple. El comité concluyó que las pruebas no eran suficientes para aceptar ni rechazar una relación causal entre la vacuna mencionada y el primer episodio de un trastorno desmielinizante del sistema nervioso central, encefalomielitis diseminada aguda, neuritis óptica, amnionitis transversa, síndrome de Guillain-Barré y neuritis del plexo braquial.</w:t>
      </w:r>
    </w:p>
    <w:p w14:paraId="254A3CB1" w14:textId="77777777" w:rsidR="0072615D" w:rsidRDefault="0072615D">
      <w:pPr>
        <w:pStyle w:val="BodyText"/>
        <w:spacing w:after="220" w:line="290" w:lineRule="auto"/>
        <w:ind w:firstLine="360"/>
      </w:pPr>
      <w:r>
        <w:rPr>
          <w:rFonts w:ascii="Times New Roman" w:eastAsia="Times New Roman" w:hAnsi="Times New Roman" w:cs="Times New Roman"/>
          <w:b/>
          <w:bCs/>
          <w:i/>
          <w:iCs/>
          <w:sz w:val="16"/>
          <w:szCs w:val="16"/>
        </w:rPr>
        <w:t>Contaminación de la vacuna antipoliomielitica con virus simio-40, y cáncer.</w:t>
      </w:r>
      <w:r>
        <w:t xml:space="preserve"> El </w:t>
      </w:r>
      <w:r>
        <w:rPr>
          <w:rFonts w:ascii="Times New Roman" w:eastAsia="Times New Roman" w:hAnsi="Times New Roman" w:cs="Times New Roman"/>
          <w:i/>
          <w:iCs/>
          <w:sz w:val="16"/>
          <w:szCs w:val="16"/>
        </w:rPr>
        <w:t>Safety Review Committee</w:t>
      </w:r>
      <w:r>
        <w:t xml:space="preserve"> del IOM concluyó que las pruebas no eran suficientes para decidir si la contaminación de la vacuna antipoliomielítica de 1955 a 1963 con el virus comentado originó cáncer. Desde 1963, la vacuna antipoliomielítica no ha contenido virus simio-40.</w:t>
      </w:r>
    </w:p>
    <w:p w14:paraId="2C070687" w14:textId="77777777" w:rsidR="0072615D" w:rsidRDefault="0072615D">
      <w:pPr>
        <w:pStyle w:val="BodyText"/>
        <w:spacing w:after="220"/>
        <w:ind w:firstLine="0"/>
      </w:pPr>
      <w:r>
        <w:t>LA COLABORACIÓN BRIGHTON</w:t>
      </w:r>
    </w:p>
    <w:p w14:paraId="249233AC" w14:textId="77777777" w:rsidR="0072615D" w:rsidRDefault="0072615D">
      <w:pPr>
        <w:pStyle w:val="BodyText"/>
        <w:spacing w:after="220"/>
        <w:ind w:firstLine="0"/>
      </w:pPr>
      <w:r>
        <w:t>Este organismo cuenta con la colaboración voluntaria internacional y se formó para preparar definiciones aceptadas y estandarizadas a nivel global, de reacciones adversas después de vacunaciones. Se les conocerá como las Definiciones Estandarizadas de Casos Brighton. El proyecto comenzó en 2000 con la formación de un comité directivo y la creación de los primeros seis grupos de trabajo; éstos estuvieron integrados por</w:t>
      </w:r>
    </w:p>
    <w:p w14:paraId="17D52408" w14:textId="77777777" w:rsidR="0072615D" w:rsidRDefault="0072615D">
      <w:pPr>
        <w:pStyle w:val="BodyText"/>
        <w:spacing w:after="220"/>
        <w:ind w:firstLine="0"/>
      </w:pPr>
      <w:r>
        <w:t>voluntarios internacionales con experiencia en inocuidad de vacunas, atención de pacientes, aspectos farmacéuticos, normas reguladoras, salud pública y distribución de las vacunas. Las directrices para interpretar, registrar y presentar datos sobre la inocuidad surgidos de dicho organismo permitirá compartir y comparar datos de vacunaciones entre profesionales que se ocupan de este rubro, a nivel mundial. En línea directa se puede obtener más información y datos actualizados de la evolución del proyecto (</w:t>
      </w:r>
      <w:hyperlink r:id="rId123" w:history="1">
        <w:r>
          <w:t>www.brightoncollaboration.org</w:t>
        </w:r>
      </w:hyperlink>
      <w:r>
        <w:t>).</w:t>
      </w:r>
    </w:p>
    <w:p w14:paraId="66D3F283" w14:textId="77777777" w:rsidR="0072615D" w:rsidRDefault="0072615D">
      <w:pPr>
        <w:pStyle w:val="BodyText"/>
        <w:spacing w:after="220"/>
        <w:ind w:firstLine="0"/>
      </w:pPr>
      <w:r>
        <w:t>NOTIFICACIÓN DE REACCIONES ADVERSAS</w:t>
      </w:r>
    </w:p>
    <w:p w14:paraId="6C0B80DA" w14:textId="77777777" w:rsidR="0072615D" w:rsidRDefault="0072615D">
      <w:pPr>
        <w:pStyle w:val="BodyText"/>
        <w:ind w:firstLine="0"/>
      </w:pPr>
      <w:r>
        <w:t>Antes de administrar una dosis de cualquier vacuna hay que preguntar a los padres y a los pacientes si han surgido reacciones adversas y otras posibles en las aplicaciones anteriores del producto. Ninguna recomendación permite prever todas las reacciones adversas posibles y en particular con las vacunas de aprobación reciente o la primera dosis que se administre en una serie. Hay que describir en detalle en el expediente clínico del paciente los problemas inesperados que surgen poco después de administrar cualquier vacuna, en particular los que tienen gravedad suficiente como para obligar a la atención médica, y también habrá que hacer una notificación VAERS. No hay límite cronológico para notificar una reacción adversa. También habrá que notificar cualquier posible reacción si se le identifica. El cuadro de Compensaciones de Daños por Vacunas aporta directrices para las reacciones adversas e intervalos predeterminados (véase el apéndice IV).</w:t>
      </w:r>
    </w:p>
    <w:p w14:paraId="105B0F4E" w14:textId="77777777" w:rsidR="0072615D" w:rsidRDefault="0072615D">
      <w:pPr>
        <w:pStyle w:val="BodyText"/>
        <w:spacing w:line="276" w:lineRule="auto"/>
        <w:ind w:firstLine="360"/>
      </w:pPr>
      <w:r>
        <w:t xml:space="preserve">La Ley Nacional de Daños por Vacunas en Niños, de 1986, exige a médicos y otros profesionales asistenciales que administran vacunas cubiertas en el llamado </w:t>
      </w:r>
      <w:r>
        <w:rPr>
          <w:rFonts w:ascii="Times New Roman" w:eastAsia="Times New Roman" w:hAnsi="Times New Roman" w:cs="Times New Roman"/>
          <w:i/>
          <w:iCs/>
          <w:sz w:val="16"/>
          <w:szCs w:val="16"/>
        </w:rPr>
        <w:t>National Vaccine Injury Compensation Program</w:t>
      </w:r>
      <w:r>
        <w:rPr>
          <w:i/>
          <w:iCs/>
        </w:rPr>
        <w:t>,</w:t>
      </w:r>
      <w:r>
        <w:t xml:space="preserve"> conservar en forma permanente el registro de las vacunaciones y notificar a VAERS</w:t>
      </w:r>
      <w:r>
        <w:footnoteReference w:id="15"/>
      </w:r>
      <w:r>
        <w:rPr>
          <w:vertAlign w:val="superscript"/>
        </w:rPr>
        <w:t>+</w:t>
      </w:r>
      <w:r>
        <w:t xml:space="preserve"> la aparición de algunas reacciones adversas estipuladas en la ley (véase apéndice IV). Las vacunas incluidas en este renglón, hasta enero de 2003, eran las que se usan contra sarampión, parotiditis, rubéola, varicela, virus poliomielítico, hepatitis B, tos ferina, difteria, tétanos, rotavirus, Hib y vacunas de conjugados neumocócicos (véase antes en esta sección “Archivos y registros de vacunaciones”).</w:t>
      </w:r>
    </w:p>
    <w:p w14:paraId="1066CA3A" w14:textId="77777777" w:rsidR="0072615D" w:rsidRDefault="0072615D">
      <w:pPr>
        <w:pStyle w:val="BodyText"/>
        <w:ind w:firstLine="360"/>
      </w:pPr>
      <w:r>
        <w:t>También es necesario notificar a VAERS cualquier reacción adversa que tenga importancia clínica, además de las incluidas en el apéndice IV, las que surjan después de administrar las vacunas y la ineficacia de estas últimas (enfermedad en la persona inmunizada). Se pueden obtener de VAERS formas (fig. 1-2) o se envían las notificaciones por correo electrónico (</w:t>
      </w:r>
      <w:hyperlink r:id="rId124" w:history="1">
        <w:r>
          <w:t>www.vaers.org</w:t>
        </w:r>
      </w:hyperlink>
      <w:r>
        <w:t>).</w:t>
      </w:r>
    </w:p>
    <w:p w14:paraId="5268D0F6" w14:textId="77777777" w:rsidR="0072615D" w:rsidRDefault="0072615D">
      <w:pPr>
        <w:pStyle w:val="BodyText"/>
        <w:spacing w:after="220"/>
        <w:ind w:firstLine="360"/>
        <w:sectPr w:rsidR="0072615D" w:rsidSect="0072615D">
          <w:headerReference w:type="even" r:id="rId125"/>
          <w:headerReference w:type="default" r:id="rId126"/>
          <w:footerReference w:type="even" r:id="rId127"/>
          <w:footerReference w:type="default" r:id="rId128"/>
          <w:footnotePr>
            <w:numFmt w:val="chicago"/>
          </w:footnotePr>
          <w:type w:val="continuous"/>
          <w:pgSz w:w="8501" w:h="13022"/>
          <w:pgMar w:top="941" w:right="813" w:bottom="528" w:left="805" w:header="0" w:footer="3" w:gutter="0"/>
          <w:cols w:space="720"/>
          <w:noEndnote/>
          <w:docGrid w:linePitch="360"/>
          <w15:footnoteColumns w:val="1"/>
        </w:sectPr>
      </w:pPr>
      <w:r>
        <w:t>Se aceptan todos los señalamientos de posibles reacciones adversas después de administrar cualquier vacuna, sea cual sea la edad de quien la recibió. La declaración de una notificación no indica obligadamente que la vacuna originó la reacción nociva. Se conserva a nivel confidencial toda la información que permite identificar al paciente. A la persona que envió la forma se le notifica por escrito que fue recibida. El personal de VAERS entrará en contacto con el notificador para vigilar el estado del enfermo a los 60 días y al año después de que surgieron las reacciones adversas graves.</w:t>
      </w:r>
    </w:p>
    <w:p w14:paraId="1A25488F" w14:textId="77777777" w:rsidR="0072615D" w:rsidRDefault="0072615D">
      <w:pPr>
        <w:pStyle w:val="Heading31"/>
        <w:keepNext/>
        <w:keepLines/>
        <w:framePr w:w="4349" w:h="533" w:wrap="none" w:hAnchor="page" w:x="1767" w:y="79"/>
        <w:pBdr>
          <w:bottom w:val="single" w:sz="4" w:space="0" w:color="auto"/>
        </w:pBdr>
        <w:spacing w:line="197" w:lineRule="auto"/>
        <w:jc w:val="center"/>
      </w:pPr>
      <w:bookmarkStart w:id="200" w:name="bookmark200"/>
      <w:bookmarkStart w:id="201" w:name="bookmark201"/>
      <w:bookmarkStart w:id="202" w:name="bookmark202"/>
      <w:r>
        <w:rPr>
          <w:b w:val="0"/>
          <w:bCs w:val="0"/>
        </w:rPr>
        <w:t xml:space="preserve">Figura 1- 2. </w:t>
      </w:r>
      <w:r>
        <w:t>Formato del sistema de notificación</w:t>
      </w:r>
      <w:r>
        <w:br/>
        <w:t>de reacciones adversas a vacunas</w:t>
      </w:r>
      <w:bookmarkEnd w:id="200"/>
      <w:bookmarkEnd w:id="201"/>
      <w:bookmarkEnd w:id="202"/>
    </w:p>
    <w:p w14:paraId="235D4B9A" w14:textId="77777777" w:rsidR="0072615D" w:rsidRDefault="0072615D">
      <w:pPr>
        <w:pStyle w:val="Bodytext20"/>
        <w:framePr w:w="4867" w:h="422" w:wrap="none" w:hAnchor="page" w:x="558" w:y="914"/>
        <w:spacing w:line="240" w:lineRule="auto"/>
      </w:pPr>
      <w:r>
        <w:t xml:space="preserve">Respecto de las instrucciones para completar esta fórmula, consúltese </w:t>
      </w:r>
      <w:hyperlink r:id="rId129" w:history="1">
        <w:r>
          <w:t>www.fda.gov/cber/vaers/vaers.htm</w:t>
        </w:r>
      </w:hyperlink>
    </w:p>
    <w:tbl>
      <w:tblPr>
        <w:tblOverlap w:val="never"/>
        <w:tblW w:w="0" w:type="auto"/>
        <w:tblLayout w:type="fixed"/>
        <w:tblCellMar>
          <w:left w:w="10" w:type="dxa"/>
          <w:right w:w="10" w:type="dxa"/>
        </w:tblCellMar>
        <w:tblLook w:val="04A0" w:firstRow="1" w:lastRow="0" w:firstColumn="1" w:lastColumn="0" w:noHBand="0" w:noVBand="1"/>
      </w:tblPr>
      <w:tblGrid>
        <w:gridCol w:w="2304"/>
        <w:gridCol w:w="2371"/>
        <w:gridCol w:w="461"/>
        <w:gridCol w:w="638"/>
        <w:gridCol w:w="1243"/>
      </w:tblGrid>
      <w:tr w:rsidR="0072615D" w14:paraId="5E14F21C" w14:textId="77777777">
        <w:tblPrEx>
          <w:tblCellMar>
            <w:top w:w="0" w:type="dxa"/>
            <w:bottom w:w="0" w:type="dxa"/>
          </w:tblCellMar>
        </w:tblPrEx>
        <w:trPr>
          <w:trHeight w:hRule="exact" w:val="691"/>
        </w:trPr>
        <w:tc>
          <w:tcPr>
            <w:tcW w:w="4675" w:type="dxa"/>
            <w:gridSpan w:val="2"/>
            <w:tcBorders>
              <w:top w:val="single" w:sz="4" w:space="0" w:color="auto"/>
              <w:left w:val="single" w:sz="4" w:space="0" w:color="auto"/>
            </w:tcBorders>
            <w:shd w:val="clear" w:color="auto" w:fill="FFFFFF"/>
          </w:tcPr>
          <w:p w14:paraId="4D2A0885" w14:textId="77777777" w:rsidR="0072615D" w:rsidRDefault="0072615D">
            <w:pPr>
              <w:pStyle w:val="Other0"/>
              <w:framePr w:w="7018" w:h="6206" w:vSpace="168" w:wrap="none" w:hAnchor="page" w:x="428" w:y="1519"/>
              <w:spacing w:line="240" w:lineRule="auto"/>
              <w:ind w:firstLine="600"/>
              <w:rPr>
                <w:sz w:val="12"/>
                <w:szCs w:val="12"/>
              </w:rPr>
            </w:pPr>
            <w:r>
              <w:rPr>
                <w:rFonts w:ascii="Arial" w:eastAsia="Arial" w:hAnsi="Arial" w:cs="Arial"/>
                <w:b/>
                <w:bCs/>
                <w:sz w:val="12"/>
                <w:szCs w:val="12"/>
              </w:rPr>
              <w:t>SISTEMA DE NOTIFICACIÓN DE REACCIONES ADVERSAS A VACUNAS</w:t>
            </w:r>
          </w:p>
          <w:p w14:paraId="6095AB49" w14:textId="77777777" w:rsidR="0072615D" w:rsidRDefault="0072615D">
            <w:pPr>
              <w:pStyle w:val="Other0"/>
              <w:framePr w:w="7018" w:h="6206" w:vSpace="168" w:wrap="none" w:hAnchor="page" w:x="428" w:y="1519"/>
              <w:spacing w:line="240" w:lineRule="auto"/>
              <w:ind w:left="1460" w:firstLine="0"/>
              <w:rPr>
                <w:sz w:val="12"/>
                <w:szCs w:val="12"/>
              </w:rPr>
            </w:pPr>
            <w:r>
              <w:rPr>
                <w:rFonts w:ascii="Arial" w:eastAsia="Arial" w:hAnsi="Arial" w:cs="Arial"/>
                <w:sz w:val="12"/>
                <w:szCs w:val="12"/>
              </w:rPr>
              <w:t>Servicio Gratuito las 24 h 1-800-822-7967</w:t>
            </w:r>
          </w:p>
          <w:p w14:paraId="68D8E89B" w14:textId="77777777" w:rsidR="0072615D" w:rsidRDefault="0072615D">
            <w:pPr>
              <w:pStyle w:val="Other0"/>
              <w:framePr w:w="7018" w:h="6206" w:vSpace="168" w:wrap="none" w:hAnchor="page" w:x="428" w:y="1519"/>
              <w:spacing w:line="240" w:lineRule="auto"/>
              <w:ind w:left="1460" w:firstLine="0"/>
              <w:rPr>
                <w:sz w:val="12"/>
                <w:szCs w:val="12"/>
              </w:rPr>
            </w:pPr>
            <w:r>
              <w:rPr>
                <w:rFonts w:ascii="Arial" w:eastAsia="Arial" w:hAnsi="Arial" w:cs="Arial"/>
                <w:sz w:val="12"/>
                <w:szCs w:val="12"/>
              </w:rPr>
              <w:t>P.O. box 1100, Rockville, MD20849-1100</w:t>
            </w:r>
          </w:p>
          <w:p w14:paraId="64608163" w14:textId="77777777" w:rsidR="0072615D" w:rsidRDefault="0072615D">
            <w:pPr>
              <w:pStyle w:val="Other0"/>
              <w:framePr w:w="7018" w:h="6206" w:vSpace="168" w:wrap="none" w:hAnchor="page" w:x="428" w:y="1519"/>
              <w:spacing w:line="240" w:lineRule="auto"/>
              <w:ind w:firstLine="520"/>
              <w:jc w:val="both"/>
              <w:rPr>
                <w:sz w:val="12"/>
                <w:szCs w:val="12"/>
              </w:rPr>
            </w:pPr>
            <w:r>
              <w:rPr>
                <w:rFonts w:ascii="Arial" w:eastAsia="Arial" w:hAnsi="Arial" w:cs="Arial"/>
                <w:b/>
                <w:bCs/>
                <w:sz w:val="12"/>
                <w:szCs w:val="12"/>
              </w:rPr>
              <w:t>SE CONSERVA EN FORMA CONFIDENCIAL LA IDENTIDAD DEL PACIENTE</w:t>
            </w:r>
          </w:p>
        </w:tc>
        <w:tc>
          <w:tcPr>
            <w:tcW w:w="2342" w:type="dxa"/>
            <w:gridSpan w:val="3"/>
            <w:tcBorders>
              <w:top w:val="single" w:sz="4" w:space="0" w:color="auto"/>
              <w:left w:val="single" w:sz="4" w:space="0" w:color="auto"/>
              <w:right w:val="single" w:sz="4" w:space="0" w:color="auto"/>
            </w:tcBorders>
            <w:shd w:val="clear" w:color="auto" w:fill="FFFFFF"/>
          </w:tcPr>
          <w:p w14:paraId="65508F33"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b/>
                <w:bCs/>
                <w:sz w:val="12"/>
                <w:szCs w:val="12"/>
              </w:rPr>
              <w:t xml:space="preserve">Sólo para usar en señalamientos a </w:t>
            </w:r>
            <w:r>
              <w:rPr>
                <w:rFonts w:ascii="Arial" w:eastAsia="Arial" w:hAnsi="Arial" w:cs="Arial"/>
                <w:b/>
                <w:bCs/>
                <w:i/>
                <w:iCs/>
                <w:sz w:val="12"/>
                <w:szCs w:val="12"/>
              </w:rPr>
              <w:t>CDC/FDC</w:t>
            </w:r>
          </w:p>
          <w:p w14:paraId="5E92885E" w14:textId="77777777" w:rsidR="0072615D" w:rsidRDefault="0072615D">
            <w:pPr>
              <w:pStyle w:val="Other0"/>
              <w:framePr w:w="7018" w:h="6206" w:vSpace="168" w:wrap="none" w:hAnchor="page" w:x="428" w:y="1519"/>
              <w:spacing w:after="40" w:line="240" w:lineRule="auto"/>
              <w:ind w:firstLine="0"/>
              <w:rPr>
                <w:sz w:val="12"/>
                <w:szCs w:val="12"/>
              </w:rPr>
            </w:pPr>
            <w:r>
              <w:rPr>
                <w:rFonts w:ascii="Arial" w:eastAsia="Arial" w:hAnsi="Arial" w:cs="Arial"/>
                <w:sz w:val="12"/>
                <w:szCs w:val="12"/>
              </w:rPr>
              <w:t>Número VAERS</w:t>
            </w:r>
          </w:p>
          <w:p w14:paraId="36866D1E" w14:textId="77777777" w:rsidR="0072615D" w:rsidRDefault="0072615D">
            <w:pPr>
              <w:pStyle w:val="Other0"/>
              <w:framePr w:w="7018" w:h="6206" w:vSpace="168" w:wrap="none" w:hAnchor="page" w:x="428" w:y="1519"/>
              <w:tabs>
                <w:tab w:val="left" w:leader="underscore" w:pos="2069"/>
              </w:tabs>
              <w:spacing w:line="240" w:lineRule="auto"/>
              <w:ind w:firstLine="0"/>
              <w:rPr>
                <w:sz w:val="12"/>
                <w:szCs w:val="12"/>
              </w:rPr>
            </w:pPr>
            <w:r>
              <w:rPr>
                <w:rFonts w:ascii="Arial" w:eastAsia="Arial" w:hAnsi="Arial" w:cs="Arial"/>
                <w:sz w:val="12"/>
                <w:szCs w:val="12"/>
              </w:rPr>
              <w:t xml:space="preserve">Fecha recibida </w:t>
            </w:r>
            <w:r>
              <w:rPr>
                <w:rFonts w:ascii="Arial" w:eastAsia="Arial" w:hAnsi="Arial" w:cs="Arial"/>
                <w:sz w:val="12"/>
                <w:szCs w:val="12"/>
              </w:rPr>
              <w:tab/>
            </w:r>
          </w:p>
        </w:tc>
      </w:tr>
      <w:tr w:rsidR="0072615D" w14:paraId="4BF4E9D8" w14:textId="77777777">
        <w:tblPrEx>
          <w:tblCellMar>
            <w:top w:w="0" w:type="dxa"/>
            <w:bottom w:w="0" w:type="dxa"/>
          </w:tblCellMar>
        </w:tblPrEx>
        <w:trPr>
          <w:trHeight w:hRule="exact" w:val="446"/>
        </w:trPr>
        <w:tc>
          <w:tcPr>
            <w:tcW w:w="2304" w:type="dxa"/>
            <w:tcBorders>
              <w:top w:val="single" w:sz="4" w:space="0" w:color="auto"/>
              <w:left w:val="single" w:sz="4" w:space="0" w:color="auto"/>
            </w:tcBorders>
            <w:shd w:val="clear" w:color="auto" w:fill="FFFFFF"/>
          </w:tcPr>
          <w:p w14:paraId="649910AF" w14:textId="77777777" w:rsidR="0072615D" w:rsidRDefault="0072615D">
            <w:pPr>
              <w:pStyle w:val="Other0"/>
              <w:framePr w:w="7018" w:h="6206" w:vSpace="168" w:wrap="none" w:hAnchor="page" w:x="428" w:y="1519"/>
              <w:spacing w:line="240" w:lineRule="auto"/>
              <w:ind w:firstLine="140"/>
              <w:rPr>
                <w:sz w:val="12"/>
                <w:szCs w:val="12"/>
              </w:rPr>
            </w:pPr>
            <w:r>
              <w:rPr>
                <w:rFonts w:ascii="Arial" w:eastAsia="Arial" w:hAnsi="Arial" w:cs="Arial"/>
                <w:sz w:val="12"/>
                <w:szCs w:val="12"/>
              </w:rPr>
              <w:t>Nombre del paciente:</w:t>
            </w:r>
          </w:p>
        </w:tc>
        <w:tc>
          <w:tcPr>
            <w:tcW w:w="2371" w:type="dxa"/>
            <w:tcBorders>
              <w:top w:val="single" w:sz="4" w:space="0" w:color="auto"/>
              <w:left w:val="single" w:sz="4" w:space="0" w:color="auto"/>
            </w:tcBorders>
            <w:shd w:val="clear" w:color="auto" w:fill="FFFFFF"/>
          </w:tcPr>
          <w:p w14:paraId="5F21F4B8"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Vacuna administrada por (Nombre)</w:t>
            </w:r>
          </w:p>
        </w:tc>
        <w:tc>
          <w:tcPr>
            <w:tcW w:w="2342" w:type="dxa"/>
            <w:gridSpan w:val="3"/>
            <w:tcBorders>
              <w:top w:val="single" w:sz="4" w:space="0" w:color="auto"/>
              <w:left w:val="single" w:sz="4" w:space="0" w:color="auto"/>
              <w:right w:val="single" w:sz="4" w:space="0" w:color="auto"/>
            </w:tcBorders>
            <w:shd w:val="clear" w:color="auto" w:fill="FFFFFF"/>
          </w:tcPr>
          <w:p w14:paraId="34B62D4E"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Forma completada por (Nombre):</w:t>
            </w:r>
          </w:p>
        </w:tc>
      </w:tr>
      <w:tr w:rsidR="0072615D" w14:paraId="151352DF" w14:textId="77777777">
        <w:tblPrEx>
          <w:tblCellMar>
            <w:top w:w="0" w:type="dxa"/>
            <w:bottom w:w="0" w:type="dxa"/>
          </w:tblCellMar>
        </w:tblPrEx>
        <w:trPr>
          <w:trHeight w:hRule="exact" w:val="734"/>
        </w:trPr>
        <w:tc>
          <w:tcPr>
            <w:tcW w:w="2304" w:type="dxa"/>
            <w:tcBorders>
              <w:top w:val="single" w:sz="4" w:space="0" w:color="auto"/>
              <w:left w:val="single" w:sz="4" w:space="0" w:color="auto"/>
            </w:tcBorders>
            <w:shd w:val="clear" w:color="auto" w:fill="FFFFFF"/>
          </w:tcPr>
          <w:p w14:paraId="0DBBDB83" w14:textId="77777777" w:rsidR="0072615D" w:rsidRDefault="0072615D">
            <w:pPr>
              <w:pStyle w:val="Other0"/>
              <w:framePr w:w="7018" w:h="6206" w:vSpace="168" w:wrap="none" w:hAnchor="page" w:x="428" w:y="1519"/>
              <w:tabs>
                <w:tab w:val="left" w:pos="922"/>
                <w:tab w:val="left" w:pos="1791"/>
              </w:tabs>
              <w:spacing w:after="60" w:line="240" w:lineRule="auto"/>
              <w:ind w:firstLine="140"/>
              <w:rPr>
                <w:sz w:val="12"/>
                <w:szCs w:val="12"/>
              </w:rPr>
            </w:pPr>
            <w:r>
              <w:rPr>
                <w:rFonts w:ascii="Arial" w:eastAsia="Arial" w:hAnsi="Arial" w:cs="Arial"/>
                <w:sz w:val="12"/>
                <w:szCs w:val="12"/>
              </w:rPr>
              <w:t>Apellido</w:t>
            </w:r>
            <w:r>
              <w:rPr>
                <w:rFonts w:ascii="Arial" w:eastAsia="Arial" w:hAnsi="Arial" w:cs="Arial"/>
                <w:sz w:val="12"/>
                <w:szCs w:val="12"/>
              </w:rPr>
              <w:tab/>
              <w:t>Nombre</w:t>
            </w:r>
            <w:r>
              <w:rPr>
                <w:rFonts w:ascii="Arial" w:eastAsia="Arial" w:hAnsi="Arial" w:cs="Arial"/>
                <w:sz w:val="12"/>
                <w:szCs w:val="12"/>
              </w:rPr>
              <w:tab/>
              <w:t>M.I.</w:t>
            </w:r>
          </w:p>
          <w:p w14:paraId="7AE0F479" w14:textId="77777777" w:rsidR="0072615D" w:rsidRDefault="0072615D">
            <w:pPr>
              <w:pStyle w:val="Other0"/>
              <w:framePr w:w="7018" w:h="6206" w:vSpace="168" w:wrap="none" w:hAnchor="page" w:x="428" w:y="1519"/>
              <w:spacing w:line="240" w:lineRule="auto"/>
              <w:ind w:firstLine="140"/>
              <w:rPr>
                <w:sz w:val="12"/>
                <w:szCs w:val="12"/>
              </w:rPr>
            </w:pPr>
            <w:r>
              <w:rPr>
                <w:rFonts w:ascii="Arial" w:eastAsia="Arial" w:hAnsi="Arial" w:cs="Arial"/>
                <w:sz w:val="12"/>
                <w:szCs w:val="12"/>
              </w:rPr>
              <w:t>Dirección</w:t>
            </w:r>
          </w:p>
        </w:tc>
        <w:tc>
          <w:tcPr>
            <w:tcW w:w="2371" w:type="dxa"/>
            <w:tcBorders>
              <w:top w:val="single" w:sz="4" w:space="0" w:color="auto"/>
              <w:left w:val="single" w:sz="4" w:space="0" w:color="auto"/>
            </w:tcBorders>
            <w:shd w:val="clear" w:color="auto" w:fill="FFFFFF"/>
          </w:tcPr>
          <w:p w14:paraId="230FB587" w14:textId="77777777" w:rsidR="0072615D" w:rsidRDefault="0072615D">
            <w:pPr>
              <w:pStyle w:val="Other0"/>
              <w:framePr w:w="7018" w:h="6206" w:vSpace="168" w:wrap="none" w:hAnchor="page" w:x="428" w:y="1519"/>
              <w:spacing w:after="240" w:line="240" w:lineRule="auto"/>
              <w:ind w:firstLine="0"/>
              <w:rPr>
                <w:sz w:val="12"/>
                <w:szCs w:val="12"/>
              </w:rPr>
            </w:pPr>
            <w:r>
              <w:rPr>
                <w:rFonts w:ascii="Arial" w:eastAsia="Arial" w:hAnsi="Arial" w:cs="Arial"/>
                <w:sz w:val="12"/>
                <w:szCs w:val="12"/>
              </w:rPr>
              <w:t>Médico responsable</w:t>
            </w:r>
          </w:p>
          <w:p w14:paraId="2CB3C15A"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Nombre de la institución/dirección</w:t>
            </w:r>
          </w:p>
        </w:tc>
        <w:tc>
          <w:tcPr>
            <w:tcW w:w="2342" w:type="dxa"/>
            <w:gridSpan w:val="3"/>
            <w:vMerge w:val="restart"/>
            <w:tcBorders>
              <w:top w:val="single" w:sz="4" w:space="0" w:color="auto"/>
              <w:left w:val="single" w:sz="4" w:space="0" w:color="auto"/>
              <w:right w:val="single" w:sz="4" w:space="0" w:color="auto"/>
            </w:tcBorders>
            <w:shd w:val="clear" w:color="auto" w:fill="FFFFFF"/>
          </w:tcPr>
          <w:p w14:paraId="070D7436" w14:textId="77777777" w:rsidR="0072615D" w:rsidRDefault="0072615D">
            <w:pPr>
              <w:pStyle w:val="Other0"/>
              <w:framePr w:w="7018" w:h="6206" w:vSpace="168" w:wrap="none" w:hAnchor="page" w:x="428" w:y="1519"/>
              <w:tabs>
                <w:tab w:val="left" w:pos="798"/>
              </w:tabs>
              <w:spacing w:line="230" w:lineRule="auto"/>
              <w:ind w:firstLine="380"/>
              <w:rPr>
                <w:sz w:val="10"/>
                <w:szCs w:val="10"/>
              </w:rPr>
            </w:pPr>
            <w:r>
              <w:rPr>
                <w:rFonts w:ascii="Arial" w:eastAsia="Arial" w:hAnsi="Arial" w:cs="Arial"/>
                <w:sz w:val="10"/>
                <w:szCs w:val="10"/>
              </w:rPr>
              <w:t>. _</w:t>
            </w:r>
            <w:r>
              <w:rPr>
                <w:rFonts w:ascii="Arial" w:eastAsia="Arial" w:hAnsi="Arial" w:cs="Arial"/>
                <w:sz w:val="10"/>
                <w:szCs w:val="10"/>
              </w:rPr>
              <w:tab/>
              <w:t>□ Persona que □ Paciente/</w:t>
            </w:r>
          </w:p>
          <w:p w14:paraId="2A2FFF47" w14:textId="77777777" w:rsidR="0072615D" w:rsidRDefault="0072615D">
            <w:pPr>
              <w:pStyle w:val="Other0"/>
              <w:framePr w:w="7018" w:h="6206" w:vSpace="168" w:wrap="none" w:hAnchor="page" w:x="428" w:y="1519"/>
              <w:spacing w:line="209" w:lineRule="auto"/>
              <w:ind w:firstLine="0"/>
              <w:rPr>
                <w:sz w:val="12"/>
                <w:szCs w:val="12"/>
              </w:rPr>
            </w:pPr>
            <w:r>
              <w:rPr>
                <w:rFonts w:ascii="Arial" w:eastAsia="Arial" w:hAnsi="Arial" w:cs="Arial"/>
                <w:sz w:val="10"/>
                <w:szCs w:val="10"/>
                <w:vertAlign w:val="superscript"/>
              </w:rPr>
              <w:t>Relación con</w:t>
            </w:r>
            <w:r>
              <w:rPr>
                <w:rFonts w:ascii="Arial" w:eastAsia="Arial" w:hAnsi="Arial" w:cs="Arial"/>
                <w:sz w:val="10"/>
                <w:szCs w:val="10"/>
              </w:rPr>
              <w:t xml:space="preserve"> aplicó la vacuna Padres </w:t>
            </w:r>
            <w:r>
              <w:rPr>
                <w:rFonts w:ascii="Arial" w:eastAsia="Arial" w:hAnsi="Arial" w:cs="Arial"/>
                <w:sz w:val="12"/>
                <w:szCs w:val="12"/>
              </w:rPr>
              <w:t>el paciente</w:t>
            </w:r>
          </w:p>
          <w:p w14:paraId="0E612176" w14:textId="77777777" w:rsidR="0072615D" w:rsidRDefault="0072615D">
            <w:pPr>
              <w:pStyle w:val="Other0"/>
              <w:framePr w:w="7018" w:h="6206" w:vSpace="168" w:wrap="none" w:hAnchor="page" w:x="428" w:y="1519"/>
              <w:tabs>
                <w:tab w:val="left" w:pos="1707"/>
              </w:tabs>
              <w:spacing w:after="40" w:line="230" w:lineRule="auto"/>
              <w:ind w:firstLine="800"/>
              <w:rPr>
                <w:sz w:val="10"/>
                <w:szCs w:val="10"/>
              </w:rPr>
            </w:pPr>
            <w:r>
              <w:rPr>
                <w:rFonts w:ascii="Arial" w:eastAsia="Arial" w:hAnsi="Arial" w:cs="Arial"/>
                <w:sz w:val="10"/>
                <w:szCs w:val="10"/>
              </w:rPr>
              <w:t>□ Fabricante</w:t>
            </w:r>
            <w:r>
              <w:rPr>
                <w:rFonts w:ascii="Arial" w:eastAsia="Arial" w:hAnsi="Arial" w:cs="Arial"/>
                <w:sz w:val="10"/>
                <w:szCs w:val="10"/>
              </w:rPr>
              <w:tab/>
              <w:t>□ Otros</w:t>
            </w:r>
          </w:p>
          <w:p w14:paraId="3F4D571A"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 xml:space="preserve">Direcciones </w:t>
            </w:r>
            <w:r>
              <w:rPr>
                <w:rFonts w:ascii="Arial" w:eastAsia="Arial" w:hAnsi="Arial" w:cs="Arial"/>
                <w:i/>
                <w:iCs/>
                <w:sz w:val="12"/>
                <w:szCs w:val="12"/>
              </w:rPr>
              <w:t>(si son diferentes a las del paciente o la que aplicó la vacuna)</w:t>
            </w:r>
          </w:p>
        </w:tc>
      </w:tr>
      <w:tr w:rsidR="0072615D" w14:paraId="53E119C4" w14:textId="77777777">
        <w:tblPrEx>
          <w:tblCellMar>
            <w:top w:w="0" w:type="dxa"/>
            <w:bottom w:w="0" w:type="dxa"/>
          </w:tblCellMar>
        </w:tblPrEx>
        <w:trPr>
          <w:trHeight w:hRule="exact" w:val="192"/>
        </w:trPr>
        <w:tc>
          <w:tcPr>
            <w:tcW w:w="2304" w:type="dxa"/>
            <w:tcBorders>
              <w:top w:val="single" w:sz="4" w:space="0" w:color="auto"/>
              <w:left w:val="single" w:sz="4" w:space="0" w:color="auto"/>
            </w:tcBorders>
            <w:shd w:val="clear" w:color="auto" w:fill="FFFFFF"/>
          </w:tcPr>
          <w:p w14:paraId="215EE0FF" w14:textId="77777777" w:rsidR="0072615D" w:rsidRDefault="0072615D">
            <w:pPr>
              <w:framePr w:w="7018" w:h="6206" w:vSpace="168" w:wrap="none" w:hAnchor="page" w:x="428" w:y="1519"/>
              <w:rPr>
                <w:sz w:val="10"/>
                <w:szCs w:val="10"/>
              </w:rPr>
            </w:pPr>
          </w:p>
        </w:tc>
        <w:tc>
          <w:tcPr>
            <w:tcW w:w="2371" w:type="dxa"/>
            <w:tcBorders>
              <w:top w:val="single" w:sz="4" w:space="0" w:color="auto"/>
              <w:left w:val="single" w:sz="4" w:space="0" w:color="auto"/>
            </w:tcBorders>
            <w:shd w:val="clear" w:color="auto" w:fill="FFFFFF"/>
          </w:tcPr>
          <w:p w14:paraId="4FEA6204" w14:textId="77777777" w:rsidR="0072615D" w:rsidRDefault="0072615D">
            <w:pPr>
              <w:framePr w:w="7018" w:h="6206" w:vSpace="168" w:wrap="none" w:hAnchor="page" w:x="428" w:y="1519"/>
              <w:rPr>
                <w:sz w:val="10"/>
                <w:szCs w:val="10"/>
              </w:rPr>
            </w:pPr>
          </w:p>
        </w:tc>
        <w:tc>
          <w:tcPr>
            <w:tcW w:w="2342" w:type="dxa"/>
            <w:gridSpan w:val="3"/>
            <w:vMerge/>
            <w:tcBorders>
              <w:left w:val="single" w:sz="4" w:space="0" w:color="auto"/>
              <w:right w:val="single" w:sz="4" w:space="0" w:color="auto"/>
            </w:tcBorders>
            <w:shd w:val="clear" w:color="auto" w:fill="FFFFFF"/>
          </w:tcPr>
          <w:p w14:paraId="6DBF02F3" w14:textId="77777777" w:rsidR="0072615D" w:rsidRDefault="0072615D">
            <w:pPr>
              <w:framePr w:w="7018" w:h="6206" w:vSpace="168" w:wrap="none" w:hAnchor="page" w:x="428" w:y="1519"/>
            </w:pPr>
          </w:p>
        </w:tc>
      </w:tr>
      <w:tr w:rsidR="0072615D" w14:paraId="51DE062A" w14:textId="77777777">
        <w:tblPrEx>
          <w:tblCellMar>
            <w:top w:w="0" w:type="dxa"/>
            <w:bottom w:w="0" w:type="dxa"/>
          </w:tblCellMar>
        </w:tblPrEx>
        <w:trPr>
          <w:trHeight w:hRule="exact" w:val="206"/>
        </w:trPr>
        <w:tc>
          <w:tcPr>
            <w:tcW w:w="2304" w:type="dxa"/>
            <w:tcBorders>
              <w:top w:val="single" w:sz="4" w:space="0" w:color="auto"/>
              <w:left w:val="single" w:sz="4" w:space="0" w:color="auto"/>
            </w:tcBorders>
            <w:shd w:val="clear" w:color="auto" w:fill="FFFFFF"/>
          </w:tcPr>
          <w:p w14:paraId="7DA646D8" w14:textId="77777777" w:rsidR="0072615D" w:rsidRDefault="0072615D">
            <w:pPr>
              <w:framePr w:w="7018" w:h="6206" w:vSpace="168" w:wrap="none" w:hAnchor="page" w:x="428" w:y="1519"/>
              <w:rPr>
                <w:sz w:val="10"/>
                <w:szCs w:val="10"/>
              </w:rPr>
            </w:pPr>
          </w:p>
        </w:tc>
        <w:tc>
          <w:tcPr>
            <w:tcW w:w="2371" w:type="dxa"/>
            <w:tcBorders>
              <w:top w:val="single" w:sz="4" w:space="0" w:color="auto"/>
              <w:left w:val="single" w:sz="4" w:space="0" w:color="auto"/>
            </w:tcBorders>
            <w:shd w:val="clear" w:color="auto" w:fill="FFFFFF"/>
          </w:tcPr>
          <w:p w14:paraId="6EF8DA15" w14:textId="77777777" w:rsidR="0072615D" w:rsidRDefault="0072615D">
            <w:pPr>
              <w:framePr w:w="7018" w:h="6206" w:vSpace="168" w:wrap="none" w:hAnchor="page" w:x="428" w:y="1519"/>
              <w:rPr>
                <w:sz w:val="10"/>
                <w:szCs w:val="10"/>
              </w:rPr>
            </w:pPr>
          </w:p>
        </w:tc>
        <w:tc>
          <w:tcPr>
            <w:tcW w:w="2342" w:type="dxa"/>
            <w:gridSpan w:val="3"/>
            <w:tcBorders>
              <w:top w:val="single" w:sz="4" w:space="0" w:color="auto"/>
              <w:left w:val="single" w:sz="4" w:space="0" w:color="auto"/>
              <w:right w:val="single" w:sz="4" w:space="0" w:color="auto"/>
            </w:tcBorders>
            <w:shd w:val="clear" w:color="auto" w:fill="FFFFFF"/>
          </w:tcPr>
          <w:p w14:paraId="5BD33D28" w14:textId="77777777" w:rsidR="0072615D" w:rsidRDefault="0072615D">
            <w:pPr>
              <w:framePr w:w="7018" w:h="6206" w:vSpace="168" w:wrap="none" w:hAnchor="page" w:x="428" w:y="1519"/>
              <w:rPr>
                <w:sz w:val="10"/>
                <w:szCs w:val="10"/>
              </w:rPr>
            </w:pPr>
          </w:p>
        </w:tc>
      </w:tr>
      <w:tr w:rsidR="0072615D" w14:paraId="34B67DE0" w14:textId="77777777">
        <w:tblPrEx>
          <w:tblCellMar>
            <w:top w:w="0" w:type="dxa"/>
            <w:bottom w:w="0" w:type="dxa"/>
          </w:tblCellMar>
        </w:tblPrEx>
        <w:trPr>
          <w:trHeight w:hRule="exact" w:val="398"/>
        </w:trPr>
        <w:tc>
          <w:tcPr>
            <w:tcW w:w="2304" w:type="dxa"/>
            <w:tcBorders>
              <w:top w:val="single" w:sz="4" w:space="0" w:color="auto"/>
              <w:left w:val="single" w:sz="4" w:space="0" w:color="auto"/>
            </w:tcBorders>
            <w:shd w:val="clear" w:color="auto" w:fill="FFFFFF"/>
          </w:tcPr>
          <w:p w14:paraId="4D9F62E8" w14:textId="77777777" w:rsidR="0072615D" w:rsidRDefault="0072615D">
            <w:pPr>
              <w:framePr w:w="7018" w:h="6206" w:vSpace="168" w:wrap="none" w:hAnchor="page" w:x="428" w:y="1519"/>
              <w:rPr>
                <w:sz w:val="10"/>
                <w:szCs w:val="10"/>
              </w:rPr>
            </w:pPr>
          </w:p>
        </w:tc>
        <w:tc>
          <w:tcPr>
            <w:tcW w:w="2371" w:type="dxa"/>
            <w:tcBorders>
              <w:top w:val="single" w:sz="4" w:space="0" w:color="auto"/>
              <w:left w:val="single" w:sz="4" w:space="0" w:color="auto"/>
            </w:tcBorders>
            <w:shd w:val="clear" w:color="auto" w:fill="FFFFFF"/>
          </w:tcPr>
          <w:p w14:paraId="76A23C77" w14:textId="77777777" w:rsidR="0072615D" w:rsidRDefault="0072615D">
            <w:pPr>
              <w:framePr w:w="7018" w:h="6206" w:vSpace="168" w:wrap="none" w:hAnchor="page" w:x="428" w:y="1519"/>
              <w:rPr>
                <w:sz w:val="10"/>
                <w:szCs w:val="10"/>
              </w:rPr>
            </w:pPr>
          </w:p>
        </w:tc>
        <w:tc>
          <w:tcPr>
            <w:tcW w:w="2342" w:type="dxa"/>
            <w:gridSpan w:val="3"/>
            <w:tcBorders>
              <w:top w:val="single" w:sz="4" w:space="0" w:color="auto"/>
              <w:left w:val="single" w:sz="4" w:space="0" w:color="auto"/>
              <w:right w:val="single" w:sz="4" w:space="0" w:color="auto"/>
            </w:tcBorders>
            <w:shd w:val="clear" w:color="auto" w:fill="FFFFFF"/>
            <w:vAlign w:val="center"/>
          </w:tcPr>
          <w:p w14:paraId="48F6876F" w14:textId="77777777" w:rsidR="0072615D" w:rsidRDefault="0072615D">
            <w:pPr>
              <w:pStyle w:val="Other0"/>
              <w:framePr w:w="7018" w:h="6206" w:vSpace="168" w:wrap="none" w:hAnchor="page" w:x="428" w:y="1519"/>
              <w:spacing w:line="240" w:lineRule="auto"/>
              <w:ind w:firstLine="0"/>
              <w:jc w:val="both"/>
              <w:rPr>
                <w:sz w:val="20"/>
                <w:szCs w:val="20"/>
              </w:rPr>
            </w:pPr>
            <w:r>
              <w:rPr>
                <w:rFonts w:ascii="Arial" w:eastAsia="Arial" w:hAnsi="Arial" w:cs="Arial"/>
                <w:i/>
                <w:iCs/>
                <w:sz w:val="20"/>
                <w:szCs w:val="20"/>
              </w:rPr>
              <w:t>—</w:t>
            </w:r>
          </w:p>
        </w:tc>
      </w:tr>
      <w:tr w:rsidR="0072615D" w14:paraId="74077762" w14:textId="77777777">
        <w:tblPrEx>
          <w:tblCellMar>
            <w:top w:w="0" w:type="dxa"/>
            <w:bottom w:w="0" w:type="dxa"/>
          </w:tblCellMar>
        </w:tblPrEx>
        <w:trPr>
          <w:trHeight w:hRule="exact" w:val="643"/>
        </w:trPr>
        <w:tc>
          <w:tcPr>
            <w:tcW w:w="2304" w:type="dxa"/>
            <w:tcBorders>
              <w:top w:val="single" w:sz="4" w:space="0" w:color="auto"/>
              <w:left w:val="single" w:sz="4" w:space="0" w:color="auto"/>
            </w:tcBorders>
            <w:shd w:val="clear" w:color="auto" w:fill="FFFFFF"/>
            <w:vAlign w:val="center"/>
          </w:tcPr>
          <w:p w14:paraId="5807B7F7" w14:textId="77777777" w:rsidR="0072615D" w:rsidRDefault="0072615D">
            <w:pPr>
              <w:pStyle w:val="Other0"/>
              <w:framePr w:w="7018" w:h="6206" w:vSpace="168" w:wrap="none" w:hAnchor="page" w:x="428" w:y="1519"/>
              <w:tabs>
                <w:tab w:val="left" w:pos="822"/>
              </w:tabs>
              <w:spacing w:after="40" w:line="240" w:lineRule="auto"/>
              <w:ind w:firstLine="140"/>
              <w:rPr>
                <w:sz w:val="12"/>
                <w:szCs w:val="12"/>
              </w:rPr>
            </w:pPr>
            <w:r>
              <w:rPr>
                <w:rFonts w:ascii="Arial" w:eastAsia="Arial" w:hAnsi="Arial" w:cs="Arial"/>
                <w:sz w:val="12"/>
                <w:szCs w:val="12"/>
              </w:rPr>
              <w:t>Ciudad</w:t>
            </w:r>
            <w:r>
              <w:rPr>
                <w:rFonts w:ascii="Arial" w:eastAsia="Arial" w:hAnsi="Arial" w:cs="Arial"/>
                <w:sz w:val="12"/>
                <w:szCs w:val="12"/>
              </w:rPr>
              <w:tab/>
              <w:t>Estado Código postal</w:t>
            </w:r>
          </w:p>
          <w:p w14:paraId="3B296469" w14:textId="77777777" w:rsidR="0072615D" w:rsidRDefault="0072615D">
            <w:pPr>
              <w:pStyle w:val="Other0"/>
              <w:framePr w:w="7018" w:h="6206" w:vSpace="168" w:wrap="none" w:hAnchor="page" w:x="428" w:y="1519"/>
              <w:tabs>
                <w:tab w:val="left" w:pos="1585"/>
              </w:tabs>
              <w:spacing w:line="240" w:lineRule="auto"/>
              <w:ind w:firstLine="140"/>
              <w:rPr>
                <w:sz w:val="12"/>
                <w:szCs w:val="12"/>
              </w:rPr>
            </w:pPr>
            <w:r>
              <w:rPr>
                <w:rFonts w:ascii="Arial" w:eastAsia="Arial" w:hAnsi="Arial" w:cs="Arial"/>
                <w:sz w:val="12"/>
                <w:szCs w:val="12"/>
              </w:rPr>
              <w:t>Número de Teléfono (</w:t>
            </w:r>
            <w:r>
              <w:rPr>
                <w:rFonts w:ascii="Arial" w:eastAsia="Arial" w:hAnsi="Arial" w:cs="Arial"/>
                <w:sz w:val="12"/>
                <w:szCs w:val="12"/>
              </w:rPr>
              <w:tab/>
              <w:t>)</w:t>
            </w:r>
          </w:p>
        </w:tc>
        <w:tc>
          <w:tcPr>
            <w:tcW w:w="2371" w:type="dxa"/>
            <w:tcBorders>
              <w:top w:val="single" w:sz="4" w:space="0" w:color="auto"/>
              <w:left w:val="single" w:sz="4" w:space="0" w:color="auto"/>
            </w:tcBorders>
            <w:shd w:val="clear" w:color="auto" w:fill="FFFFFF"/>
            <w:vAlign w:val="center"/>
          </w:tcPr>
          <w:p w14:paraId="3DFDD647" w14:textId="77777777" w:rsidR="0072615D" w:rsidRDefault="0072615D">
            <w:pPr>
              <w:pStyle w:val="Other0"/>
              <w:framePr w:w="7018" w:h="6206" w:vSpace="168" w:wrap="none" w:hAnchor="page" w:x="428" w:y="1519"/>
              <w:tabs>
                <w:tab w:val="left" w:pos="682"/>
              </w:tabs>
              <w:spacing w:after="40" w:line="240" w:lineRule="auto"/>
              <w:ind w:firstLine="0"/>
              <w:rPr>
                <w:sz w:val="12"/>
                <w:szCs w:val="12"/>
              </w:rPr>
            </w:pPr>
            <w:r>
              <w:rPr>
                <w:rFonts w:ascii="Arial" w:eastAsia="Arial" w:hAnsi="Arial" w:cs="Arial"/>
                <w:sz w:val="12"/>
                <w:szCs w:val="12"/>
              </w:rPr>
              <w:t>Ciudad</w:t>
            </w:r>
            <w:r>
              <w:rPr>
                <w:rFonts w:ascii="Arial" w:eastAsia="Arial" w:hAnsi="Arial" w:cs="Arial"/>
                <w:sz w:val="12"/>
                <w:szCs w:val="12"/>
              </w:rPr>
              <w:tab/>
              <w:t>Estado Código postal</w:t>
            </w:r>
          </w:p>
          <w:p w14:paraId="4E123C3B" w14:textId="77777777" w:rsidR="0072615D" w:rsidRDefault="0072615D">
            <w:pPr>
              <w:pStyle w:val="Other0"/>
              <w:framePr w:w="7018" w:h="6206" w:vSpace="168" w:wrap="none" w:hAnchor="page" w:x="428" w:y="1519"/>
              <w:tabs>
                <w:tab w:val="left" w:pos="1464"/>
              </w:tabs>
              <w:spacing w:line="240" w:lineRule="auto"/>
              <w:ind w:firstLine="0"/>
              <w:rPr>
                <w:sz w:val="12"/>
                <w:szCs w:val="12"/>
              </w:rPr>
            </w:pPr>
            <w:r>
              <w:rPr>
                <w:rFonts w:ascii="Arial" w:eastAsia="Arial" w:hAnsi="Arial" w:cs="Arial"/>
                <w:sz w:val="12"/>
                <w:szCs w:val="12"/>
              </w:rPr>
              <w:t>Número de teléfono (</w:t>
            </w:r>
            <w:r>
              <w:rPr>
                <w:rFonts w:ascii="Arial" w:eastAsia="Arial" w:hAnsi="Arial" w:cs="Arial"/>
                <w:sz w:val="12"/>
                <w:szCs w:val="12"/>
              </w:rPr>
              <w:tab/>
              <w:t>)</w:t>
            </w:r>
          </w:p>
        </w:tc>
        <w:tc>
          <w:tcPr>
            <w:tcW w:w="2342" w:type="dxa"/>
            <w:gridSpan w:val="3"/>
            <w:tcBorders>
              <w:top w:val="single" w:sz="4" w:space="0" w:color="auto"/>
              <w:left w:val="single" w:sz="4" w:space="0" w:color="auto"/>
              <w:right w:val="single" w:sz="4" w:space="0" w:color="auto"/>
            </w:tcBorders>
            <w:shd w:val="clear" w:color="auto" w:fill="FFFFFF"/>
            <w:vAlign w:val="center"/>
          </w:tcPr>
          <w:p w14:paraId="2C9D867E" w14:textId="77777777" w:rsidR="0072615D" w:rsidRDefault="0072615D">
            <w:pPr>
              <w:pStyle w:val="Other0"/>
              <w:framePr w:w="7018" w:h="6206" w:vSpace="168" w:wrap="none" w:hAnchor="page" w:x="428" w:y="1519"/>
              <w:tabs>
                <w:tab w:val="left" w:pos="682"/>
              </w:tabs>
              <w:spacing w:after="60" w:line="240" w:lineRule="auto"/>
              <w:ind w:firstLine="0"/>
              <w:rPr>
                <w:sz w:val="12"/>
                <w:szCs w:val="12"/>
              </w:rPr>
            </w:pPr>
            <w:r>
              <w:rPr>
                <w:rFonts w:ascii="Arial" w:eastAsia="Arial" w:hAnsi="Arial" w:cs="Arial"/>
                <w:sz w:val="12"/>
                <w:szCs w:val="12"/>
              </w:rPr>
              <w:t>Ciudad</w:t>
            </w:r>
            <w:r>
              <w:rPr>
                <w:rFonts w:ascii="Arial" w:eastAsia="Arial" w:hAnsi="Arial" w:cs="Arial"/>
                <w:sz w:val="12"/>
                <w:szCs w:val="12"/>
              </w:rPr>
              <w:tab/>
              <w:t>Estado Código postal</w:t>
            </w:r>
          </w:p>
          <w:p w14:paraId="323D4832" w14:textId="77777777" w:rsidR="0072615D" w:rsidRDefault="0072615D">
            <w:pPr>
              <w:pStyle w:val="Other0"/>
              <w:framePr w:w="7018" w:h="6206" w:vSpace="168" w:wrap="none" w:hAnchor="page" w:x="428" w:y="1519"/>
              <w:tabs>
                <w:tab w:val="left" w:leader="underscore" w:pos="1435"/>
                <w:tab w:val="left" w:leader="underscore" w:pos="2184"/>
              </w:tabs>
              <w:spacing w:line="240" w:lineRule="auto"/>
              <w:ind w:firstLine="0"/>
              <w:rPr>
                <w:sz w:val="12"/>
                <w:szCs w:val="12"/>
              </w:rPr>
            </w:pPr>
            <w:r>
              <w:rPr>
                <w:rFonts w:ascii="Arial" w:eastAsia="Arial" w:hAnsi="Arial" w:cs="Arial"/>
                <w:sz w:val="12"/>
                <w:szCs w:val="12"/>
              </w:rPr>
              <w:t>Número de teléfono (</w:t>
            </w:r>
            <w:r>
              <w:rPr>
                <w:rFonts w:ascii="Arial" w:eastAsia="Arial" w:hAnsi="Arial" w:cs="Arial"/>
                <w:sz w:val="12"/>
                <w:szCs w:val="12"/>
              </w:rPr>
              <w:tab/>
              <w:t>)</w:t>
            </w:r>
            <w:r>
              <w:rPr>
                <w:rFonts w:ascii="Arial" w:eastAsia="Arial" w:hAnsi="Arial" w:cs="Arial"/>
                <w:sz w:val="12"/>
                <w:szCs w:val="12"/>
              </w:rPr>
              <w:tab/>
            </w:r>
          </w:p>
        </w:tc>
      </w:tr>
      <w:tr w:rsidR="0072615D" w14:paraId="6B99E11E" w14:textId="77777777">
        <w:tblPrEx>
          <w:tblCellMar>
            <w:top w:w="0" w:type="dxa"/>
            <w:bottom w:w="0" w:type="dxa"/>
          </w:tblCellMar>
        </w:tblPrEx>
        <w:trPr>
          <w:trHeight w:hRule="exact" w:val="82"/>
        </w:trPr>
        <w:tc>
          <w:tcPr>
            <w:tcW w:w="2304" w:type="dxa"/>
            <w:tcBorders>
              <w:top w:val="single" w:sz="4" w:space="0" w:color="auto"/>
              <w:left w:val="single" w:sz="4" w:space="0" w:color="auto"/>
            </w:tcBorders>
            <w:shd w:val="clear" w:color="auto" w:fill="FFFFFF"/>
          </w:tcPr>
          <w:p w14:paraId="5D7BE6E8" w14:textId="77777777" w:rsidR="0072615D" w:rsidRDefault="0072615D">
            <w:pPr>
              <w:framePr w:w="7018" w:h="6206" w:vSpace="168" w:wrap="none" w:hAnchor="page" w:x="428" w:y="1519"/>
              <w:rPr>
                <w:sz w:val="10"/>
                <w:szCs w:val="10"/>
              </w:rPr>
            </w:pPr>
          </w:p>
        </w:tc>
        <w:tc>
          <w:tcPr>
            <w:tcW w:w="2371" w:type="dxa"/>
            <w:tcBorders>
              <w:top w:val="single" w:sz="4" w:space="0" w:color="auto"/>
              <w:left w:val="single" w:sz="4" w:space="0" w:color="auto"/>
            </w:tcBorders>
            <w:shd w:val="clear" w:color="auto" w:fill="FFFFFF"/>
          </w:tcPr>
          <w:p w14:paraId="7556394E" w14:textId="77777777" w:rsidR="0072615D" w:rsidRDefault="0072615D">
            <w:pPr>
              <w:framePr w:w="7018" w:h="6206" w:vSpace="168" w:wrap="none" w:hAnchor="page" w:x="428" w:y="1519"/>
              <w:rPr>
                <w:sz w:val="10"/>
                <w:szCs w:val="10"/>
              </w:rPr>
            </w:pPr>
          </w:p>
        </w:tc>
        <w:tc>
          <w:tcPr>
            <w:tcW w:w="2342" w:type="dxa"/>
            <w:gridSpan w:val="3"/>
            <w:tcBorders>
              <w:top w:val="single" w:sz="4" w:space="0" w:color="auto"/>
              <w:left w:val="single" w:sz="4" w:space="0" w:color="auto"/>
              <w:right w:val="single" w:sz="4" w:space="0" w:color="auto"/>
            </w:tcBorders>
            <w:shd w:val="clear" w:color="auto" w:fill="FFFFFF"/>
          </w:tcPr>
          <w:p w14:paraId="07E15C2D" w14:textId="77777777" w:rsidR="0072615D" w:rsidRDefault="0072615D">
            <w:pPr>
              <w:framePr w:w="7018" w:h="6206" w:vSpace="168" w:wrap="none" w:hAnchor="page" w:x="428" w:y="1519"/>
              <w:rPr>
                <w:sz w:val="10"/>
                <w:szCs w:val="10"/>
              </w:rPr>
            </w:pPr>
          </w:p>
        </w:tc>
      </w:tr>
      <w:tr w:rsidR="0072615D" w14:paraId="4C99C8A6" w14:textId="77777777">
        <w:tblPrEx>
          <w:tblCellMar>
            <w:top w:w="0" w:type="dxa"/>
            <w:bottom w:w="0" w:type="dxa"/>
          </w:tblCellMar>
        </w:tblPrEx>
        <w:trPr>
          <w:trHeight w:hRule="exact" w:val="466"/>
        </w:trPr>
        <w:tc>
          <w:tcPr>
            <w:tcW w:w="2304" w:type="dxa"/>
            <w:tcBorders>
              <w:top w:val="single" w:sz="4" w:space="0" w:color="auto"/>
              <w:left w:val="single" w:sz="4" w:space="0" w:color="auto"/>
            </w:tcBorders>
            <w:shd w:val="clear" w:color="auto" w:fill="FFFFFF"/>
          </w:tcPr>
          <w:p w14:paraId="095E33A3" w14:textId="77777777" w:rsidR="0072615D" w:rsidRDefault="0072615D">
            <w:pPr>
              <w:pStyle w:val="Other0"/>
              <w:framePr w:w="7018" w:h="6206" w:vSpace="168" w:wrap="none" w:hAnchor="page" w:x="428" w:y="1519"/>
              <w:tabs>
                <w:tab w:val="left" w:pos="586"/>
              </w:tabs>
              <w:spacing w:line="240" w:lineRule="auto"/>
              <w:ind w:firstLine="0"/>
              <w:rPr>
                <w:sz w:val="10"/>
                <w:szCs w:val="10"/>
              </w:rPr>
            </w:pPr>
            <w:r>
              <w:rPr>
                <w:rFonts w:ascii="Arial" w:eastAsia="Arial" w:hAnsi="Arial" w:cs="Arial"/>
                <w:sz w:val="10"/>
                <w:szCs w:val="10"/>
              </w:rPr>
              <w:t>IllEstado</w:t>
            </w:r>
            <w:r>
              <w:rPr>
                <w:rFonts w:ascii="Arial" w:eastAsia="Arial" w:hAnsi="Arial" w:cs="Arial"/>
                <w:sz w:val="10"/>
                <w:szCs w:val="10"/>
              </w:rPr>
              <w:tab/>
              <w:t>|_2jCondado donde se aplicó</w:t>
            </w:r>
          </w:p>
        </w:tc>
        <w:tc>
          <w:tcPr>
            <w:tcW w:w="2371" w:type="dxa"/>
            <w:tcBorders>
              <w:top w:val="single" w:sz="4" w:space="0" w:color="auto"/>
              <w:left w:val="single" w:sz="4" w:space="0" w:color="auto"/>
            </w:tcBorders>
            <w:shd w:val="clear" w:color="auto" w:fill="FFFFFF"/>
          </w:tcPr>
          <w:p w14:paraId="7DEFB1E1" w14:textId="77777777" w:rsidR="0072615D" w:rsidRDefault="0072615D">
            <w:pPr>
              <w:pStyle w:val="Other0"/>
              <w:framePr w:w="7018" w:h="6206" w:vSpace="168" w:wrap="none" w:hAnchor="page" w:x="428" w:y="1519"/>
              <w:tabs>
                <w:tab w:val="left" w:pos="1267"/>
              </w:tabs>
              <w:spacing w:line="240" w:lineRule="auto"/>
              <w:ind w:firstLine="0"/>
              <w:rPr>
                <w:sz w:val="10"/>
                <w:szCs w:val="10"/>
              </w:rPr>
            </w:pPr>
            <w:r>
              <w:rPr>
                <w:rFonts w:ascii="Arial" w:eastAsia="Arial" w:hAnsi="Arial" w:cs="Arial"/>
                <w:sz w:val="10"/>
                <w:szCs w:val="10"/>
              </w:rPr>
              <w:t>31Fecha de nacimiento</w:t>
            </w:r>
            <w:r>
              <w:rPr>
                <w:rFonts w:ascii="Arial" w:eastAsia="Arial" w:hAnsi="Arial" w:cs="Arial"/>
                <w:sz w:val="10"/>
                <w:szCs w:val="10"/>
              </w:rPr>
              <w:tab/>
              <w:t>14j Edad del paciente</w:t>
            </w:r>
          </w:p>
          <w:p w14:paraId="6F87F162" w14:textId="77777777" w:rsidR="0072615D" w:rsidRDefault="0072615D">
            <w:pPr>
              <w:pStyle w:val="Other0"/>
              <w:framePr w:w="7018" w:h="6206" w:vSpace="168" w:wrap="none" w:hAnchor="page" w:x="428" w:y="1519"/>
              <w:tabs>
                <w:tab w:val="left" w:leader="underscore" w:pos="269"/>
              </w:tabs>
              <w:spacing w:line="240" w:lineRule="auto"/>
              <w:ind w:firstLine="0"/>
              <w:rPr>
                <w:sz w:val="10"/>
                <w:szCs w:val="10"/>
              </w:rPr>
            </w:pPr>
            <w:r>
              <w:rPr>
                <w:rFonts w:ascii="Arial" w:eastAsia="Arial" w:hAnsi="Arial" w:cs="Arial"/>
                <w:sz w:val="10"/>
                <w:szCs w:val="10"/>
              </w:rPr>
              <w:tab/>
            </w:r>
            <w:r>
              <w:rPr>
                <w:rFonts w:ascii="Arial" w:eastAsia="Arial" w:hAnsi="Arial" w:cs="Arial"/>
                <w:sz w:val="10"/>
                <w:szCs w:val="10"/>
                <w:u w:val="single"/>
              </w:rPr>
              <w:t>/ /</w:t>
            </w:r>
          </w:p>
          <w:p w14:paraId="4D442520" w14:textId="77777777" w:rsidR="0072615D" w:rsidRDefault="0072615D">
            <w:pPr>
              <w:pStyle w:val="Other0"/>
              <w:framePr w:w="7018" w:h="6206" w:vSpace="168" w:wrap="none" w:hAnchor="page" w:x="428" w:y="1519"/>
              <w:spacing w:line="180" w:lineRule="auto"/>
              <w:ind w:firstLine="0"/>
              <w:rPr>
                <w:sz w:val="10"/>
                <w:szCs w:val="10"/>
              </w:rPr>
            </w:pPr>
            <w:r>
              <w:rPr>
                <w:rFonts w:ascii="Arial" w:eastAsia="Arial" w:hAnsi="Arial" w:cs="Arial"/>
                <w:sz w:val="10"/>
                <w:szCs w:val="10"/>
              </w:rPr>
              <w:t>mes día año</w:t>
            </w:r>
          </w:p>
        </w:tc>
        <w:tc>
          <w:tcPr>
            <w:tcW w:w="461" w:type="dxa"/>
            <w:tcBorders>
              <w:top w:val="single" w:sz="4" w:space="0" w:color="auto"/>
              <w:left w:val="single" w:sz="4" w:space="0" w:color="auto"/>
            </w:tcBorders>
            <w:shd w:val="clear" w:color="auto" w:fill="FFFFFF"/>
          </w:tcPr>
          <w:p w14:paraId="4A512573" w14:textId="77777777" w:rsidR="0072615D" w:rsidRDefault="0072615D">
            <w:pPr>
              <w:pStyle w:val="Other0"/>
              <w:framePr w:w="7018" w:h="6206" w:vSpace="168" w:wrap="none" w:hAnchor="page" w:x="428" w:y="1519"/>
              <w:spacing w:after="100" w:line="240" w:lineRule="auto"/>
              <w:ind w:firstLine="0"/>
              <w:rPr>
                <w:sz w:val="10"/>
                <w:szCs w:val="10"/>
              </w:rPr>
            </w:pPr>
            <w:r>
              <w:rPr>
                <w:rFonts w:ascii="Arial" w:eastAsia="Arial" w:hAnsi="Arial" w:cs="Arial"/>
                <w:sz w:val="10"/>
                <w:szCs w:val="10"/>
              </w:rPr>
              <w:t>5jSexo</w:t>
            </w:r>
          </w:p>
          <w:p w14:paraId="26168B0A" w14:textId="77777777" w:rsidR="0072615D" w:rsidRDefault="0072615D">
            <w:pPr>
              <w:pStyle w:val="Other0"/>
              <w:framePr w:w="7018" w:h="6206" w:vSpace="168" w:wrap="none" w:hAnchor="page" w:x="428" w:y="1519"/>
              <w:spacing w:line="240" w:lineRule="auto"/>
              <w:ind w:firstLine="0"/>
              <w:rPr>
                <w:sz w:val="10"/>
                <w:szCs w:val="10"/>
              </w:rPr>
            </w:pPr>
            <w:r>
              <w:rPr>
                <w:rFonts w:ascii="Arial" w:eastAsia="Arial" w:hAnsi="Arial" w:cs="Arial"/>
                <w:sz w:val="10"/>
                <w:szCs w:val="10"/>
              </w:rPr>
              <w:t>□ M OF</w:t>
            </w:r>
          </w:p>
        </w:tc>
        <w:tc>
          <w:tcPr>
            <w:tcW w:w="1881" w:type="dxa"/>
            <w:gridSpan w:val="2"/>
            <w:tcBorders>
              <w:top w:val="single" w:sz="4" w:space="0" w:color="auto"/>
              <w:left w:val="single" w:sz="4" w:space="0" w:color="auto"/>
              <w:right w:val="single" w:sz="4" w:space="0" w:color="auto"/>
            </w:tcBorders>
            <w:shd w:val="clear" w:color="auto" w:fill="FFFFFF"/>
          </w:tcPr>
          <w:p w14:paraId="49E0C571" w14:textId="77777777" w:rsidR="0072615D" w:rsidRDefault="0072615D">
            <w:pPr>
              <w:pStyle w:val="Other0"/>
              <w:framePr w:w="7018" w:h="6206" w:vSpace="168" w:wrap="none" w:hAnchor="page" w:x="428" w:y="1519"/>
              <w:spacing w:after="120" w:line="240" w:lineRule="auto"/>
              <w:ind w:firstLine="0"/>
              <w:rPr>
                <w:sz w:val="10"/>
                <w:szCs w:val="10"/>
              </w:rPr>
            </w:pPr>
            <w:r>
              <w:rPr>
                <w:rFonts w:ascii="Arial" w:eastAsia="Arial" w:hAnsi="Arial" w:cs="Arial"/>
                <w:sz w:val="10"/>
                <w:szCs w:val="10"/>
              </w:rPr>
              <w:t>[ójFecha en que se completó la forma</w:t>
            </w:r>
          </w:p>
          <w:p w14:paraId="4F034C7A" w14:textId="77777777" w:rsidR="0072615D" w:rsidRDefault="0072615D">
            <w:pPr>
              <w:pStyle w:val="Other0"/>
              <w:framePr w:w="7018" w:h="6206" w:vSpace="168" w:wrap="none" w:hAnchor="page" w:x="428" w:y="1519"/>
              <w:spacing w:line="240" w:lineRule="auto"/>
              <w:ind w:firstLine="620"/>
              <w:rPr>
                <w:sz w:val="10"/>
                <w:szCs w:val="10"/>
              </w:rPr>
            </w:pPr>
            <w:r>
              <w:rPr>
                <w:rFonts w:ascii="Arial" w:eastAsia="Arial" w:hAnsi="Arial" w:cs="Arial"/>
                <w:sz w:val="10"/>
                <w:szCs w:val="10"/>
              </w:rPr>
              <w:t>mes día año</w:t>
            </w:r>
          </w:p>
        </w:tc>
      </w:tr>
      <w:tr w:rsidR="0072615D" w14:paraId="57FDFFDF" w14:textId="77777777">
        <w:tblPrEx>
          <w:tblCellMar>
            <w:top w:w="0" w:type="dxa"/>
            <w:bottom w:w="0" w:type="dxa"/>
          </w:tblCellMar>
        </w:tblPrEx>
        <w:trPr>
          <w:trHeight w:hRule="exact" w:val="1474"/>
        </w:trPr>
        <w:tc>
          <w:tcPr>
            <w:tcW w:w="4675" w:type="dxa"/>
            <w:gridSpan w:val="2"/>
            <w:tcBorders>
              <w:top w:val="single" w:sz="4" w:space="0" w:color="auto"/>
              <w:left w:val="single" w:sz="4" w:space="0" w:color="auto"/>
            </w:tcBorders>
            <w:shd w:val="clear" w:color="auto" w:fill="FFFFFF"/>
          </w:tcPr>
          <w:p w14:paraId="42B36A76"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7. Describir las reacciones adversas (síntomas, signos, evolución cronológica) y tratamiento si se hizo</w:t>
            </w:r>
          </w:p>
        </w:tc>
        <w:tc>
          <w:tcPr>
            <w:tcW w:w="2342" w:type="dxa"/>
            <w:gridSpan w:val="3"/>
            <w:tcBorders>
              <w:top w:val="single" w:sz="4" w:space="0" w:color="auto"/>
              <w:left w:val="single" w:sz="4" w:space="0" w:color="auto"/>
              <w:right w:val="single" w:sz="4" w:space="0" w:color="auto"/>
            </w:tcBorders>
            <w:shd w:val="clear" w:color="auto" w:fill="FFFFFF"/>
          </w:tcPr>
          <w:p w14:paraId="780808C1"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8. Señalar el dato apropiado</w:t>
            </w:r>
          </w:p>
          <w:p w14:paraId="6744D6C9" w14:textId="77777777" w:rsidR="0072615D" w:rsidRDefault="0072615D">
            <w:pPr>
              <w:pStyle w:val="Other0"/>
              <w:framePr w:w="7018" w:h="6206" w:vSpace="168" w:wrap="none" w:hAnchor="page" w:x="428" w:y="1519"/>
              <w:numPr>
                <w:ilvl w:val="0"/>
                <w:numId w:val="26"/>
              </w:numPr>
              <w:tabs>
                <w:tab w:val="left" w:pos="163"/>
              </w:tabs>
              <w:spacing w:line="266" w:lineRule="auto"/>
              <w:ind w:left="200" w:hanging="200"/>
              <w:rPr>
                <w:sz w:val="10"/>
                <w:szCs w:val="10"/>
              </w:rPr>
            </w:pPr>
            <w:r>
              <w:rPr>
                <w:rFonts w:ascii="Arial" w:eastAsia="Arial" w:hAnsi="Arial" w:cs="Arial"/>
                <w:sz w:val="12"/>
                <w:szCs w:val="12"/>
              </w:rPr>
              <w:t xml:space="preserve">El paciente falleció </w:t>
            </w:r>
            <w:r>
              <w:rPr>
                <w:rFonts w:ascii="Arial" w:eastAsia="Arial" w:hAnsi="Arial" w:cs="Arial"/>
                <w:sz w:val="10"/>
                <w:szCs w:val="10"/>
              </w:rPr>
              <w:t xml:space="preserve">(fecha </w:t>
            </w:r>
            <w:r>
              <w:rPr>
                <w:rFonts w:ascii="Arial" w:eastAsia="Arial" w:hAnsi="Arial" w:cs="Arial"/>
                <w:sz w:val="10"/>
                <w:szCs w:val="10"/>
                <w:u w:val="single"/>
              </w:rPr>
              <w:t xml:space="preserve">/ / </w:t>
            </w:r>
            <w:r>
              <w:rPr>
                <w:rFonts w:ascii="Arial" w:eastAsia="Arial" w:hAnsi="Arial" w:cs="Arial"/>
                <w:sz w:val="10"/>
                <w:szCs w:val="10"/>
              </w:rPr>
              <w:t>mes día año)</w:t>
            </w:r>
          </w:p>
          <w:p w14:paraId="56F0D4D4" w14:textId="77777777" w:rsidR="0072615D" w:rsidRDefault="0072615D">
            <w:pPr>
              <w:pStyle w:val="Other0"/>
              <w:framePr w:w="7018" w:h="6206" w:vSpace="168" w:wrap="none" w:hAnchor="page" w:x="428" w:y="1519"/>
              <w:spacing w:line="240" w:lineRule="auto"/>
              <w:ind w:left="200" w:firstLine="0"/>
              <w:rPr>
                <w:sz w:val="12"/>
                <w:szCs w:val="12"/>
              </w:rPr>
            </w:pPr>
            <w:r>
              <w:rPr>
                <w:rFonts w:ascii="Arial" w:eastAsia="Arial" w:hAnsi="Arial" w:cs="Arial"/>
                <w:sz w:val="12"/>
                <w:szCs w:val="12"/>
              </w:rPr>
              <w:t>Enfermedad potencialmente letal Se necesitó el servicio de sala de urgencias/visita al médico</w:t>
            </w:r>
          </w:p>
          <w:p w14:paraId="7021B3DC" w14:textId="77777777" w:rsidR="0072615D" w:rsidRDefault="0072615D">
            <w:pPr>
              <w:pStyle w:val="Other0"/>
              <w:framePr w:w="7018" w:h="6206" w:vSpace="168" w:wrap="none" w:hAnchor="page" w:x="428" w:y="1519"/>
              <w:numPr>
                <w:ilvl w:val="0"/>
                <w:numId w:val="26"/>
              </w:numPr>
              <w:tabs>
                <w:tab w:val="left" w:pos="158"/>
              </w:tabs>
              <w:spacing w:line="240" w:lineRule="auto"/>
              <w:ind w:left="200" w:hanging="200"/>
              <w:rPr>
                <w:sz w:val="12"/>
                <w:szCs w:val="12"/>
              </w:rPr>
            </w:pPr>
            <w:r>
              <w:rPr>
                <w:rFonts w:ascii="Arial" w:eastAsia="Arial" w:hAnsi="Arial" w:cs="Arial"/>
                <w:sz w:val="12"/>
                <w:szCs w:val="12"/>
              </w:rPr>
              <w:t>Se necesitó hospitalización ( días) Originó hospitalización prolongada Originó discapacidad permanente Ninguna de las anteriores</w:t>
            </w:r>
          </w:p>
        </w:tc>
      </w:tr>
      <w:tr w:rsidR="0072615D" w14:paraId="3D3C1A10" w14:textId="77777777">
        <w:tblPrEx>
          <w:tblCellMar>
            <w:top w:w="0" w:type="dxa"/>
            <w:bottom w:w="0" w:type="dxa"/>
          </w:tblCellMar>
        </w:tblPrEx>
        <w:trPr>
          <w:trHeight w:hRule="exact" w:val="384"/>
        </w:trPr>
        <w:tc>
          <w:tcPr>
            <w:tcW w:w="4675" w:type="dxa"/>
            <w:gridSpan w:val="2"/>
            <w:tcBorders>
              <w:top w:val="single" w:sz="4" w:space="0" w:color="auto"/>
              <w:left w:val="single" w:sz="4" w:space="0" w:color="auto"/>
            </w:tcBorders>
            <w:shd w:val="clear" w:color="auto" w:fill="FFFFFF"/>
          </w:tcPr>
          <w:p w14:paraId="464DFF14" w14:textId="77777777" w:rsidR="0072615D" w:rsidRDefault="0072615D">
            <w:pPr>
              <w:pStyle w:val="Other0"/>
              <w:framePr w:w="7018" w:h="6206" w:vSpace="168" w:wrap="none" w:hAnchor="page" w:x="428" w:y="1519"/>
              <w:tabs>
                <w:tab w:val="left" w:pos="1589"/>
              </w:tabs>
              <w:spacing w:line="240" w:lineRule="auto"/>
              <w:ind w:firstLine="0"/>
              <w:rPr>
                <w:sz w:val="12"/>
                <w:szCs w:val="12"/>
              </w:rPr>
            </w:pPr>
            <w:r>
              <w:rPr>
                <w:rFonts w:ascii="Arial" w:eastAsia="Arial" w:hAnsi="Arial" w:cs="Arial"/>
                <w:sz w:val="12"/>
                <w:szCs w:val="12"/>
                <w:u w:val="single"/>
              </w:rPr>
              <w:t>|9.|</w:t>
            </w:r>
            <w:r>
              <w:rPr>
                <w:rFonts w:ascii="Arial" w:eastAsia="Arial" w:hAnsi="Arial" w:cs="Arial"/>
                <w:sz w:val="12"/>
                <w:szCs w:val="12"/>
              </w:rPr>
              <w:t xml:space="preserve"> El paciente se recuperó</w:t>
            </w:r>
            <w:r>
              <w:rPr>
                <w:rFonts w:ascii="Arial" w:eastAsia="Arial" w:hAnsi="Arial" w:cs="Arial"/>
                <w:sz w:val="12"/>
                <w:szCs w:val="12"/>
              </w:rPr>
              <w:tab/>
              <w:t>DSi DNo DSe desconoce</w:t>
            </w:r>
          </w:p>
        </w:tc>
        <w:tc>
          <w:tcPr>
            <w:tcW w:w="1099" w:type="dxa"/>
            <w:gridSpan w:val="2"/>
            <w:tcBorders>
              <w:top w:val="single" w:sz="4" w:space="0" w:color="auto"/>
              <w:left w:val="single" w:sz="4" w:space="0" w:color="auto"/>
            </w:tcBorders>
            <w:shd w:val="clear" w:color="auto" w:fill="FFFFFF"/>
            <w:vAlign w:val="bottom"/>
          </w:tcPr>
          <w:p w14:paraId="393F7FC7"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10. Fecha de vacunación</w:t>
            </w:r>
          </w:p>
          <w:p w14:paraId="5415C324" w14:textId="77777777" w:rsidR="0072615D" w:rsidRDefault="0072615D">
            <w:pPr>
              <w:pStyle w:val="Other0"/>
              <w:framePr w:w="7018" w:h="6206" w:vSpace="168" w:wrap="none" w:hAnchor="page" w:x="428" w:y="1519"/>
              <w:spacing w:line="290" w:lineRule="auto"/>
              <w:ind w:firstLine="320"/>
              <w:rPr>
                <w:sz w:val="10"/>
                <w:szCs w:val="10"/>
              </w:rPr>
            </w:pPr>
            <w:r>
              <w:rPr>
                <w:rFonts w:ascii="Arial" w:eastAsia="Arial" w:hAnsi="Arial" w:cs="Arial"/>
                <w:sz w:val="10"/>
                <w:szCs w:val="10"/>
              </w:rPr>
              <w:t>/ /</w:t>
            </w:r>
          </w:p>
        </w:tc>
        <w:tc>
          <w:tcPr>
            <w:tcW w:w="1243" w:type="dxa"/>
            <w:tcBorders>
              <w:top w:val="single" w:sz="4" w:space="0" w:color="auto"/>
              <w:left w:val="single" w:sz="4" w:space="0" w:color="auto"/>
              <w:right w:val="single" w:sz="4" w:space="0" w:color="auto"/>
            </w:tcBorders>
            <w:shd w:val="clear" w:color="auto" w:fill="FFFFFF"/>
          </w:tcPr>
          <w:p w14:paraId="61EC31B7"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11. Inicio de efectos adversos</w:t>
            </w:r>
          </w:p>
        </w:tc>
      </w:tr>
      <w:tr w:rsidR="0072615D" w14:paraId="574AE4CC" w14:textId="77777777">
        <w:tblPrEx>
          <w:tblCellMar>
            <w:top w:w="0" w:type="dxa"/>
            <w:bottom w:w="0" w:type="dxa"/>
          </w:tblCellMar>
        </w:tblPrEx>
        <w:trPr>
          <w:trHeight w:hRule="exact" w:val="490"/>
        </w:trPr>
        <w:tc>
          <w:tcPr>
            <w:tcW w:w="4675" w:type="dxa"/>
            <w:gridSpan w:val="2"/>
            <w:tcBorders>
              <w:top w:val="single" w:sz="4" w:space="0" w:color="auto"/>
              <w:left w:val="single" w:sz="4" w:space="0" w:color="auto"/>
              <w:bottom w:val="single" w:sz="4" w:space="0" w:color="auto"/>
            </w:tcBorders>
            <w:shd w:val="clear" w:color="auto" w:fill="FFFFFF"/>
          </w:tcPr>
          <w:p w14:paraId="45C0B6D2"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12. Métodos diagnósticos/datos de laboratorio importantes</w:t>
            </w:r>
          </w:p>
        </w:tc>
        <w:tc>
          <w:tcPr>
            <w:tcW w:w="1099" w:type="dxa"/>
            <w:gridSpan w:val="2"/>
            <w:tcBorders>
              <w:top w:val="single" w:sz="4" w:space="0" w:color="auto"/>
              <w:left w:val="single" w:sz="4" w:space="0" w:color="auto"/>
              <w:bottom w:val="single" w:sz="4" w:space="0" w:color="auto"/>
            </w:tcBorders>
            <w:shd w:val="clear" w:color="auto" w:fill="FFFFFF"/>
          </w:tcPr>
          <w:p w14:paraId="0D327C6B"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mes día año</w:t>
            </w:r>
          </w:p>
          <w:p w14:paraId="64DBDE73" w14:textId="77777777" w:rsidR="0072615D" w:rsidRDefault="0072615D">
            <w:pPr>
              <w:pStyle w:val="Other0"/>
              <w:framePr w:w="7018" w:h="6206" w:vSpace="168" w:wrap="none" w:hAnchor="page" w:x="428" w:y="1519"/>
              <w:tabs>
                <w:tab w:val="left" w:pos="710"/>
              </w:tabs>
              <w:spacing w:line="240" w:lineRule="auto"/>
              <w:ind w:firstLine="0"/>
              <w:rPr>
                <w:sz w:val="12"/>
                <w:szCs w:val="12"/>
              </w:rPr>
            </w:pPr>
            <w:r>
              <w:rPr>
                <w:rFonts w:ascii="Arial" w:eastAsia="Arial" w:hAnsi="Arial" w:cs="Arial"/>
                <w:sz w:val="12"/>
                <w:szCs w:val="12"/>
              </w:rPr>
              <w:t>Hora</w:t>
            </w:r>
            <w:r>
              <w:rPr>
                <w:rFonts w:ascii="Arial" w:eastAsia="Arial" w:hAnsi="Arial" w:cs="Arial"/>
                <w:sz w:val="12"/>
                <w:szCs w:val="12"/>
              </w:rPr>
              <w:tab/>
              <w:t>AM</w:t>
            </w:r>
          </w:p>
          <w:p w14:paraId="61F1C9DA" w14:textId="77777777" w:rsidR="0072615D" w:rsidRDefault="0072615D">
            <w:pPr>
              <w:pStyle w:val="Other0"/>
              <w:framePr w:w="7018" w:h="6206" w:vSpace="168" w:wrap="none" w:hAnchor="page" w:x="428" w:y="1519"/>
              <w:spacing w:line="240" w:lineRule="auto"/>
              <w:ind w:firstLine="320"/>
              <w:rPr>
                <w:sz w:val="12"/>
                <w:szCs w:val="12"/>
              </w:rPr>
            </w:pPr>
            <w:r>
              <w:rPr>
                <w:rFonts w:ascii="Arial" w:eastAsia="Arial" w:hAnsi="Arial" w:cs="Arial"/>
                <w:sz w:val="12"/>
                <w:szCs w:val="12"/>
              </w:rPr>
              <w:t>PM.</w:t>
            </w:r>
          </w:p>
        </w:tc>
        <w:tc>
          <w:tcPr>
            <w:tcW w:w="1243" w:type="dxa"/>
            <w:tcBorders>
              <w:top w:val="single" w:sz="4" w:space="0" w:color="auto"/>
              <w:left w:val="single" w:sz="4" w:space="0" w:color="auto"/>
              <w:bottom w:val="single" w:sz="4" w:space="0" w:color="auto"/>
              <w:right w:val="single" w:sz="4" w:space="0" w:color="auto"/>
            </w:tcBorders>
            <w:shd w:val="clear" w:color="auto" w:fill="FFFFFF"/>
          </w:tcPr>
          <w:p w14:paraId="13D99580" w14:textId="77777777" w:rsidR="0072615D" w:rsidRDefault="0072615D">
            <w:pPr>
              <w:pStyle w:val="Other0"/>
              <w:framePr w:w="7018" w:h="6206" w:vSpace="168" w:wrap="none" w:hAnchor="page" w:x="428" w:y="1519"/>
              <w:spacing w:line="240" w:lineRule="auto"/>
              <w:ind w:firstLine="0"/>
              <w:rPr>
                <w:sz w:val="12"/>
                <w:szCs w:val="12"/>
              </w:rPr>
            </w:pPr>
            <w:r>
              <w:rPr>
                <w:rFonts w:ascii="Arial" w:eastAsia="Arial" w:hAnsi="Arial" w:cs="Arial"/>
                <w:sz w:val="12"/>
                <w:szCs w:val="12"/>
              </w:rPr>
              <w:t>mes día año</w:t>
            </w:r>
          </w:p>
          <w:p w14:paraId="1D491928" w14:textId="77777777" w:rsidR="0072615D" w:rsidRDefault="0072615D">
            <w:pPr>
              <w:pStyle w:val="Other0"/>
              <w:framePr w:w="7018" w:h="6206" w:vSpace="168" w:wrap="none" w:hAnchor="page" w:x="428" w:y="1519"/>
              <w:tabs>
                <w:tab w:val="left" w:pos="710"/>
              </w:tabs>
              <w:spacing w:line="240" w:lineRule="auto"/>
              <w:ind w:firstLine="0"/>
              <w:rPr>
                <w:sz w:val="12"/>
                <w:szCs w:val="12"/>
              </w:rPr>
            </w:pPr>
            <w:r>
              <w:rPr>
                <w:rFonts w:ascii="Arial" w:eastAsia="Arial" w:hAnsi="Arial" w:cs="Arial"/>
                <w:sz w:val="12"/>
                <w:szCs w:val="12"/>
              </w:rPr>
              <w:t>Hora</w:t>
            </w:r>
            <w:r>
              <w:rPr>
                <w:rFonts w:ascii="Arial" w:eastAsia="Arial" w:hAnsi="Arial" w:cs="Arial"/>
                <w:sz w:val="12"/>
                <w:szCs w:val="12"/>
              </w:rPr>
              <w:tab/>
              <w:t>AM</w:t>
            </w:r>
          </w:p>
          <w:p w14:paraId="1856DC37" w14:textId="77777777" w:rsidR="0072615D" w:rsidRDefault="0072615D">
            <w:pPr>
              <w:pStyle w:val="Other0"/>
              <w:framePr w:w="7018" w:h="6206" w:vSpace="168" w:wrap="none" w:hAnchor="page" w:x="428" w:y="1519"/>
              <w:spacing w:line="240" w:lineRule="auto"/>
              <w:ind w:firstLine="360"/>
              <w:rPr>
                <w:sz w:val="12"/>
                <w:szCs w:val="12"/>
              </w:rPr>
            </w:pPr>
            <w:r>
              <w:rPr>
                <w:rFonts w:ascii="Arial" w:eastAsia="Arial" w:hAnsi="Arial" w:cs="Arial"/>
                <w:sz w:val="12"/>
                <w:szCs w:val="12"/>
              </w:rPr>
              <w:t>PM.</w:t>
            </w:r>
          </w:p>
        </w:tc>
      </w:tr>
    </w:tbl>
    <w:p w14:paraId="6F385680" w14:textId="77777777" w:rsidR="0072615D" w:rsidRDefault="0072615D">
      <w:pPr>
        <w:framePr w:w="7018" w:h="6206" w:vSpace="168" w:wrap="none" w:hAnchor="page" w:x="428" w:y="1519"/>
        <w:spacing w:line="1" w:lineRule="exact"/>
      </w:pPr>
    </w:p>
    <w:p w14:paraId="5F5B5805" w14:textId="77777777" w:rsidR="0072615D" w:rsidRDefault="0072615D">
      <w:pPr>
        <w:pStyle w:val="Tablecaption0"/>
        <w:framePr w:w="1440" w:h="168" w:wrap="none" w:hAnchor="page" w:x="1690" w:y="1351"/>
        <w:spacing w:line="240" w:lineRule="auto"/>
        <w:ind w:left="0"/>
        <w:rPr>
          <w:sz w:val="12"/>
          <w:szCs w:val="12"/>
        </w:rPr>
      </w:pPr>
      <w:r>
        <w:rPr>
          <w:rFonts w:ascii="Arial" w:eastAsia="Arial" w:hAnsi="Arial" w:cs="Arial"/>
          <w:sz w:val="12"/>
          <w:szCs w:val="12"/>
        </w:rPr>
        <w:t xml:space="preserve">WEBSITE: </w:t>
      </w:r>
      <w:hyperlink r:id="rId130" w:history="1">
        <w:r>
          <w:rPr>
            <w:rFonts w:ascii="Arial" w:eastAsia="Arial" w:hAnsi="Arial" w:cs="Arial"/>
            <w:sz w:val="12"/>
            <w:szCs w:val="12"/>
          </w:rPr>
          <w:t>www.vaers.org</w:t>
        </w:r>
      </w:hyperlink>
    </w:p>
    <w:p w14:paraId="4E4CAAD5" w14:textId="77777777" w:rsidR="0072615D" w:rsidRDefault="0072615D">
      <w:pPr>
        <w:pStyle w:val="Tablecaption0"/>
        <w:framePr w:w="1315" w:h="168" w:wrap="none" w:hAnchor="page" w:x="3423" w:y="1351"/>
        <w:spacing w:line="240" w:lineRule="auto"/>
        <w:ind w:left="0"/>
        <w:jc w:val="center"/>
        <w:rPr>
          <w:sz w:val="12"/>
          <w:szCs w:val="12"/>
        </w:rPr>
      </w:pPr>
      <w:r>
        <w:rPr>
          <w:rFonts w:ascii="Arial" w:eastAsia="Arial" w:hAnsi="Arial" w:cs="Arial"/>
          <w:sz w:val="12"/>
          <w:szCs w:val="12"/>
        </w:rPr>
        <w:t xml:space="preserve">E-MAIL: </w:t>
      </w:r>
      <w:hyperlink r:id="rId131" w:history="1">
        <w:r>
          <w:rPr>
            <w:rFonts w:ascii="Arial" w:eastAsia="Arial" w:hAnsi="Arial" w:cs="Arial"/>
            <w:sz w:val="12"/>
            <w:szCs w:val="12"/>
          </w:rPr>
          <w:t>info@vaers.org</w:t>
        </w:r>
      </w:hyperlink>
    </w:p>
    <w:p w14:paraId="6E42803F" w14:textId="77777777" w:rsidR="0072615D" w:rsidRDefault="0072615D">
      <w:pPr>
        <w:pStyle w:val="Tablecaption0"/>
        <w:framePr w:w="1190" w:h="163" w:wrap="none" w:hAnchor="page" w:x="4993" w:y="1351"/>
        <w:spacing w:line="240" w:lineRule="auto"/>
        <w:ind w:left="0"/>
        <w:rPr>
          <w:sz w:val="12"/>
          <w:szCs w:val="12"/>
        </w:rPr>
      </w:pPr>
      <w:r>
        <w:rPr>
          <w:rFonts w:ascii="Arial" w:eastAsia="Arial" w:hAnsi="Arial" w:cs="Arial"/>
          <w:sz w:val="12"/>
          <w:szCs w:val="12"/>
        </w:rPr>
        <w:t>FAX: 1-877-721-0366</w:t>
      </w:r>
    </w:p>
    <w:p w14:paraId="083EED0C" w14:textId="77777777" w:rsidR="0072615D" w:rsidRDefault="0072615D">
      <w:pPr>
        <w:pStyle w:val="Tablecaption0"/>
        <w:framePr w:w="475" w:h="163" w:wrap="none" w:hAnchor="page" w:x="5074" w:y="7855"/>
        <w:spacing w:line="240" w:lineRule="auto"/>
        <w:ind w:left="0"/>
        <w:rPr>
          <w:sz w:val="12"/>
          <w:szCs w:val="12"/>
        </w:rPr>
      </w:pPr>
      <w:r>
        <w:rPr>
          <w:rFonts w:ascii="Arial" w:eastAsia="Arial" w:hAnsi="Arial" w:cs="Arial"/>
          <w:sz w:val="12"/>
          <w:szCs w:val="12"/>
        </w:rPr>
        <w:t>Vía/Sitio</w:t>
      </w:r>
    </w:p>
    <w:p w14:paraId="71189815" w14:textId="77777777" w:rsidR="0072615D" w:rsidRDefault="0072615D">
      <w:pPr>
        <w:pStyle w:val="Tablecaption0"/>
        <w:framePr w:w="1157" w:h="173" w:wrap="none" w:hAnchor="page" w:x="6106" w:y="7855"/>
        <w:spacing w:line="240" w:lineRule="auto"/>
        <w:ind w:left="0"/>
        <w:rPr>
          <w:sz w:val="12"/>
          <w:szCs w:val="12"/>
        </w:rPr>
      </w:pPr>
      <w:r>
        <w:rPr>
          <w:rFonts w:ascii="Arial" w:eastAsia="Arial" w:hAnsi="Arial" w:cs="Arial"/>
          <w:sz w:val="12"/>
          <w:szCs w:val="12"/>
        </w:rPr>
        <w:t>No. de dosis previas</w:t>
      </w:r>
    </w:p>
    <w:p w14:paraId="578F5CB5" w14:textId="77777777" w:rsidR="0072615D" w:rsidRDefault="0072615D">
      <w:pPr>
        <w:pStyle w:val="Tablecaption0"/>
        <w:framePr w:w="4262" w:h="312" w:wrap="none" w:hAnchor="page" w:x="553" w:y="7716"/>
        <w:tabs>
          <w:tab w:val="left" w:pos="1627"/>
          <w:tab w:val="left" w:pos="2942"/>
        </w:tabs>
        <w:spacing w:line="240" w:lineRule="auto"/>
        <w:ind w:left="0"/>
        <w:jc w:val="center"/>
        <w:rPr>
          <w:sz w:val="12"/>
          <w:szCs w:val="12"/>
        </w:rPr>
      </w:pPr>
      <w:r>
        <w:rPr>
          <w:rFonts w:ascii="Arial" w:eastAsia="Arial" w:hAnsi="Arial" w:cs="Arial"/>
          <w:sz w:val="12"/>
          <w:szCs w:val="12"/>
        </w:rPr>
        <w:t>3.| Señalar las vacunas aplicadas hasta la fecha que se indicó en el inciso 10 Vacuna (tipo)</w:t>
      </w:r>
      <w:r>
        <w:rPr>
          <w:rFonts w:ascii="Arial" w:eastAsia="Arial" w:hAnsi="Arial" w:cs="Arial"/>
          <w:sz w:val="12"/>
          <w:szCs w:val="12"/>
        </w:rPr>
        <w:tab/>
        <w:t>Fabricante</w:t>
      </w:r>
      <w:r>
        <w:rPr>
          <w:rFonts w:ascii="Arial" w:eastAsia="Arial" w:hAnsi="Arial" w:cs="Arial"/>
          <w:sz w:val="12"/>
          <w:szCs w:val="12"/>
        </w:rPr>
        <w:tab/>
        <w:t>Número de lote</w:t>
      </w:r>
    </w:p>
    <w:p w14:paraId="31E467FE" w14:textId="77777777" w:rsidR="0072615D" w:rsidRDefault="0072615D">
      <w:pPr>
        <w:pStyle w:val="Bodytext50"/>
        <w:framePr w:w="5856" w:h="902" w:wrap="none" w:hAnchor="page" w:x="481" w:y="8023"/>
      </w:pPr>
      <w:bookmarkStart w:id="203" w:name="bookmark203"/>
      <w:r>
        <w:t>a</w:t>
      </w:r>
      <w:bookmarkEnd w:id="203"/>
      <w:r>
        <w:t>.</w:t>
      </w:r>
    </w:p>
    <w:p w14:paraId="227645C1" w14:textId="77777777" w:rsidR="0072615D" w:rsidRDefault="0072615D">
      <w:pPr>
        <w:pStyle w:val="Bodytext50"/>
        <w:framePr w:w="5856" w:h="902" w:wrap="none" w:hAnchor="page" w:x="481" w:y="8023"/>
      </w:pPr>
      <w:bookmarkStart w:id="204" w:name="bookmark204"/>
      <w:r>
        <w:t>b</w:t>
      </w:r>
      <w:bookmarkEnd w:id="204"/>
      <w:r>
        <w:t>.</w:t>
      </w:r>
    </w:p>
    <w:p w14:paraId="2E5EC5B8" w14:textId="77777777" w:rsidR="0072615D" w:rsidRDefault="0072615D">
      <w:pPr>
        <w:pStyle w:val="Bodytext50"/>
        <w:framePr w:w="5856" w:h="902" w:wrap="none" w:hAnchor="page" w:x="481" w:y="8023"/>
      </w:pPr>
      <w:bookmarkStart w:id="205" w:name="bookmark205"/>
      <w:r>
        <w:t>c</w:t>
      </w:r>
      <w:bookmarkEnd w:id="205"/>
      <w:r>
        <w:t>.</w:t>
      </w:r>
    </w:p>
    <w:p w14:paraId="04D3FE10" w14:textId="77777777" w:rsidR="0072615D" w:rsidRDefault="0072615D">
      <w:pPr>
        <w:pStyle w:val="Bodytext50"/>
        <w:framePr w:w="5856" w:h="902" w:wrap="none" w:hAnchor="page" w:x="481" w:y="8023"/>
        <w:pBdr>
          <w:bottom w:val="single" w:sz="4" w:space="0" w:color="auto"/>
        </w:pBdr>
      </w:pPr>
      <w:bookmarkStart w:id="206" w:name="bookmark206"/>
      <w:r>
        <w:t>d</w:t>
      </w:r>
      <w:bookmarkEnd w:id="206"/>
      <w:r>
        <w:t>.</w:t>
      </w:r>
    </w:p>
    <w:p w14:paraId="53C65399" w14:textId="77777777" w:rsidR="0072615D" w:rsidRDefault="0072615D">
      <w:pPr>
        <w:pStyle w:val="Bodytext50"/>
        <w:framePr w:w="5856" w:h="902" w:wrap="none" w:hAnchor="page" w:x="481" w:y="8023"/>
        <w:tabs>
          <w:tab w:val="left" w:pos="2586"/>
          <w:tab w:val="left" w:pos="3801"/>
        </w:tabs>
        <w:ind w:left="220"/>
      </w:pPr>
      <w:r>
        <w:t>Cualquiera vacunaciones aplicadas en término de 4 semanas antes de la fecha incluida en el inciso 10 Vacuna (tipo) Fabricante</w:t>
      </w:r>
      <w:r>
        <w:tab/>
        <w:t>No. de lote</w:t>
      </w:r>
      <w:r>
        <w:tab/>
        <w:t>Vía/Sitio No. de dosis previas</w:t>
      </w:r>
    </w:p>
    <w:p w14:paraId="7A81FFBA" w14:textId="77777777" w:rsidR="0072615D" w:rsidRDefault="0072615D">
      <w:pPr>
        <w:pStyle w:val="Bodytext50"/>
        <w:framePr w:w="950" w:h="312" w:wrap="none" w:hAnchor="page" w:x="6347" w:y="8728"/>
        <w:jc w:val="center"/>
      </w:pPr>
      <w:r>
        <w:t>Fecha en</w:t>
      </w:r>
      <w:r>
        <w:br/>
        <w:t>que se aplicaron</w:t>
      </w:r>
    </w:p>
    <w:p w14:paraId="683C7908" w14:textId="77777777" w:rsidR="0072615D" w:rsidRDefault="0072615D">
      <w:pPr>
        <w:pStyle w:val="Bodytext50"/>
        <w:framePr w:w="3226" w:h="970" w:wrap="none" w:hAnchor="page" w:x="481" w:y="9040"/>
      </w:pPr>
      <w:bookmarkStart w:id="207" w:name="bookmark207"/>
      <w:r>
        <w:t>a</w:t>
      </w:r>
      <w:bookmarkEnd w:id="207"/>
      <w:r>
        <w:t>.</w:t>
      </w:r>
    </w:p>
    <w:p w14:paraId="72FC087C" w14:textId="77777777" w:rsidR="0072615D" w:rsidRDefault="0072615D">
      <w:pPr>
        <w:pStyle w:val="Bodytext50"/>
        <w:framePr w:w="3226" w:h="970" w:wrap="none" w:hAnchor="page" w:x="481" w:y="9040"/>
      </w:pPr>
      <w:bookmarkStart w:id="208" w:name="bookmark208"/>
      <w:r>
        <w:t>b</w:t>
      </w:r>
      <w:bookmarkEnd w:id="208"/>
      <w:r>
        <w:t>.</w:t>
      </w:r>
    </w:p>
    <w:p w14:paraId="49DE826B" w14:textId="77777777" w:rsidR="0072615D" w:rsidRDefault="0072615D">
      <w:pPr>
        <w:pStyle w:val="Bodytext50"/>
        <w:framePr w:w="3226" w:h="970" w:wrap="none" w:hAnchor="page" w:x="481" w:y="9040"/>
      </w:pPr>
      <w:r>
        <w:t>ȚsJ La vacunación se hizo en:</w:t>
      </w:r>
    </w:p>
    <w:p w14:paraId="783E28FF" w14:textId="77777777" w:rsidR="0072615D" w:rsidRDefault="0072615D">
      <w:pPr>
        <w:pStyle w:val="Bodytext90"/>
        <w:framePr w:w="3226" w:h="970" w:wrap="none" w:hAnchor="page" w:x="481" w:y="9040"/>
        <w:numPr>
          <w:ilvl w:val="0"/>
          <w:numId w:val="27"/>
        </w:numPr>
        <w:tabs>
          <w:tab w:val="left" w:pos="134"/>
        </w:tabs>
      </w:pPr>
      <w:bookmarkStart w:id="209" w:name="bookmark209"/>
      <w:bookmarkEnd w:id="209"/>
      <w:r>
        <w:t>Consultorio privado/hospital □ Clínica de salud pública/hospital</w:t>
      </w:r>
    </w:p>
    <w:p w14:paraId="03B7AE95" w14:textId="77777777" w:rsidR="0072615D" w:rsidRDefault="0072615D">
      <w:pPr>
        <w:pStyle w:val="Bodytext90"/>
        <w:framePr w:w="3226" w:h="970" w:wrap="none" w:hAnchor="page" w:x="481" w:y="9040"/>
        <w:numPr>
          <w:ilvl w:val="0"/>
          <w:numId w:val="27"/>
        </w:numPr>
        <w:tabs>
          <w:tab w:val="left" w:pos="134"/>
        </w:tabs>
      </w:pPr>
      <w:bookmarkStart w:id="210" w:name="bookmark210"/>
      <w:bookmarkEnd w:id="210"/>
      <w:r>
        <w:t>Clínica/hospital militares □ Otros sitios no conocidos</w:t>
      </w:r>
    </w:p>
    <w:p w14:paraId="38B14BFE" w14:textId="77777777" w:rsidR="0072615D" w:rsidRDefault="0072615D">
      <w:pPr>
        <w:pStyle w:val="Bodytext50"/>
        <w:framePr w:w="3226" w:h="970" w:wrap="none" w:hAnchor="page" w:x="481" w:y="9040"/>
        <w:spacing w:line="180" w:lineRule="auto"/>
      </w:pPr>
      <w:r>
        <w:rPr>
          <w:rFonts w:ascii="Times New Roman" w:eastAsia="Times New Roman" w:hAnsi="Times New Roman" w:cs="Times New Roman"/>
          <w:sz w:val="20"/>
          <w:szCs w:val="20"/>
        </w:rPr>
        <w:t xml:space="preserve">O </w:t>
      </w:r>
      <w:r>
        <w:t>Enfermedades en la fecha de vacunación (especificar)</w:t>
      </w:r>
    </w:p>
    <w:p w14:paraId="04BD1C27" w14:textId="77777777" w:rsidR="0072615D" w:rsidRDefault="0072615D">
      <w:pPr>
        <w:pStyle w:val="Bodytext50"/>
        <w:framePr w:w="1334" w:h="226" w:wrap="none" w:hAnchor="page" w:x="5915" w:y="9290"/>
      </w:pPr>
      <w:r>
        <w:t>17.| Otros medicamentos</w:t>
      </w:r>
    </w:p>
    <w:p w14:paraId="65EDC594" w14:textId="77777777" w:rsidR="0072615D" w:rsidRDefault="0072615D">
      <w:pPr>
        <w:pStyle w:val="Bodytext50"/>
        <w:framePr w:w="3230" w:h="566" w:wrap="none" w:hAnchor="page" w:x="457" w:y="10063"/>
        <w:spacing w:line="214" w:lineRule="auto"/>
      </w:pPr>
      <w:r>
        <w:t>20. ¿En otra ocasión</w:t>
      </w:r>
    </w:p>
    <w:p w14:paraId="6DC1AE8E" w14:textId="77777777" w:rsidR="0072615D" w:rsidRDefault="0072615D">
      <w:pPr>
        <w:pStyle w:val="Bodytext50"/>
        <w:framePr w:w="3230" w:h="566" w:wrap="none" w:hAnchor="page" w:x="457" w:y="10063"/>
        <w:spacing w:line="214" w:lineRule="auto"/>
      </w:pPr>
      <w:r>
        <w:t>notificó usted esta</w:t>
      </w:r>
    </w:p>
    <w:p w14:paraId="3A527E17" w14:textId="77777777" w:rsidR="0072615D" w:rsidRDefault="0072615D">
      <w:pPr>
        <w:pStyle w:val="Bodytext50"/>
        <w:framePr w:w="3230" w:h="566" w:wrap="none" w:hAnchor="page" w:x="457" w:y="10063"/>
        <w:spacing w:line="214" w:lineRule="auto"/>
      </w:pPr>
      <w:r>
        <w:t xml:space="preserve">misma reacción </w:t>
      </w:r>
      <w:r>
        <w:rPr>
          <w:u w:val="single"/>
        </w:rPr>
        <w:t>adversa?</w:t>
      </w:r>
    </w:p>
    <w:p w14:paraId="09BBFF9E" w14:textId="77777777" w:rsidR="0072615D" w:rsidRDefault="0072615D">
      <w:pPr>
        <w:pStyle w:val="Bodytext90"/>
        <w:framePr w:w="288" w:h="163" w:wrap="none" w:hAnchor="page" w:x="1787" w:y="10115"/>
      </w:pPr>
      <w:r>
        <w:t>□ No</w:t>
      </w:r>
    </w:p>
    <w:p w14:paraId="0C49F9EA" w14:textId="77777777" w:rsidR="0072615D" w:rsidRDefault="0072615D">
      <w:pPr>
        <w:pStyle w:val="Bodytext90"/>
        <w:framePr w:w="610" w:h="163" w:wrap="none" w:hAnchor="page" w:x="1791" w:y="10379"/>
      </w:pPr>
      <w:r>
        <w:t>□ Al médico</w:t>
      </w:r>
    </w:p>
    <w:p w14:paraId="0D052B40" w14:textId="77777777" w:rsidR="0072615D" w:rsidRDefault="0072615D">
      <w:pPr>
        <w:pStyle w:val="Bodytext90"/>
        <w:framePr w:w="912" w:h="442" w:wrap="none" w:hAnchor="page" w:x="2617" w:y="10115"/>
        <w:numPr>
          <w:ilvl w:val="0"/>
          <w:numId w:val="28"/>
        </w:numPr>
        <w:tabs>
          <w:tab w:val="left" w:pos="106"/>
        </w:tabs>
        <w:spacing w:line="252" w:lineRule="auto"/>
      </w:pPr>
      <w:bookmarkStart w:id="211" w:name="bookmark211"/>
      <w:bookmarkEnd w:id="211"/>
      <w:r>
        <w:t>Al departamento de salud</w:t>
      </w:r>
    </w:p>
    <w:p w14:paraId="1A58F44B" w14:textId="77777777" w:rsidR="0072615D" w:rsidRDefault="0072615D">
      <w:pPr>
        <w:pStyle w:val="Bodytext90"/>
        <w:framePr w:w="912" w:h="442" w:wrap="none" w:hAnchor="page" w:x="2617" w:y="10115"/>
        <w:numPr>
          <w:ilvl w:val="0"/>
          <w:numId w:val="28"/>
        </w:numPr>
        <w:tabs>
          <w:tab w:val="left" w:pos="106"/>
        </w:tabs>
        <w:spacing w:line="252" w:lineRule="auto"/>
      </w:pPr>
      <w:bookmarkStart w:id="212" w:name="bookmark212"/>
      <w:bookmarkEnd w:id="212"/>
      <w:r>
        <w:t>Al fabricante</w:t>
      </w:r>
    </w:p>
    <w:p w14:paraId="61A0A401" w14:textId="77777777" w:rsidR="0072615D" w:rsidRDefault="0072615D">
      <w:pPr>
        <w:pStyle w:val="Bodytext50"/>
        <w:framePr w:w="3629" w:h="811" w:wrap="none" w:hAnchor="page" w:x="3678" w:y="9290"/>
      </w:pPr>
      <w:r>
        <w:t>[16.| La vacuna se adquirió con:</w:t>
      </w:r>
    </w:p>
    <w:p w14:paraId="6AC0B47E" w14:textId="77777777" w:rsidR="0072615D" w:rsidRDefault="0072615D">
      <w:pPr>
        <w:pStyle w:val="Bodytext90"/>
        <w:framePr w:w="3629" w:h="811" w:wrap="none" w:hAnchor="page" w:x="3678" w:y="9290"/>
        <w:ind w:firstLine="160"/>
      </w:pPr>
      <w:r>
        <w:t>Fondos privados Fondos militares</w:t>
      </w:r>
    </w:p>
    <w:p w14:paraId="7DD948D2" w14:textId="77777777" w:rsidR="0072615D" w:rsidRDefault="0072615D">
      <w:pPr>
        <w:pStyle w:val="Bodytext90"/>
        <w:framePr w:w="3629" w:h="811" w:wrap="none" w:hAnchor="page" w:x="3678" w:y="9290"/>
      </w:pPr>
      <w:r>
        <w:t>□ Fondos públicos □ Otros/se desconoce</w:t>
      </w:r>
    </w:p>
    <w:p w14:paraId="13CB9495" w14:textId="77777777" w:rsidR="0072615D" w:rsidRDefault="0072615D">
      <w:pPr>
        <w:pStyle w:val="Bodytext50"/>
        <w:framePr w:w="3629" w:h="811" w:wrap="none" w:hAnchor="page" w:x="3678" w:y="9290"/>
        <w:ind w:left="160" w:hanging="160"/>
      </w:pPr>
      <w:r>
        <w:t>“Eãf Alergias preexistentes diagnosticadas por médicos, efectos congénitos, trastornos clínicos (especificar)</w:t>
      </w:r>
    </w:p>
    <w:p w14:paraId="040FC803" w14:textId="77777777" w:rsidR="0072615D" w:rsidRDefault="0072615D">
      <w:pPr>
        <w:pStyle w:val="Bodytext90"/>
        <w:framePr w:w="3230" w:h="461" w:wrap="none" w:hAnchor="page" w:x="457" w:y="10634"/>
        <w:spacing w:line="257" w:lineRule="auto"/>
      </w:pPr>
      <w:r>
        <w:rPr>
          <w:u w:val="single"/>
        </w:rPr>
        <w:t>|21.|</w:t>
      </w:r>
      <w:r>
        <w:t>Reacción adversa después de vacunaciones previas (revisar todas las válidas y especificar)</w:t>
      </w:r>
    </w:p>
    <w:p w14:paraId="6C78D130" w14:textId="77777777" w:rsidR="0072615D" w:rsidRDefault="0072615D">
      <w:pPr>
        <w:pStyle w:val="Bodytext90"/>
        <w:framePr w:w="3230" w:h="461" w:wrap="none" w:hAnchor="page" w:x="457" w:y="10634"/>
        <w:spacing w:line="209" w:lineRule="auto"/>
        <w:ind w:firstLine="980"/>
      </w:pPr>
      <w:r>
        <w:t>Reacción</w:t>
      </w:r>
    </w:p>
    <w:p w14:paraId="71FDFDD2" w14:textId="77777777" w:rsidR="0072615D" w:rsidRDefault="0072615D">
      <w:pPr>
        <w:pStyle w:val="Bodytext90"/>
        <w:framePr w:w="3230" w:h="461" w:wrap="none" w:hAnchor="page" w:x="457" w:y="10634"/>
        <w:spacing w:line="209" w:lineRule="auto"/>
        <w:ind w:firstLine="980"/>
      </w:pPr>
      <w:r>
        <w:t>adversa</w:t>
      </w:r>
    </w:p>
    <w:p w14:paraId="37FF43F8" w14:textId="77777777" w:rsidR="0072615D" w:rsidRDefault="0072615D">
      <w:pPr>
        <w:pStyle w:val="Bodytext90"/>
        <w:framePr w:w="840" w:h="398" w:wrap="none" w:hAnchor="page" w:x="486" w:y="11061"/>
        <w:numPr>
          <w:ilvl w:val="0"/>
          <w:numId w:val="29"/>
        </w:numPr>
        <w:tabs>
          <w:tab w:val="left" w:pos="139"/>
        </w:tabs>
        <w:spacing w:line="252" w:lineRule="auto"/>
      </w:pPr>
      <w:bookmarkStart w:id="213" w:name="bookmark213"/>
      <w:bookmarkEnd w:id="213"/>
      <w:r>
        <w:t>En el paciente</w:t>
      </w:r>
    </w:p>
    <w:p w14:paraId="56DF6379" w14:textId="77777777" w:rsidR="0072615D" w:rsidRDefault="0072615D">
      <w:pPr>
        <w:pStyle w:val="Bodytext90"/>
        <w:framePr w:w="840" w:h="398" w:wrap="none" w:hAnchor="page" w:x="486" w:y="11061"/>
        <w:numPr>
          <w:ilvl w:val="0"/>
          <w:numId w:val="29"/>
        </w:numPr>
        <w:tabs>
          <w:tab w:val="left" w:pos="154"/>
        </w:tabs>
        <w:spacing w:line="252" w:lineRule="auto"/>
      </w:pPr>
      <w:bookmarkStart w:id="214" w:name="bookmark214"/>
      <w:bookmarkEnd w:id="214"/>
      <w:r>
        <w:t>En hermano o hermana</w:t>
      </w:r>
    </w:p>
    <w:p w14:paraId="52F805C1" w14:textId="77777777" w:rsidR="0072615D" w:rsidRDefault="0072615D">
      <w:pPr>
        <w:pStyle w:val="Bodytext90"/>
        <w:framePr w:w="667" w:h="254" w:wrap="none" w:hAnchor="page" w:x="1955" w:y="10845"/>
        <w:spacing w:line="211" w:lineRule="auto"/>
      </w:pPr>
      <w:r>
        <w:t>Edad en que comenzó</w:t>
      </w:r>
    </w:p>
    <w:p w14:paraId="10018D11" w14:textId="77777777" w:rsidR="0072615D" w:rsidRDefault="0072615D">
      <w:pPr>
        <w:pStyle w:val="Bodytext90"/>
        <w:framePr w:w="394" w:h="250" w:wrap="none" w:hAnchor="page" w:x="2694" w:y="10845"/>
        <w:spacing w:line="211" w:lineRule="auto"/>
      </w:pPr>
      <w:r>
        <w:t>Tipo de vacuna</w:t>
      </w:r>
    </w:p>
    <w:p w14:paraId="268D7163" w14:textId="77777777" w:rsidR="0072615D" w:rsidRDefault="0072615D">
      <w:pPr>
        <w:pStyle w:val="Bodytext90"/>
        <w:framePr w:w="614" w:h="250" w:wrap="none" w:hAnchor="page" w:x="3198" w:y="10845"/>
        <w:spacing w:line="211" w:lineRule="auto"/>
      </w:pPr>
      <w:r>
        <w:t>No. de dosis en la serie</w:t>
      </w:r>
    </w:p>
    <w:p w14:paraId="1B439CE3" w14:textId="77777777" w:rsidR="0072615D" w:rsidRDefault="0072615D">
      <w:pPr>
        <w:pStyle w:val="Bodytext90"/>
        <w:framePr w:w="3523" w:h="1286" w:wrap="none" w:hAnchor="page" w:x="3812" w:y="10101"/>
        <w:jc w:val="center"/>
      </w:pPr>
      <w:r>
        <w:t>Sólo para niños de 5 años y menores</w:t>
      </w:r>
    </w:p>
    <w:p w14:paraId="0BE6739B" w14:textId="77777777" w:rsidR="0072615D" w:rsidRDefault="0072615D">
      <w:pPr>
        <w:pStyle w:val="Bodytext50"/>
        <w:framePr w:w="3523" w:h="1286" w:wrap="none" w:hAnchor="page" w:x="3812" w:y="10101"/>
        <w:spacing w:line="271" w:lineRule="auto"/>
        <w:jc w:val="both"/>
      </w:pPr>
      <w:r>
        <w:t>22. Peso neonatal kg No. de hermanos (as)</w:t>
      </w:r>
    </w:p>
    <w:p w14:paraId="22EDAB32" w14:textId="77777777" w:rsidR="0072615D" w:rsidRDefault="0072615D">
      <w:pPr>
        <w:pStyle w:val="Bodytext50"/>
        <w:framePr w:w="3523" w:h="1286" w:wrap="none" w:hAnchor="page" w:x="3812" w:y="10101"/>
        <w:spacing w:line="283" w:lineRule="auto"/>
        <w:jc w:val="both"/>
      </w:pPr>
      <w:r>
        <w:rPr>
          <w:sz w:val="10"/>
          <w:szCs w:val="10"/>
        </w:rPr>
        <w:t xml:space="preserve">Sólo para notificaciones enviadas por el fabricante/proyecto de vacunación </w:t>
      </w:r>
      <w:r>
        <w:t>24. Sólo para notificaciones enviadas por el fabricante/ proyecto de vacunación</w:t>
      </w:r>
    </w:p>
    <w:p w14:paraId="12CD6540" w14:textId="77777777" w:rsidR="0072615D" w:rsidRDefault="0072615D">
      <w:pPr>
        <w:pStyle w:val="Bodytext50"/>
        <w:framePr w:w="3523" w:h="1286" w:wrap="none" w:hAnchor="page" w:x="3812" w:y="10101"/>
        <w:tabs>
          <w:tab w:val="left" w:pos="845"/>
          <w:tab w:val="left" w:pos="2534"/>
          <w:tab w:val="left" w:leader="dot" w:pos="2846"/>
        </w:tabs>
        <w:spacing w:line="175" w:lineRule="auto"/>
        <w:ind w:firstLine="220"/>
      </w:pPr>
      <w:r>
        <w:t>¿Notificación a los 15 días? 27. Tipo de notificación □ Sí</w:t>
      </w:r>
      <w:r>
        <w:tab/>
        <w:t>DNo rzzr • • .</w:t>
      </w:r>
      <w:r>
        <w:tab/>
        <w:t>-</w:t>
      </w:r>
      <w:r>
        <w:tab/>
      </w:r>
    </w:p>
    <w:p w14:paraId="6CB1F1AF" w14:textId="77777777" w:rsidR="0072615D" w:rsidRDefault="0072615D">
      <w:pPr>
        <w:pStyle w:val="Bodytext50"/>
        <w:framePr w:w="1421" w:h="355" w:wrap="none" w:hAnchor="page" w:x="5511" w:y="10591"/>
        <w:spacing w:line="182" w:lineRule="auto"/>
      </w:pPr>
      <w:r>
        <w:rPr>
          <w:rFonts w:ascii="Times New Roman" w:eastAsia="Times New Roman" w:hAnsi="Times New Roman" w:cs="Times New Roman"/>
          <w:sz w:val="20"/>
          <w:szCs w:val="20"/>
        </w:rPr>
        <w:t xml:space="preserve">1251 </w:t>
      </w:r>
      <w:r>
        <w:t>Fecha recibida por el fabricante/ proyecto</w:t>
      </w:r>
    </w:p>
    <w:p w14:paraId="0191B193" w14:textId="77777777" w:rsidR="0072615D" w:rsidRDefault="0072615D">
      <w:pPr>
        <w:pStyle w:val="Bodytext50"/>
        <w:framePr w:w="461" w:h="163" w:wrap="none" w:hAnchor="page" w:x="5535" w:y="11224"/>
        <w:jc w:val="right"/>
      </w:pPr>
      <w:r>
        <w:t>□ Inicial</w:t>
      </w:r>
    </w:p>
    <w:p w14:paraId="4D561690" w14:textId="77777777" w:rsidR="0072615D" w:rsidRDefault="0072615D">
      <w:pPr>
        <w:pStyle w:val="Bodytext50"/>
        <w:framePr w:w="624" w:h="173" w:wrap="none" w:hAnchor="page" w:x="6433" w:y="11224"/>
        <w:jc w:val="right"/>
      </w:pPr>
      <w:r>
        <w:t>Vigilancia</w:t>
      </w:r>
    </w:p>
    <w:p w14:paraId="7AAC7B0F" w14:textId="77777777" w:rsidR="0072615D" w:rsidRDefault="0072615D">
      <w:pPr>
        <w:pStyle w:val="Bodytext90"/>
        <w:framePr w:w="6778" w:h="394" w:wrap="none" w:hAnchor="page" w:x="486" w:y="11483"/>
        <w:spacing w:line="252" w:lineRule="auto"/>
        <w:jc w:val="both"/>
      </w:pPr>
      <w:r>
        <w:t xml:space="preserve">La ley exige a los prestadores de servicios asistenciales y a los fabricantes (42 USC 300aa-25) que notifiquen las reacciones a las vacunas incluidas en la </w:t>
      </w:r>
      <w:r>
        <w:rPr>
          <w:i/>
          <w:iCs/>
        </w:rPr>
        <w:t>Table of Reportable Events Following Immunization</w:t>
      </w:r>
      <w:r>
        <w:t xml:space="preserve"> (Tabla de Hechos Notificables después de Vacunación). Los señalamientos de reacciones a otras vacunas son voluntarios excepto cuando se les exige como condición para conceder alguna subvención en programas de inmunización.</w:t>
      </w:r>
    </w:p>
    <w:p w14:paraId="45F9F791" w14:textId="77777777" w:rsidR="0072615D" w:rsidRDefault="0072615D">
      <w:pPr>
        <w:spacing w:line="360" w:lineRule="exact"/>
      </w:pPr>
    </w:p>
    <w:p w14:paraId="219B5F1A" w14:textId="77777777" w:rsidR="0072615D" w:rsidRDefault="0072615D">
      <w:pPr>
        <w:spacing w:line="360" w:lineRule="exact"/>
      </w:pPr>
    </w:p>
    <w:p w14:paraId="609C31B9" w14:textId="77777777" w:rsidR="0072615D" w:rsidRDefault="0072615D">
      <w:pPr>
        <w:spacing w:line="360" w:lineRule="exact"/>
      </w:pPr>
    </w:p>
    <w:p w14:paraId="632C78C5" w14:textId="77777777" w:rsidR="0072615D" w:rsidRDefault="0072615D">
      <w:pPr>
        <w:spacing w:line="360" w:lineRule="exact"/>
      </w:pPr>
    </w:p>
    <w:p w14:paraId="3C22135B" w14:textId="77777777" w:rsidR="0072615D" w:rsidRDefault="0072615D">
      <w:pPr>
        <w:spacing w:line="360" w:lineRule="exact"/>
      </w:pPr>
    </w:p>
    <w:p w14:paraId="024D5238" w14:textId="77777777" w:rsidR="0072615D" w:rsidRDefault="0072615D">
      <w:pPr>
        <w:spacing w:line="360" w:lineRule="exact"/>
      </w:pPr>
    </w:p>
    <w:p w14:paraId="6B57DEBF" w14:textId="77777777" w:rsidR="0072615D" w:rsidRDefault="0072615D">
      <w:pPr>
        <w:spacing w:line="360" w:lineRule="exact"/>
      </w:pPr>
    </w:p>
    <w:p w14:paraId="25092C44" w14:textId="77777777" w:rsidR="0072615D" w:rsidRDefault="0072615D">
      <w:pPr>
        <w:spacing w:line="360" w:lineRule="exact"/>
      </w:pPr>
    </w:p>
    <w:p w14:paraId="6BF4063D" w14:textId="77777777" w:rsidR="0072615D" w:rsidRDefault="0072615D">
      <w:pPr>
        <w:spacing w:line="360" w:lineRule="exact"/>
      </w:pPr>
    </w:p>
    <w:p w14:paraId="0BA054B0" w14:textId="77777777" w:rsidR="0072615D" w:rsidRDefault="0072615D">
      <w:pPr>
        <w:spacing w:line="360" w:lineRule="exact"/>
      </w:pPr>
    </w:p>
    <w:p w14:paraId="20DDA79A" w14:textId="77777777" w:rsidR="0072615D" w:rsidRDefault="0072615D">
      <w:pPr>
        <w:spacing w:line="360" w:lineRule="exact"/>
      </w:pPr>
    </w:p>
    <w:p w14:paraId="7273733E" w14:textId="77777777" w:rsidR="0072615D" w:rsidRDefault="0072615D">
      <w:pPr>
        <w:spacing w:line="360" w:lineRule="exact"/>
      </w:pPr>
    </w:p>
    <w:p w14:paraId="5219097C" w14:textId="77777777" w:rsidR="0072615D" w:rsidRDefault="0072615D">
      <w:pPr>
        <w:spacing w:line="360" w:lineRule="exact"/>
      </w:pPr>
    </w:p>
    <w:p w14:paraId="258DAC8B" w14:textId="77777777" w:rsidR="0072615D" w:rsidRDefault="0072615D">
      <w:pPr>
        <w:spacing w:line="360" w:lineRule="exact"/>
      </w:pPr>
    </w:p>
    <w:p w14:paraId="472129CF" w14:textId="77777777" w:rsidR="0072615D" w:rsidRDefault="0072615D">
      <w:pPr>
        <w:spacing w:line="360" w:lineRule="exact"/>
      </w:pPr>
    </w:p>
    <w:p w14:paraId="5E4DD7D1" w14:textId="77777777" w:rsidR="0072615D" w:rsidRDefault="0072615D">
      <w:pPr>
        <w:spacing w:line="360" w:lineRule="exact"/>
      </w:pPr>
    </w:p>
    <w:p w14:paraId="6B5D6329" w14:textId="77777777" w:rsidR="0072615D" w:rsidRDefault="0072615D">
      <w:pPr>
        <w:spacing w:line="360" w:lineRule="exact"/>
      </w:pPr>
    </w:p>
    <w:p w14:paraId="78B20DDB" w14:textId="77777777" w:rsidR="0072615D" w:rsidRDefault="0072615D">
      <w:pPr>
        <w:spacing w:line="360" w:lineRule="exact"/>
      </w:pPr>
    </w:p>
    <w:p w14:paraId="61CA9566" w14:textId="77777777" w:rsidR="0072615D" w:rsidRDefault="0072615D">
      <w:pPr>
        <w:spacing w:line="360" w:lineRule="exact"/>
      </w:pPr>
    </w:p>
    <w:p w14:paraId="33D25A39" w14:textId="77777777" w:rsidR="0072615D" w:rsidRDefault="0072615D">
      <w:pPr>
        <w:spacing w:line="360" w:lineRule="exact"/>
      </w:pPr>
    </w:p>
    <w:p w14:paraId="27DC1353" w14:textId="77777777" w:rsidR="0072615D" w:rsidRDefault="0072615D">
      <w:pPr>
        <w:spacing w:line="360" w:lineRule="exact"/>
      </w:pPr>
    </w:p>
    <w:p w14:paraId="40DE3018" w14:textId="77777777" w:rsidR="0072615D" w:rsidRDefault="0072615D">
      <w:pPr>
        <w:spacing w:line="360" w:lineRule="exact"/>
      </w:pPr>
    </w:p>
    <w:p w14:paraId="26E7D380" w14:textId="77777777" w:rsidR="0072615D" w:rsidRDefault="0072615D">
      <w:pPr>
        <w:spacing w:line="360" w:lineRule="exact"/>
      </w:pPr>
    </w:p>
    <w:p w14:paraId="26A9939E" w14:textId="77777777" w:rsidR="0072615D" w:rsidRDefault="0072615D">
      <w:pPr>
        <w:spacing w:line="360" w:lineRule="exact"/>
      </w:pPr>
    </w:p>
    <w:p w14:paraId="5290DE21" w14:textId="77777777" w:rsidR="0072615D" w:rsidRDefault="0072615D">
      <w:pPr>
        <w:spacing w:line="360" w:lineRule="exact"/>
      </w:pPr>
    </w:p>
    <w:p w14:paraId="1AA667A4" w14:textId="77777777" w:rsidR="0072615D" w:rsidRDefault="0072615D">
      <w:pPr>
        <w:spacing w:line="360" w:lineRule="exact"/>
      </w:pPr>
    </w:p>
    <w:p w14:paraId="7CE2B546" w14:textId="77777777" w:rsidR="0072615D" w:rsidRDefault="0072615D">
      <w:pPr>
        <w:spacing w:line="360" w:lineRule="exact"/>
      </w:pPr>
    </w:p>
    <w:p w14:paraId="20512F33" w14:textId="77777777" w:rsidR="0072615D" w:rsidRDefault="0072615D">
      <w:pPr>
        <w:spacing w:line="360" w:lineRule="exact"/>
      </w:pPr>
    </w:p>
    <w:p w14:paraId="658C793D" w14:textId="77777777" w:rsidR="0072615D" w:rsidRDefault="0072615D">
      <w:pPr>
        <w:spacing w:line="360" w:lineRule="exact"/>
      </w:pPr>
    </w:p>
    <w:p w14:paraId="5913FE76" w14:textId="77777777" w:rsidR="0072615D" w:rsidRDefault="0072615D">
      <w:pPr>
        <w:spacing w:line="360" w:lineRule="exact"/>
      </w:pPr>
    </w:p>
    <w:p w14:paraId="6F15E4E2" w14:textId="77777777" w:rsidR="0072615D" w:rsidRDefault="0072615D">
      <w:pPr>
        <w:spacing w:line="360" w:lineRule="exact"/>
      </w:pPr>
    </w:p>
    <w:p w14:paraId="35FAA125" w14:textId="77777777" w:rsidR="0072615D" w:rsidRDefault="0072615D">
      <w:pPr>
        <w:spacing w:after="637" w:line="1" w:lineRule="exact"/>
      </w:pPr>
    </w:p>
    <w:p w14:paraId="6B04E9C5" w14:textId="77777777" w:rsidR="0072615D" w:rsidRDefault="0072615D">
      <w:pPr>
        <w:spacing w:line="1" w:lineRule="exact"/>
        <w:sectPr w:rsidR="0072615D" w:rsidSect="0072615D">
          <w:footnotePr>
            <w:numFmt w:val="chicago"/>
          </w:footnotePr>
          <w:pgSz w:w="8501" w:h="13022"/>
          <w:pgMar w:top="700" w:right="1056" w:bottom="446" w:left="427" w:header="0" w:footer="3" w:gutter="0"/>
          <w:cols w:space="720"/>
          <w:noEndnote/>
          <w:docGrid w:linePitch="360"/>
          <w15:footnoteColumns w:val="1"/>
        </w:sectPr>
      </w:pPr>
    </w:p>
    <w:p w14:paraId="368928E5" w14:textId="77777777" w:rsidR="0072615D" w:rsidRDefault="0072615D">
      <w:pPr>
        <w:pStyle w:val="BodyText"/>
        <w:spacing w:after="220"/>
        <w:ind w:firstLine="0"/>
      </w:pPr>
      <w:r>
        <w:t>RED DE EVALUACIÓN DE LA SEGURIDAD DE LA INMUNIZACIÓN CLÍNICA</w:t>
      </w:r>
    </w:p>
    <w:p w14:paraId="46F2BC9F" w14:textId="77777777" w:rsidR="0072615D" w:rsidRDefault="0072615D">
      <w:pPr>
        <w:pStyle w:val="BodyText"/>
        <w:ind w:firstLine="0"/>
      </w:pPr>
      <w:r>
        <w:t xml:space="preserve">Rara vez en investigaciones clínicas surgen reacciones adversas clínicamente significativas después de vacunaciones, y por ello los profesionales asistenciales se topan muy pocas veces con tales situaciones como para poder hacer una evaluación y tratamiento estandarizados. La red de Evaluación de la Seguridad de la Inmunización Clínica </w:t>
      </w:r>
      <w:r>
        <w:rPr>
          <w:i/>
          <w:iCs/>
        </w:rPr>
        <w:t>(</w:t>
      </w:r>
      <w:r>
        <w:rPr>
          <w:rFonts w:ascii="Times New Roman" w:eastAsia="Times New Roman" w:hAnsi="Times New Roman" w:cs="Times New Roman"/>
          <w:i/>
          <w:iCs/>
          <w:sz w:val="16"/>
          <w:szCs w:val="16"/>
        </w:rPr>
        <w:t>Clinical Immunization Safety Assessment</w:t>
      </w:r>
      <w:r>
        <w:rPr>
          <w:i/>
          <w:iCs/>
        </w:rPr>
        <w:t>,</w:t>
      </w:r>
      <w:r>
        <w:t xml:space="preserve"> CISA) fue establecida en 2001 para valorar notificaciones de pacientes individuales que a su parecer sufrieron una reacción adversa grave después de ser vacunados. Los objetivos básicos de dicha red incluyen elaborar protocolos para la valoración clínica inicial y el tratamiento de reacciones adversas por vacunas; ampliar los conocimientos de las reacciones adversas a nivel individual, que incluya identificar los factores genéticos y de otro tipo de riesgos que pudieran predisponer a la personas a las reacciones; y servir como un centro de envío regional a profesionales asistenciales y al público sobre dudas en cuanto a la inocuidad de las vacunas en seres humanos.</w:t>
      </w:r>
    </w:p>
    <w:p w14:paraId="693AFB06" w14:textId="77777777" w:rsidR="0072615D" w:rsidRDefault="0072615D">
      <w:pPr>
        <w:pStyle w:val="BodyText"/>
        <w:spacing w:after="220"/>
        <w:ind w:firstLine="360"/>
      </w:pPr>
      <w:r>
        <w:t>La red CISA se encargará de orientar a clínicos de atención primaria sobre la valoración y el tratamiento de reacciones adversas después de las vacunaciones; la tarea anterior se logra mediante consulta telefónica, o es posible enviar a los pacientes a un centro para una valoración más detallada y así generar series de notificaciones de reacciones graves después de la vacunación. Los resultados de las valoraciones permitirán conocer mejor la forma en que las reacciones pueden surgir y elaborar protocolos o directrices para los profesionales asistenciales, que ayuden al tratamiento de otros pacientes en situaciones similares. Además, los centros de la red CISA constituirán fuentes de información a nivel nacional, a los cuales pueden canalizarse las dudas sobre la inocuidad de las vacunas en seres humanos. La información actual sobre la red comentada se obtiene en (</w:t>
      </w:r>
      <w:hyperlink r:id="rId132" w:history="1">
        <w:r>
          <w:t>www.partnersforimmunization.org/cisa.pdf</w:t>
        </w:r>
      </w:hyperlink>
      <w:r>
        <w:t>).</w:t>
      </w:r>
    </w:p>
    <w:p w14:paraId="16BCF82A" w14:textId="77777777" w:rsidR="0072615D" w:rsidRDefault="0072615D">
      <w:pPr>
        <w:pStyle w:val="BodyText"/>
        <w:ind w:firstLine="0"/>
      </w:pPr>
      <w:r>
        <w:t>PROYECTO DE ENLACE DE DATOS SOBRE LA INOCUIDAD</w:t>
      </w:r>
    </w:p>
    <w:p w14:paraId="6A8914B5" w14:textId="77777777" w:rsidR="0072615D" w:rsidRDefault="0072615D">
      <w:pPr>
        <w:pStyle w:val="BodyText"/>
        <w:spacing w:after="220"/>
        <w:ind w:firstLine="0"/>
      </w:pPr>
      <w:r>
        <w:t>DE LAS VACUNAS</w:t>
      </w:r>
    </w:p>
    <w:p w14:paraId="27EC5F76" w14:textId="77777777" w:rsidR="0072615D" w:rsidRDefault="0072615D">
      <w:pPr>
        <w:pStyle w:val="BodyText"/>
        <w:ind w:firstLine="0"/>
      </w:pPr>
      <w:r>
        <w:t xml:space="preserve">Para complementar el programa VAERS, que constituye más bien un sistema de vigilancia pasiva, los CDC establecieron colaboraciones con algunas de las grandes organizaciones de conservación de la salud para elaborar un proyecto de Enlace de Datos sobre Inocuidad de las Vacunas </w:t>
      </w:r>
      <w:r>
        <w:rPr>
          <w:i/>
          <w:iCs/>
        </w:rPr>
        <w:t>(</w:t>
      </w:r>
      <w:r>
        <w:rPr>
          <w:rFonts w:ascii="Times New Roman" w:eastAsia="Times New Roman" w:hAnsi="Times New Roman" w:cs="Times New Roman"/>
          <w:i/>
          <w:iCs/>
          <w:sz w:val="16"/>
          <w:szCs w:val="16"/>
        </w:rPr>
        <w:t>Vaccine Safety Datalink</w:t>
      </w:r>
      <w:r>
        <w:rPr>
          <w:i/>
          <w:iCs/>
        </w:rPr>
        <w:t>,</w:t>
      </w:r>
      <w:r>
        <w:t xml:space="preserve"> VSD), que constituiría un sistema de vigilancia activo para valorar de manera continua este punto. El proyecto en cuestión incluye datos de más de 10 millones de personas. Se hace una revisión y vigilancia de los registros médicos de la población de estudio en busca de posibles reacciones adversas como consecuencia de la vacunación. El proyecto VSD incorpora estudios planeados de inocuidad, así como investigaciones puntuales de las inquietudes que van surgiendo al respecto. Se ha corroborado que es acertado el concepto de VSD de valorar la inocuidad de las vacunas; en dicha investigación se han obtenido datos también de vínculos sabidos entre las convulsiones por fiebre y la vacunación con DTP (día de la vacunación) y con la vacuna triple (días ocho a 14 después de las vacunas). Entre los hallazgos nuevos y notables obtenidos de estudios completos están: 1) no se halló vínculo alguno entre la vacuna triple y una mayor aparición de artropatía crónica en mujeres; 2) la aplicación de la cepa (derivada de Jeryl Lynn) de la vacuna contra el virus de parotiditis, en la vacuna triple, no se acompañó de un mayor peligro de meningitis aséptica; 3) la segunda dosis de la vacuna triple generó una mayor frecuencia de reacciones adversas en niños de 10 a 12 años que en niños de cuatro a seis años;</w:t>
      </w:r>
    </w:p>
    <w:p w14:paraId="32170770" w14:textId="77777777" w:rsidR="0072615D" w:rsidRDefault="0072615D">
      <w:pPr>
        <w:pStyle w:val="BodyText"/>
        <w:numPr>
          <w:ilvl w:val="0"/>
          <w:numId w:val="30"/>
        </w:numPr>
        <w:tabs>
          <w:tab w:val="left" w:pos="284"/>
        </w:tabs>
        <w:ind w:firstLine="0"/>
      </w:pPr>
      <w:bookmarkStart w:id="215" w:name="bookmark215"/>
      <w:bookmarkEnd w:id="215"/>
      <w:r>
        <w:t>la aplicación de la vacuna triple no agrava el peligro de enteropatía inflamatoria;</w:t>
      </w:r>
    </w:p>
    <w:p w14:paraId="388517CC" w14:textId="77777777" w:rsidR="0072615D" w:rsidRDefault="0072615D">
      <w:pPr>
        <w:pStyle w:val="BodyText"/>
        <w:numPr>
          <w:ilvl w:val="0"/>
          <w:numId w:val="30"/>
        </w:numPr>
        <w:tabs>
          <w:tab w:val="left" w:pos="294"/>
        </w:tabs>
        <w:spacing w:after="220"/>
        <w:ind w:firstLine="0"/>
      </w:pPr>
      <w:bookmarkStart w:id="216" w:name="bookmark216"/>
      <w:bookmarkEnd w:id="216"/>
      <w:r>
        <w:t>la vacunación no se acompañó de diabetes mellitus y 6) a pesar de que en raras ocasiones hubo un vínculo de las convulsiones por fiebre con la aplicación de la vacuna DTP y la triple, dichas convulsiones no conllevaron consecuencias adversas de largo plazo. Están en marcha otros estudios para valorar el peligro de esclerosis múltiple después de la aplicación de la vacuna contra hepatitis B, el riesgo de artritis reumatoide después de recibir la misma vacuna y también de otras cuestiones de inocuidad con tales productos.</w:t>
      </w:r>
    </w:p>
    <w:p w14:paraId="64EECB38" w14:textId="77777777" w:rsidR="0072615D" w:rsidRDefault="0072615D">
      <w:pPr>
        <w:pStyle w:val="BodyText"/>
        <w:spacing w:after="220"/>
        <w:ind w:firstLine="0"/>
      </w:pPr>
      <w:r>
        <w:t>INICIATIVA DE ESTÁNDARES DE IDENTIFICACIÓN DE VACUNAS</w:t>
      </w:r>
    </w:p>
    <w:p w14:paraId="37F70294" w14:textId="77777777" w:rsidR="0072615D" w:rsidRDefault="0072615D">
      <w:pPr>
        <w:pStyle w:val="BodyText"/>
        <w:spacing w:after="220" w:line="271" w:lineRule="auto"/>
        <w:ind w:firstLine="0"/>
      </w:pPr>
      <w:r>
        <w:t xml:space="preserve">La iniciativa en cuestión </w:t>
      </w:r>
      <w:r>
        <w:rPr>
          <w:i/>
          <w:iCs/>
        </w:rPr>
        <w:t>(</w:t>
      </w:r>
      <w:r>
        <w:rPr>
          <w:rFonts w:ascii="Times New Roman" w:eastAsia="Times New Roman" w:hAnsi="Times New Roman" w:cs="Times New Roman"/>
          <w:i/>
          <w:iCs/>
          <w:sz w:val="16"/>
          <w:szCs w:val="16"/>
        </w:rPr>
        <w:t>Vaccine Identification Standards Initiative</w:t>
      </w:r>
      <w:r>
        <w:rPr>
          <w:i/>
          <w:iCs/>
        </w:rPr>
        <w:t>,</w:t>
      </w:r>
      <w:r>
        <w:t xml:space="preserve"> VISI) es un intento voluntario de varias instituciones participantes en el sistema de vacunación estadounidense de mejorar la exactitud y comodidad de transferir información identificadora de la etiqueta de los fabricantes a los registros clínicos, y también auxiliar en los registros de vacunación y otros sistemas de archivo y conservación de datos. En coordinación con los CDC a través de diversos enlaces, con organizaciones profesionales de médicos y enfermeras, fabricantes de vacunas, coordinadores de programas de vacunación local y estatal, FDA, organizaciones profesionales asistenciales, la industria del código de barras, organizaciones de normas internacionales y otras partes interesadas, la VISI ha planteado directrices para el empacado y los señalamientos farmacológicos en la etiqueta de vacunas y así facilitar el cumplimiento de la exigencia legal para quienes se ocupan de las vacunaciones de registrar la identidad y el número de lote de la vacuna aplicada a los pacientes. Los datos mejoran los sistemas de monitorización de cohorte pasivo y activo (véase antes en esta sección “Notificación de reacciones adversas”) para la detección y el estudio de reacciones adversas después de la vacunación. También simplifican la participación en registros de vacunación y permiten estudios y encuestas de la protección con estas técnicas y el cálculo de las cifras de eficacia caso/testigo de vacunas en caso de brotes de enfermedades. Los componentes de VISI incluyen: 1) disminuir el tamaño de los códigos de barras en la identidad de las vacunas, el número de lote y fecha de caducidad en los frasquitos (o ampolletas) y jeringuillas precargadas; 2) etiquetas desprendibles (triplicada por dosis) en los frasquitos y jeringuillas para que las puedan utilizar quienes aplican las jeringas y los distribuidores sin equipo de escáner o prácticas computadorizadas para capturar datos y consignarlos en los expedientes clínicos; formas de notificación a registros y “pasaporte de vacunación” personales (las etiquetas con código de barras también incluirían información equivalente de fácil lectura); 3) barras laterales con hechos sobre vacunas en cajitas con las vacunas para agrupar información esencial para los prestadores de servicios en un formato estandarizado para todos los fabricantes; 4) abreviaturas estandarizadas sobre tipos de vacunas y fabricantes para utilizar en etiquetas pequeñas; 5) una forma de aplicación uniforme de la vacuna que acepta tales etiquetas y 6) una base de datos en la red para convertir el </w:t>
      </w:r>
      <w:r>
        <w:rPr>
          <w:rFonts w:ascii="Times New Roman" w:eastAsia="Times New Roman" w:hAnsi="Times New Roman" w:cs="Times New Roman"/>
          <w:i/>
          <w:iCs/>
          <w:sz w:val="16"/>
          <w:szCs w:val="16"/>
        </w:rPr>
        <w:t>National Drug Code</w:t>
      </w:r>
      <w:r>
        <w:t xml:space="preserve"> (NDC) que está en el empaque de todas las vacunas y códigos de barras en una sola información sobre el fabricante, tipo de producto y volumen del empaque, y viceversa. En 2002 en Estados Unidos la FDA anunció haber evolucionado en la elaboración de normas que obligarían al uso de los códigos de barras en todos los empaques de fármacos con dosis unitarias, incluidas las vacunas para disminuir los errores médicos por medio de escáner en el punto de administración en hospitales y otros sitios. Se cuenta con más información sobre VISI en la Web (</w:t>
      </w:r>
      <w:hyperlink r:id="rId133" w:history="1">
        <w:r>
          <w:t>www.cdc.gov/nip/visi</w:t>
        </w:r>
      </w:hyperlink>
      <w:r>
        <w:t>), donde se podrán obtener borradores de las directrices cuando estén listas para comentarios públicos y promulgación final.</w:t>
      </w:r>
    </w:p>
    <w:p w14:paraId="1A2ABC70" w14:textId="77777777" w:rsidR="0072615D" w:rsidRDefault="0072615D">
      <w:pPr>
        <w:pStyle w:val="BodyText"/>
        <w:spacing w:after="220"/>
        <w:ind w:firstLine="0"/>
      </w:pPr>
      <w:r>
        <w:t>COMPENSACIÓN POR DAÑOS CAUSADOS POR LA VACUNACIÓN</w:t>
      </w:r>
    </w:p>
    <w:p w14:paraId="748BD1E7" w14:textId="77777777" w:rsidR="0072615D" w:rsidRDefault="0072615D">
      <w:pPr>
        <w:pStyle w:val="BodyText"/>
        <w:ind w:firstLine="0"/>
      </w:pPr>
      <w:r>
        <w:t>El programa con ese nombre es un sistema infalible en que los interesados pueden solicitar compensación si a su parecer han sufrido algún daño o se considera que un miembro de la familia falleció como resultado de la administración de una vacuna que forma parte de los programas. Las reclamaciones deben iniciarse en término de 36 meses de haber surgido el primer síntoma después de la vacunación y las reclamaciones por fallecimiento se harán en 24 meses de la muerte y en término de 48 meses de haber comenzado el daño supuestamente vinculado con la vacuna y que culminó en la muerte. Las reclamaciones que surgen dentro de programas de vacunas protectoras deben recibirse a través del programa antes de intentar un litigio civil. El programa en cuestión, creado como alternativa de los litigios civiles y que funciona desde 1988, ha disminuido el número de demandas legales contra profesionales asistenciales y fabricantes de vacunas y ha permitido asegurar un abasto estable de estos productos y también un mercado en que se puede tener acceso a compensaciones por daños y muerte causados por vacunas.</w:t>
      </w:r>
    </w:p>
    <w:p w14:paraId="3300741E" w14:textId="77777777" w:rsidR="0072615D" w:rsidRDefault="0072615D">
      <w:pPr>
        <w:pStyle w:val="BodyText"/>
        <w:ind w:firstLine="360"/>
      </w:pPr>
      <w:r>
        <w:t xml:space="preserve">El programa de compensaciones se basa en la Tabla de Daños por Vacunas </w:t>
      </w:r>
      <w:r>
        <w:rPr>
          <w:i/>
          <w:iCs/>
        </w:rPr>
        <w:t>([</w:t>
      </w:r>
      <w:r>
        <w:rPr>
          <w:rFonts w:ascii="Times New Roman" w:eastAsia="Times New Roman" w:hAnsi="Times New Roman" w:cs="Times New Roman"/>
          <w:i/>
          <w:iCs/>
          <w:sz w:val="16"/>
          <w:szCs w:val="16"/>
        </w:rPr>
        <w:t>vaccine injury table</w:t>
      </w:r>
      <w:r>
        <w:rPr>
          <w:i/>
          <w:iCs/>
        </w:rPr>
        <w:t>,</w:t>
      </w:r>
      <w:r>
        <w:t xml:space="preserve"> VIT] [véase el apéndice IV]) que incluye las vacunas consideradas dentro del programa y también daños, discapacidades, enfermedades y cuadros (incluido el fallecimiento) por los que se concede alguna compensación. VIT define el lapso en el cual deben aparecer después de la vacuna los primeros síntomas o agravamiento importante de la lesión. Si se corrobora que hubo una lesión o daño incluidos dentro de VIT, los demandantes reciben una “presunción legal de causalidad” y con ello se ahorra la necesidad de probar la causa en un proceso individual. Si la reclamación es por trastornos no incluidos en VIT, los demandantes pueden intensificar sus gestiones si comprueban que fue la causa del daño. Toda vacuna recomendada por los CDC para empleo sistemático en niños y a la cual el Congreso ha asignado un impuesto indirecto por el consumo llena los requisitos para quedar integrada dentro |del programa de protección.</w:t>
      </w:r>
    </w:p>
    <w:p w14:paraId="33737DA3" w14:textId="77777777" w:rsidR="0072615D" w:rsidRDefault="0072615D">
      <w:pPr>
        <w:pStyle w:val="BodyText"/>
        <w:ind w:firstLine="360"/>
      </w:pPr>
      <w:r>
        <w:t xml:space="preserve">Pueden obtenerse más datos sobre el </w:t>
      </w:r>
      <w:r>
        <w:rPr>
          <w:rFonts w:ascii="Times New Roman" w:eastAsia="Times New Roman" w:hAnsi="Times New Roman" w:cs="Times New Roman"/>
          <w:i/>
          <w:iCs/>
          <w:sz w:val="16"/>
          <w:szCs w:val="16"/>
        </w:rPr>
        <w:t xml:space="preserve">National Vaccine Injury Compensation Program </w:t>
      </w:r>
      <w:r>
        <w:t>y el VIT, en los sitios y direcciones siguientes:</w:t>
      </w:r>
    </w:p>
    <w:p w14:paraId="70A7AEC7" w14:textId="77777777" w:rsidR="0072615D" w:rsidRDefault="0072615D">
      <w:pPr>
        <w:pStyle w:val="Bodytext20"/>
        <w:spacing w:after="220" w:line="314" w:lineRule="auto"/>
        <w:ind w:left="360"/>
        <w:jc w:val="both"/>
      </w:pPr>
      <w:r>
        <w:rPr>
          <w:i/>
          <w:iCs/>
        </w:rPr>
        <w:t>National Vaccine Compensation Program Division of Vaccine Injury Compensation Health Resources and Services Administration</w:t>
      </w:r>
    </w:p>
    <w:p w14:paraId="6BE8FCF4" w14:textId="77777777" w:rsidR="0072615D" w:rsidRDefault="0072615D">
      <w:pPr>
        <w:pStyle w:val="Bodytext20"/>
        <w:tabs>
          <w:tab w:val="left" w:pos="3682"/>
        </w:tabs>
        <w:spacing w:line="314" w:lineRule="auto"/>
        <w:ind w:firstLine="360"/>
      </w:pPr>
      <w:r>
        <w:rPr>
          <w:i/>
          <w:iCs/>
        </w:rPr>
        <w:t>Servicio diurno</w:t>
      </w:r>
      <w:r>
        <w:rPr>
          <w:i/>
          <w:iCs/>
        </w:rPr>
        <w:tab/>
        <w:t>Servicio nocturno</w:t>
      </w:r>
    </w:p>
    <w:p w14:paraId="643D15CC" w14:textId="77777777" w:rsidR="0072615D" w:rsidRDefault="0072615D">
      <w:pPr>
        <w:pStyle w:val="BodyText"/>
        <w:tabs>
          <w:tab w:val="left" w:pos="3682"/>
        </w:tabs>
        <w:ind w:firstLine="360"/>
      </w:pPr>
      <w:r>
        <w:t>Parklawn Building</w:t>
      </w:r>
      <w:r>
        <w:tab/>
        <w:t>East West Towers Building</w:t>
      </w:r>
    </w:p>
    <w:p w14:paraId="167A2860" w14:textId="77777777" w:rsidR="0072615D" w:rsidRDefault="0072615D">
      <w:pPr>
        <w:pStyle w:val="BodyText"/>
        <w:tabs>
          <w:tab w:val="left" w:pos="3682"/>
        </w:tabs>
        <w:ind w:firstLine="360"/>
      </w:pPr>
      <w:r>
        <w:t>5600 Fishers Lane</w:t>
      </w:r>
      <w:r>
        <w:tab/>
        <w:t>4350 East West Highway, 10th Floor</w:t>
      </w:r>
    </w:p>
    <w:p w14:paraId="676BA89D" w14:textId="77777777" w:rsidR="0072615D" w:rsidRDefault="0072615D">
      <w:pPr>
        <w:pStyle w:val="BodyText"/>
        <w:tabs>
          <w:tab w:val="left" w:pos="3682"/>
        </w:tabs>
        <w:ind w:firstLine="360"/>
      </w:pPr>
      <w:r>
        <w:t>Rockville, MD 20857</w:t>
      </w:r>
      <w:r>
        <w:tab/>
        <w:t>Bethesda, MD 20814</w:t>
      </w:r>
    </w:p>
    <w:p w14:paraId="283082A7" w14:textId="77777777" w:rsidR="0072615D" w:rsidRDefault="0072615D">
      <w:pPr>
        <w:pStyle w:val="BodyText"/>
        <w:ind w:firstLine="360"/>
      </w:pPr>
      <w:r>
        <w:t>Teléfono: 800-338-2382</w:t>
      </w:r>
    </w:p>
    <w:p w14:paraId="6810FE8E" w14:textId="77777777" w:rsidR="0072615D" w:rsidRDefault="0072615D">
      <w:pPr>
        <w:pStyle w:val="BodyText"/>
        <w:ind w:firstLine="360"/>
      </w:pPr>
      <w:r>
        <w:t xml:space="preserve">Sitio Web: </w:t>
      </w:r>
      <w:hyperlink r:id="rId134" w:history="1">
        <w:r>
          <w:t>www.hrsa.gov/osp/vicp</w:t>
        </w:r>
      </w:hyperlink>
    </w:p>
    <w:p w14:paraId="6F028F22" w14:textId="77777777" w:rsidR="0072615D" w:rsidRDefault="0072615D">
      <w:pPr>
        <w:pStyle w:val="BodyText"/>
        <w:spacing w:after="220"/>
        <w:ind w:firstLine="360"/>
      </w:pPr>
      <w:r>
        <w:t>Las personas que deseen entablar una demanda por daños causados por vacunas deben telefonear o solicitarlo a la dirección siguiente:</w:t>
      </w:r>
    </w:p>
    <w:p w14:paraId="503A0DBA" w14:textId="77777777" w:rsidR="0072615D" w:rsidRDefault="0072615D">
      <w:pPr>
        <w:pStyle w:val="Bodytext20"/>
        <w:spacing w:line="240" w:lineRule="auto"/>
        <w:ind w:firstLine="380"/>
      </w:pPr>
      <w:r>
        <w:rPr>
          <w:i/>
          <w:iCs/>
        </w:rPr>
        <w:t>United States Court of Federal Claims</w:t>
      </w:r>
    </w:p>
    <w:p w14:paraId="5E2D7481" w14:textId="77777777" w:rsidR="0072615D" w:rsidRDefault="0072615D">
      <w:pPr>
        <w:pStyle w:val="BodyText"/>
        <w:ind w:firstLine="380"/>
      </w:pPr>
      <w:r>
        <w:t>717 Madison Place NW</w:t>
      </w:r>
    </w:p>
    <w:p w14:paraId="10DB7433" w14:textId="77777777" w:rsidR="0072615D" w:rsidRDefault="0072615D">
      <w:pPr>
        <w:pStyle w:val="BodyText"/>
        <w:ind w:firstLine="380"/>
      </w:pPr>
      <w:r>
        <w:t>Washington, DC 20005-1011</w:t>
      </w:r>
    </w:p>
    <w:p w14:paraId="4E057B41" w14:textId="77777777" w:rsidR="0072615D" w:rsidRDefault="0072615D">
      <w:pPr>
        <w:pStyle w:val="BodyText"/>
        <w:spacing w:after="220"/>
        <w:ind w:firstLine="380"/>
      </w:pPr>
      <w:r>
        <w:t>Teléfono: 202-219-9657</w:t>
      </w:r>
    </w:p>
    <w:p w14:paraId="43564554" w14:textId="77777777" w:rsidR="0072615D" w:rsidRDefault="0072615D">
      <w:pPr>
        <w:pStyle w:val="BodyText"/>
        <w:spacing w:after="220"/>
        <w:ind w:firstLine="0"/>
      </w:pPr>
      <w:r>
        <w:t>PRECAUCIONES Y CONTRAINDICACIONES</w:t>
      </w:r>
    </w:p>
    <w:p w14:paraId="5FAE83C0" w14:textId="77777777" w:rsidR="0072615D" w:rsidRDefault="0072615D">
      <w:pPr>
        <w:pStyle w:val="BodyText"/>
        <w:ind w:firstLine="0"/>
      </w:pPr>
      <w:r>
        <w:t>Las precauciones y las contraindicaciones de las vacunaciones se describen en capítulos específicos de enfermedades evitables con vacunas. Se define a una contraindicación como una situación en que no debe administrarse tal producto. A diferencia de ello, una precaución especifica una situación en que pudiera estar indicada la vacuna si después de una valoración cuidadosa se considera que el beneficio de la vacunación para la persona es mayor que el riesgo de complicaciones. Las contraindicaciones y las precauciones deben ser genéricas, válidas para todas las vacunas, o específicas a una o más de ellas.</w:t>
      </w:r>
    </w:p>
    <w:p w14:paraId="45014D98" w14:textId="77777777" w:rsidR="0072615D" w:rsidRDefault="0072615D">
      <w:pPr>
        <w:pStyle w:val="BodyText"/>
        <w:spacing w:line="276" w:lineRule="auto"/>
        <w:ind w:firstLine="380"/>
      </w:pPr>
      <w:r>
        <w:rPr>
          <w:rFonts w:ascii="Times New Roman" w:eastAsia="Times New Roman" w:hAnsi="Times New Roman" w:cs="Times New Roman"/>
          <w:b/>
          <w:bCs/>
          <w:i/>
          <w:iCs/>
          <w:sz w:val="16"/>
          <w:szCs w:val="16"/>
        </w:rPr>
        <w:t>Las enfermedades poco graves con fiebre o sin ella no constituyen contraindicación para la vacunación.</w:t>
      </w:r>
      <w:r>
        <w:t xml:space="preserve"> Casi todas las vacunas se destinan para usarse en personas sanas o en aquellas cuya enfermedad o cuadros no son modificados por la vacunación. En aras de la máxima seguridad no deben utilizarse si alguna reacción adversa a ellas puede agravar en grado notable alguna enfermedad primaria o ser confundida con ella. La mayoría de las pruebas no señalan un mayor peligro de que surjan versiones adversas o disminuya su eficacia, cuando se aplica la vacuna durante una enfermedad de poca gravedad con fiebre o sin ella (38°C o más de temperatura corporal). Si se difiere la vacunación en tales situaciones, se pierden oportunidades de inmunización y el resultado frecuente es que no se vacune o se vacune en forma inadecuada a niños que pudieran desarrollar o transmitir enfermedades evitables por las vacunas.</w:t>
      </w:r>
    </w:p>
    <w:p w14:paraId="5E0A88D3" w14:textId="77777777" w:rsidR="0072615D" w:rsidRDefault="0072615D">
      <w:pPr>
        <w:pStyle w:val="BodyText"/>
        <w:spacing w:line="276" w:lineRule="auto"/>
        <w:ind w:firstLine="380"/>
      </w:pPr>
      <w:r>
        <w:rPr>
          <w:rFonts w:ascii="Times New Roman" w:eastAsia="Times New Roman" w:hAnsi="Times New Roman" w:cs="Times New Roman"/>
          <w:b/>
          <w:bCs/>
          <w:i/>
          <w:iCs/>
          <w:sz w:val="16"/>
          <w:szCs w:val="16"/>
        </w:rPr>
        <w:t>La fiebre en sí misma no es una contraindicación para la vacunación.</w:t>
      </w:r>
      <w:r>
        <w:t xml:space="preserve"> En el caso del niño con un cuadro febril agudo (38°C o más de temperatura corporal), las directrices para la vacunación se basan en la valoración que el médico haga de la enfermedad del menor y las vacunas específicas programadas para él. Sin embargo, si la fiebre u otras manifestaciones sugieren una enfermedad moderadamente grave o grave, no se vacunará al niño hasta que se recupere de ella. A continuación algunas recomendaciones específicas:</w:t>
      </w:r>
    </w:p>
    <w:p w14:paraId="552FE0DD" w14:textId="77777777" w:rsidR="0072615D" w:rsidRDefault="0072615D">
      <w:pPr>
        <w:pStyle w:val="BodyText"/>
        <w:numPr>
          <w:ilvl w:val="0"/>
          <w:numId w:val="31"/>
        </w:numPr>
        <w:tabs>
          <w:tab w:val="left" w:pos="346"/>
        </w:tabs>
        <w:ind w:left="380" w:hanging="380"/>
      </w:pPr>
      <w:bookmarkStart w:id="217" w:name="bookmark217"/>
      <w:bookmarkEnd w:id="217"/>
      <w:r>
        <w:rPr>
          <w:rFonts w:ascii="Times New Roman" w:eastAsia="Times New Roman" w:hAnsi="Times New Roman" w:cs="Times New Roman"/>
          <w:b/>
          <w:bCs/>
          <w:i/>
          <w:iCs/>
          <w:sz w:val="16"/>
          <w:szCs w:val="16"/>
        </w:rPr>
        <w:t>Vicunas de virus vivos.</w:t>
      </w:r>
      <w:r>
        <w:t xml:space="preserve"> La presencia de enfermedades de vías respiratorias o gastrointestinales, u otros cuadros poco intensos, con fiebre o sin ella, no constituye contraindicación para el uso de vacunas de virus vivos como la triple</w:t>
      </w:r>
    </w:p>
    <w:p w14:paraId="28D272CD" w14:textId="77777777" w:rsidR="0072615D" w:rsidRDefault="0072615D">
      <w:pPr>
        <w:pStyle w:val="BodyText"/>
        <w:ind w:left="380" w:firstLine="0"/>
      </w:pPr>
      <w:r>
        <w:t>o la de varicela. Los niños con infecciones febriles de vías respiratorias altas tienen respuestas serológicas semejantes a las de niños sanos después de la vacunación. El beneficio potencial de esta medida, si se hace en la edad recomendada, independientemente de la presencia de enfermedades leves, supera el posible riesgo mayor de ineficacia de la vacuna.</w:t>
      </w:r>
    </w:p>
    <w:p w14:paraId="2C8AE742" w14:textId="77777777" w:rsidR="0072615D" w:rsidRDefault="0072615D">
      <w:pPr>
        <w:pStyle w:val="BodyText"/>
        <w:numPr>
          <w:ilvl w:val="0"/>
          <w:numId w:val="31"/>
        </w:numPr>
        <w:tabs>
          <w:tab w:val="left" w:pos="346"/>
        </w:tabs>
        <w:spacing w:after="220"/>
        <w:ind w:left="380" w:hanging="380"/>
      </w:pPr>
      <w:bookmarkStart w:id="218" w:name="bookmark218"/>
      <w:bookmarkEnd w:id="218"/>
      <w:r>
        <w:rPr>
          <w:rFonts w:ascii="Times New Roman" w:eastAsia="Times New Roman" w:hAnsi="Times New Roman" w:cs="Times New Roman"/>
          <w:b/>
          <w:bCs/>
          <w:i/>
          <w:iCs/>
          <w:sz w:val="16"/>
          <w:szCs w:val="16"/>
        </w:rPr>
        <w:t>Vacuna DTaP.</w:t>
      </w:r>
      <w:r>
        <w:t xml:space="preserve"> Las enfermedades de poca intensidad (como algunas de las vías respiratorias altas) no constituyen contraindicación para aplicar DTaP. Sin embargo, una enfermedad de intensidad moderada o grave, con fiebre o sin ella, es justificación para retrasar la vacunación, en parte porque a veces es difícil diferenciar los signos y síntomas en evolución que son propios de la enfermedad, de la reacción a la vacuna. Las vacunas DTaP actuales conllevan frecuencias de reacciones adversas mucho menores de las vacunas DTP aprobadas anteriormente.</w:t>
      </w:r>
    </w:p>
    <w:p w14:paraId="67D69F13" w14:textId="77777777" w:rsidR="0072615D" w:rsidRDefault="0072615D">
      <w:pPr>
        <w:pStyle w:val="Bodytext20"/>
        <w:numPr>
          <w:ilvl w:val="0"/>
          <w:numId w:val="31"/>
        </w:numPr>
        <w:tabs>
          <w:tab w:val="left" w:pos="317"/>
        </w:tabs>
        <w:spacing w:line="269" w:lineRule="auto"/>
        <w:rPr>
          <w:sz w:val="19"/>
          <w:szCs w:val="19"/>
        </w:rPr>
      </w:pPr>
      <w:bookmarkStart w:id="219" w:name="bookmark219"/>
      <w:bookmarkEnd w:id="219"/>
      <w:r>
        <w:rPr>
          <w:b/>
          <w:bCs/>
          <w:i/>
          <w:iCs/>
        </w:rPr>
        <w:t>Niños con enfermedades febriles frecuentes.</w:t>
      </w:r>
      <w:r>
        <w:rPr>
          <w:rFonts w:ascii="Garamond" w:eastAsia="Garamond" w:hAnsi="Garamond" w:cs="Garamond"/>
          <w:sz w:val="19"/>
          <w:szCs w:val="19"/>
        </w:rPr>
        <w:t xml:space="preserve"> Habrá que solicitar a los padres</w:t>
      </w:r>
    </w:p>
    <w:p w14:paraId="2FA17C69" w14:textId="77777777" w:rsidR="0072615D" w:rsidRDefault="0072615D">
      <w:pPr>
        <w:pStyle w:val="BodyText"/>
        <w:ind w:left="360" w:firstLine="0"/>
      </w:pPr>
      <w:r>
        <w:t>o al niño con una enfermedad febril moderada o grave en la fecha de la vacunación programada que retorne a vacunarse tan pronto ceda el cuadro febril y así completar el ciclo de vacunas.</w:t>
      </w:r>
    </w:p>
    <w:p w14:paraId="612EA02F" w14:textId="77777777" w:rsidR="0072615D" w:rsidRDefault="0072615D">
      <w:pPr>
        <w:pStyle w:val="BodyText"/>
        <w:numPr>
          <w:ilvl w:val="0"/>
          <w:numId w:val="31"/>
        </w:numPr>
        <w:tabs>
          <w:tab w:val="left" w:pos="317"/>
        </w:tabs>
        <w:ind w:left="360" w:hanging="360"/>
      </w:pPr>
      <w:bookmarkStart w:id="220" w:name="bookmark220"/>
      <w:bookmarkEnd w:id="220"/>
      <w:r>
        <w:rPr>
          <w:rFonts w:ascii="Times New Roman" w:eastAsia="Times New Roman" w:hAnsi="Times New Roman" w:cs="Times New Roman"/>
          <w:b/>
          <w:bCs/>
          <w:i/>
          <w:iCs/>
          <w:sz w:val="16"/>
          <w:szCs w:val="16"/>
        </w:rPr>
        <w:t>Niños con inmunodeficiencia.</w:t>
      </w:r>
      <w:r>
        <w:t xml:space="preserve"> Hay que prestar consideración especial a los niños con tal problema, incluidos los que muestran inmunodeficiencias congénitas, infección por el virus de inmunodeficiencia humana (VIH) o un cáncer, o que han recibido terapia inmunosupresora (véase más adelante en esta sección “Niños inmunodeficientes”).</w:t>
      </w:r>
    </w:p>
    <w:p w14:paraId="54C41552" w14:textId="77777777" w:rsidR="0072615D" w:rsidRDefault="0072615D">
      <w:pPr>
        <w:pStyle w:val="BodyText"/>
        <w:spacing w:after="220"/>
        <w:ind w:firstLine="360"/>
      </w:pPr>
      <w:r>
        <w:t>En el apéndice III se incluye un resumen de contraindicaciones y precauciones para vacunar.</w:t>
      </w:r>
    </w:p>
    <w:p w14:paraId="0172DA5D" w14:textId="77777777" w:rsidR="0072615D" w:rsidRDefault="0072615D">
      <w:pPr>
        <w:pStyle w:val="BodyText"/>
        <w:spacing w:after="220"/>
        <w:ind w:firstLine="0"/>
      </w:pPr>
      <w:r>
        <w:t>REACCIONES DE HIPERSENSIBILIDAD A CONSTITUYENTES DE LA VACUNA</w:t>
      </w:r>
    </w:p>
    <w:p w14:paraId="2E2FC0A8" w14:textId="77777777" w:rsidR="0072615D" w:rsidRDefault="0072615D">
      <w:pPr>
        <w:pStyle w:val="BodyText"/>
        <w:ind w:firstLine="0"/>
      </w:pPr>
      <w:r>
        <w:t>Pocas veces se observa este tipo de reacciones. Es necesario contar con las instalaciones y los profesionales en la atención de la salud para combatir las reacciones de hipersensibilidad inmediata en todas las situaciones y sitios en que se apliquen vacunas. La recomendación anterior no impide que se administren vacunas en escuelas o en otros sitios extraclínicos.</w:t>
      </w:r>
    </w:p>
    <w:p w14:paraId="78FEC093" w14:textId="77777777" w:rsidR="0072615D" w:rsidRDefault="0072615D">
      <w:pPr>
        <w:pStyle w:val="BodyText"/>
        <w:ind w:firstLine="360"/>
      </w:pPr>
      <w:r>
        <w:t>Los cuatro tipos de reacciones de hipersensibilidad que según los expertos están vinculados con los constituyentes de la vacuna son: 1) reacciones alérgicas a antígenos del huevo (elemento de la vacuna); 2) sensibilidad al mercurio en algunos niños que reciben concentrados inmunoglobulínicos y vacunas que contienen dicho metaloide (véase más adelante en esta sección “Contenido de timerosal de algunas vacunas y concentrados inmunoglobulínicos”); 3) reacciones alérgicas inducidas por antimicrobianos y 4) hipersensibilidad a otros componentes de la vacuna como gelatina, proteína de levaduras y el propio agente infeccioso.</w:t>
      </w:r>
    </w:p>
    <w:p w14:paraId="602EC10C" w14:textId="77777777" w:rsidR="0072615D" w:rsidRDefault="0072615D">
      <w:pPr>
        <w:pStyle w:val="BodyText"/>
        <w:ind w:firstLine="360"/>
      </w:pPr>
      <w:r>
        <w:rPr>
          <w:rFonts w:ascii="Times New Roman" w:eastAsia="Times New Roman" w:hAnsi="Times New Roman" w:cs="Times New Roman"/>
          <w:b/>
          <w:bCs/>
          <w:i/>
          <w:iCs/>
          <w:sz w:val="16"/>
          <w:szCs w:val="16"/>
        </w:rPr>
        <w:t>Reacciones alérgicas a antígenos del huevo.</w:t>
      </w:r>
      <w:r>
        <w:t xml:space="preserve"> Las vacunas actuales contra sarampión y parotiditis se obtienen de cultivos de fibroblastos de embriones de pollo, pero no contienen cantidades importantes de proteínas ovígenas reactivas. Los estudios indican que los niños con alergia al huevo, incluso los que tienen hipersensibilidad intensa, están expuestos a peligro pequeño de mostrar reacciones anafilácticas a tales vacunas, solas o en combinación (como la triple) y que las cutirreacciones con vacuna diluida no aportan datos que permitan predecir una reacción alérgica a la vacunación. Al parecer casi todas las reacciones de hipersensibilidad inmediata después de aplicar la vacuna triple son respuestas a otros componentes de la vacuna, como la gelatina o la neomicina. Por esa razón, habrá que aplicar sistemáticamente a niños con alergia al huevo, las vacunas triple, antisarampionosa o antiparotidítica sin hacer cutirreacciones previamente.</w:t>
      </w:r>
    </w:p>
    <w:p w14:paraId="7CB0D255" w14:textId="77777777" w:rsidR="0072615D" w:rsidRDefault="0072615D">
      <w:pPr>
        <w:pStyle w:val="BodyText"/>
        <w:ind w:firstLine="360"/>
      </w:pPr>
      <w:r>
        <w:t>En la actualidad las vacunas contra fiebre amarilla y virus de influenza inactivados contienen proteínas de huevo y en raras ocasiones producen reacciones alérgicas inmediatas que incluyen anafilaxia. Se recomiendan cutirreacciones con las vacunas contra fiebre amarilla antes de aplicarlas a sujetos con el antecedente de síntomas anafilácticos sistémicos (urticaria generalizada, hipotensión, manifestaciones de obstrucción de zonas alta o baja de vías respiratorias) después de ingerir huevo. También se ha utilizado la cutirreacción en niños con reacciones anafilácticas graves al huevo y que recibirán vacuna de virus de influenza inactivado. A pesar de ello, por lo común conviene mejor que no reciban tal vacuna por el peligro de que surja una reacción adversa, por la posible necesidad de vacunación anual y porque se cuenta con quimioprofilaxia contra la influenza (véase “Influenza”, sección 3). Las manifestaciones locales o menos intensas de alergia al huevo o las plumas no son contraindicaciones para administrar la vacuna contra la fiebre amarilla o la de virus de influenza inactivados y no justifican la cutirreacción con la vacuna.</w:t>
      </w:r>
    </w:p>
    <w:p w14:paraId="2681F314" w14:textId="77777777" w:rsidR="0072615D" w:rsidRDefault="0072615D">
      <w:pPr>
        <w:pStyle w:val="BodyText"/>
        <w:ind w:firstLine="360"/>
      </w:pPr>
      <w:r>
        <w:t>Es importante someter a prueba con la vacuna (como el caso de la vacuna contra fiebre amarilla) a los niños sensibles al huevo, antes de utilizarlas, y para ello hay que seguir estos pasos:</w:t>
      </w:r>
    </w:p>
    <w:p w14:paraId="625704D4" w14:textId="77777777" w:rsidR="0072615D" w:rsidRDefault="0072615D">
      <w:pPr>
        <w:pStyle w:val="BodyText"/>
        <w:numPr>
          <w:ilvl w:val="0"/>
          <w:numId w:val="31"/>
        </w:numPr>
        <w:tabs>
          <w:tab w:val="left" w:pos="324"/>
        </w:tabs>
        <w:ind w:left="360" w:hanging="360"/>
      </w:pPr>
      <w:bookmarkStart w:id="221" w:name="bookmark221"/>
      <w:bookmarkEnd w:id="221"/>
      <w:r>
        <w:rPr>
          <w:rFonts w:ascii="Times New Roman" w:eastAsia="Times New Roman" w:hAnsi="Times New Roman" w:cs="Times New Roman"/>
          <w:b/>
          <w:bCs/>
          <w:i/>
          <w:iCs/>
          <w:sz w:val="16"/>
          <w:szCs w:val="16"/>
        </w:rPr>
        <w:t>Prueba de escarificación, punción o picadura.</w:t>
      </w:r>
      <w:r>
        <w:t xml:space="preserve"> El operador aplica en la cara palmar del antebrazo una gota de vacuna en dilución al 1:10 con solución salina fisiológica en el sitio de la escarificación superficial, la punción o la picadura. También se hacen pruebas testigo positiva (histamina) y negativa (con solución salina fisiológica). El operador lee la prueba después de 15 a 20 min. Se considera como resultado positivo si la roncha tiene 3 mm más de diámetro que la de la zona testigo con solución salina, a menudo con eritema en su alrededor. También debe ser positiva la prueba de histamina para una interpretación válida, pero si es negativa se practicará una prueba intradérmica.</w:t>
      </w:r>
    </w:p>
    <w:p w14:paraId="3F612C8E" w14:textId="77777777" w:rsidR="0072615D" w:rsidRDefault="0072615D">
      <w:pPr>
        <w:pStyle w:val="BodyText"/>
        <w:numPr>
          <w:ilvl w:val="0"/>
          <w:numId w:val="31"/>
        </w:numPr>
        <w:tabs>
          <w:tab w:val="left" w:pos="324"/>
        </w:tabs>
        <w:spacing w:line="276" w:lineRule="auto"/>
        <w:ind w:left="360" w:hanging="360"/>
      </w:pPr>
      <w:bookmarkStart w:id="222" w:name="bookmark222"/>
      <w:bookmarkEnd w:id="222"/>
      <w:r>
        <w:rPr>
          <w:rFonts w:ascii="Times New Roman" w:eastAsia="Times New Roman" w:hAnsi="Times New Roman" w:cs="Times New Roman"/>
          <w:b/>
          <w:bCs/>
          <w:i/>
          <w:iCs/>
          <w:sz w:val="16"/>
          <w:szCs w:val="16"/>
        </w:rPr>
        <w:t>Prueba intradèrmica.</w:t>
      </w:r>
      <w:r>
        <w:t xml:space="preserve"> El operador inyecta en plano intradérmico en la cara palmar del antebrazo una dosis de 0.02 ml de vacuna diluida al 1:100 con solución salina fisiológica; al mismo tiempo se hacen como se describió en párrafos anteriores las cutirreacciones testigo positiva y negativa. Se considera reacción positiva a la aparición de una roncha que tiene 5 mm o más, en comparación con la zona testigo negativa, con eritema en su periferia.</w:t>
      </w:r>
    </w:p>
    <w:p w14:paraId="0DF720E0" w14:textId="77777777" w:rsidR="0072615D" w:rsidRDefault="0072615D">
      <w:pPr>
        <w:pStyle w:val="BodyText"/>
        <w:ind w:firstLine="360"/>
      </w:pPr>
      <w:r>
        <w:t>Si los resultados de la prueba mencionada son negativos, se aplica la vacuna. Si son positivos aún se podrá aplicar la vacuna con un método de desensibilización si se considera que está justificada la inmunización ante el peligro de complicaciones como consecuencia de la enfermedad. Un protocolo sugerido es la administración subcutánea de dosis sucesivas de vacuna a intervalos de 15 a 20 min:</w:t>
      </w:r>
    </w:p>
    <w:p w14:paraId="5CB4EA52" w14:textId="77777777" w:rsidR="0072615D" w:rsidRDefault="0072615D">
      <w:pPr>
        <w:pStyle w:val="BodyText"/>
        <w:numPr>
          <w:ilvl w:val="0"/>
          <w:numId w:val="32"/>
        </w:numPr>
        <w:tabs>
          <w:tab w:val="left" w:pos="615"/>
        </w:tabs>
        <w:ind w:firstLine="360"/>
      </w:pPr>
      <w:bookmarkStart w:id="223" w:name="bookmark223"/>
      <w:bookmarkEnd w:id="223"/>
      <w:r>
        <w:t>0.05 ml de dilución al 1:10</w:t>
      </w:r>
    </w:p>
    <w:p w14:paraId="238E276E" w14:textId="77777777" w:rsidR="0072615D" w:rsidRDefault="0072615D">
      <w:pPr>
        <w:pStyle w:val="BodyText"/>
        <w:numPr>
          <w:ilvl w:val="0"/>
          <w:numId w:val="32"/>
        </w:numPr>
        <w:tabs>
          <w:tab w:val="left" w:pos="634"/>
        </w:tabs>
        <w:ind w:firstLine="360"/>
      </w:pPr>
      <w:bookmarkStart w:id="224" w:name="bookmark224"/>
      <w:bookmarkEnd w:id="224"/>
      <w:r>
        <w:t>0.05 ml de vacuna concentrada (pura)</w:t>
      </w:r>
    </w:p>
    <w:p w14:paraId="1F8B600F" w14:textId="77777777" w:rsidR="0072615D" w:rsidRDefault="0072615D">
      <w:pPr>
        <w:pStyle w:val="BodyText"/>
        <w:numPr>
          <w:ilvl w:val="0"/>
          <w:numId w:val="32"/>
        </w:numPr>
        <w:tabs>
          <w:tab w:val="left" w:pos="634"/>
        </w:tabs>
        <w:ind w:firstLine="360"/>
      </w:pPr>
      <w:bookmarkStart w:id="225" w:name="bookmark225"/>
      <w:bookmarkEnd w:id="225"/>
      <w:r>
        <w:t>0.10 ml de vacuna concentrada (pura)</w:t>
      </w:r>
    </w:p>
    <w:p w14:paraId="40F0E2A9" w14:textId="77777777" w:rsidR="0072615D" w:rsidRDefault="0072615D">
      <w:pPr>
        <w:pStyle w:val="BodyText"/>
        <w:numPr>
          <w:ilvl w:val="0"/>
          <w:numId w:val="32"/>
        </w:numPr>
        <w:tabs>
          <w:tab w:val="left" w:pos="634"/>
        </w:tabs>
        <w:ind w:firstLine="360"/>
      </w:pPr>
      <w:bookmarkStart w:id="226" w:name="bookmark226"/>
      <w:bookmarkEnd w:id="226"/>
      <w:r>
        <w:t>0.15 ml de vacuna concentrada (pura)</w:t>
      </w:r>
    </w:p>
    <w:p w14:paraId="7434449C" w14:textId="77777777" w:rsidR="0072615D" w:rsidRDefault="0072615D">
      <w:pPr>
        <w:pStyle w:val="BodyText"/>
        <w:numPr>
          <w:ilvl w:val="0"/>
          <w:numId w:val="32"/>
        </w:numPr>
        <w:tabs>
          <w:tab w:val="left" w:pos="634"/>
        </w:tabs>
        <w:ind w:firstLine="360"/>
      </w:pPr>
      <w:bookmarkStart w:id="227" w:name="bookmark227"/>
      <w:bookmarkEnd w:id="227"/>
      <w:r>
        <w:t>0.20 ml de vacuna concentrada (pura)</w:t>
      </w:r>
    </w:p>
    <w:p w14:paraId="1438FF00" w14:textId="77777777" w:rsidR="0072615D" w:rsidRDefault="0072615D">
      <w:pPr>
        <w:pStyle w:val="BodyText"/>
        <w:ind w:firstLine="360"/>
      </w:pPr>
      <w:r>
        <w:t>Las pruebas por escarificación, punción o picadura con otros alergenos han ocasionado accidentes letales en personas fuertemente alérgicas. En las pruebas con la vacuna no se han señalado tales efectos perjudiciales, pero todas las cutirreacciones y métodos de desensibilización deben ser hechos por personal experto en el tratamiento de reacciones anafilácticas. Conviene tener a la mano medicamentos y equipo necesario para combatir tales complicaciones (véase más adelante en esta sección “Tratamiento de reacciones anafilácticas”).</w:t>
      </w:r>
    </w:p>
    <w:p w14:paraId="699B4CE2"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 xml:space="preserve">Contenido de timerosal de algunas vacunas y concentrados inmunoglobulínicos. </w:t>
      </w:r>
      <w:r>
        <w:t>El timerosal es un conservador con mercurio que se ha usado como aditivo de agentes biológicos y vacunas desde el decenio de 1930 para evitar la contaminación por bacterias y hongos particularmente en recipientes abiertos con varias dosis. Ante la posible conveniencia de disminuir la exposición al mercurio, los fabricantes de vacunas, la FDA, otras organizaciones de servicios sanitarios y AAP han logrado eliminar el timerosal de todas las vacunas que se usan en el calendario recomendado para inmunizar niños y adolescentes. Nunca han contenido timerosal preparados como las vacunas con virus poliomielíticos inactivados y otras con virus vivos como MMR, OPV y varicela. La vacuna de conjugado neumocócico no tiene timerosal y los fabricantes de futuras vacunas para niños evitarán el uso de tal conservador para así obtener la aprobación oficial y general. Entre las vacunas que aún se usaban a finales de 2002 que contienen timerosal como conservador están DT y Td, una vacuna hecha con polisacáridos y neumocócico, vacunas antimeningocócicas, algunas vacunas con virus de influenza inactivados y una vacuna contra la rabia (</w:t>
      </w:r>
      <w:hyperlink r:id="rId135" w:history="1">
        <w:r>
          <w:t>www.fda.gov/cber/vaccine/thimerosal.htm#1</w:t>
        </w:r>
      </w:hyperlink>
      <w:r>
        <w:t>).</w:t>
      </w:r>
    </w:p>
    <w:p w14:paraId="05E1688D" w14:textId="77777777" w:rsidR="0072615D" w:rsidRDefault="0072615D">
      <w:pPr>
        <w:pStyle w:val="BodyText"/>
        <w:ind w:firstLine="360"/>
      </w:pPr>
      <w:r>
        <w:t>En Estados Unidos los únicos agentes biológicos diferentes de las vacunas que contienen timerosal y siguen produciéndose y distribuyéndose son el concentrado inmunoglobulínico de vacuna (vaccinia) y algunos antivenenos. El concentrado mencionado de tipo intravenoso no contiene timerosal u otros conservadores y ninguno de los productos concentrados inmunoglobulínicos humanos contra Rho (D) contiene dicho conservador (</w:t>
      </w:r>
      <w:hyperlink r:id="rId136" w:history="1">
        <w:r>
          <w:t>www.fda.gov/cber/blood/mercplasma.htm</w:t>
        </w:r>
      </w:hyperlink>
      <w:r>
        <w:t>).</w:t>
      </w:r>
    </w:p>
    <w:p w14:paraId="337492A9"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Reacciones alérgicas inducidas por antimicrobianos.</w:t>
      </w:r>
      <w:r>
        <w:t xml:space="preserve"> Se sospecha que aparecen este tipo de reacciones en personas con alergias identificadas y que han recibido vacunas que contienen cantidades ínfimas de antimicrobianos (consúltense las instrucciones del fabricante de cada producto, para su inclusión en listas específicas). Es difícil y a veces imposible de probar que exista una relación causal.</w:t>
      </w:r>
    </w:p>
    <w:p w14:paraId="1A2B2208" w14:textId="77777777" w:rsidR="0072615D" w:rsidRDefault="0072615D">
      <w:pPr>
        <w:pStyle w:val="BodyText"/>
        <w:ind w:firstLine="360"/>
      </w:pPr>
      <w:r>
        <w:t>La vacuna IPV contiene cantidades ínfimas de estreptomicina, neomicina y polimixina B. También tienen rastros de neomicina vacunas hechas de virus vivos como de sarampión, parotiditis, rubéola (solas o en la vacuna triple) y varicela. Algunas personas alérgicas a la neomicina pueden tener una reacción local tardía 48 a 96 h después de la administración de vacunas IPV, triple o contra la varicela. Tal reacción consiste en una pápula eritematosa, pruriginosa. Esta reacción leve carece de importancia en comparación con el beneficio de la vacunación y no debe ser calificada de contraindicación. Sin embargo, si el niño o el joven tienen el antecedente de una reacción anafiláctica a la neomicina, no se usarán vacunas que contengan tal antibiótico. Ninguna vacuna recomendada en la actualidad contiene penicilina o sus derivados.</w:t>
      </w:r>
    </w:p>
    <w:p w14:paraId="03C54F12"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 xml:space="preserve">Hipersensibilidad a otros componentes de la vacuna, incluido el agente infeccioso. </w:t>
      </w:r>
      <w:r>
        <w:t>Algunas vacunas hechas de virus vivos, como la triple (MMR), la antivaricélica y la hecha contra la fiebre amarilla contienen gelatina como estabilizador. Las personas con antecedente de alergias a dicha sustancia rara vez muestran anafilaxia después de recibir las vacunas que la contienen. Cabe pensar en la práctica de cutirreacciones en estos individuos antes de administrar una vacuna con gelatina, pero no se dispone de ningún protocolo ni de señalamientos de experiencias en este sentido. La gelatina utilizada en Estados Unidos como estabilizador de la vacuna suele ser porcina, y las presentes en los alimentos quizá se obtengan sólo de bovinos, razón por la cual el antecedente negativo con el consumo de alimentos no descarta la posibilidad de una reacción a la vacuna en cuestión.</w:t>
      </w:r>
    </w:p>
    <w:p w14:paraId="437727ED" w14:textId="77777777" w:rsidR="0072615D" w:rsidRDefault="0072615D">
      <w:pPr>
        <w:pStyle w:val="BodyText"/>
        <w:ind w:firstLine="360"/>
      </w:pPr>
      <w:r>
        <w:t>La vacuna contra hepatitis B se elabora mediante biotecnología y se obtiene el antígeno purificado de superficie del virus de dicha hepatitis, de células de levadura modificadas genéticamente que contienen el gen del antígeno mencionado. La purificación hace que disminuya sustancialmente la cantidad de la proteína de la levadura en la vacuna, pero en raros casos, quienes la reciben y que tienen notable hipersensibilidad a los productos de levadura pueden mostrar una reacción alérgica a la vacuna contra la hepatitis B que constituiría una contraindicación para la administración de más dosis del producto.</w:t>
      </w:r>
    </w:p>
    <w:p w14:paraId="4D438663" w14:textId="77777777" w:rsidR="0072615D" w:rsidRDefault="0072615D">
      <w:pPr>
        <w:pStyle w:val="BodyText"/>
        <w:ind w:firstLine="360"/>
      </w:pPr>
      <w:r>
        <w:t>Las reacciones que surgen con vacunas DTaP son mucho menos frecuentes que con las vacunas DTP. A veces han surgido reacciones urticarianas o anafilácticas en quienes reciben DTP, DTaP, DT, Td o toxoide tetánico. Se han identificado en algunos de los pacientes en cuestión anticuerpos específicos de tipo IgE contra el antígeno del tétanos y la difteria. Es difícil atribuir alguna sensibilidad específica a componentes de la vacuna, pero la reacción alérgica inmediata, grave o anafiláctica a alguna de las vacunas constituye una contraindicación para usar de nuevo el producto específico. Sin embargo, la urticaria transitoria no es contraindicación para aplicar nuevas dosis (apéndice III).</w:t>
      </w:r>
    </w:p>
    <w:p w14:paraId="32877542" w14:textId="77777777" w:rsidR="0072615D" w:rsidRDefault="0072615D">
      <w:pPr>
        <w:pStyle w:val="BodyText"/>
        <w:ind w:firstLine="360"/>
      </w:pPr>
      <w:r>
        <w:t>Las personas que tienen altas concentraciones del anticuerpo IgG antitetánico en suero como consecuencia de haber recibido frecuentemente refuerzos, muestran una mayor incidencia y gravedad de las reacciones adversas a las nuevas dosis administradas (véase “Tétanos”, sección 3).</w:t>
      </w:r>
    </w:p>
    <w:p w14:paraId="11AA3108" w14:textId="77777777" w:rsidR="0072615D" w:rsidRDefault="0072615D">
      <w:pPr>
        <w:pStyle w:val="BodyText"/>
        <w:ind w:firstLine="360"/>
      </w:pPr>
      <w:r>
        <w:t>En cerca de 6% de personas después de recibir un refuerzo de vacuna diploide humana antirrábica han surgido reacciones que se asemejan a la enfermedad del suero, según algunos señalamientos, y quizá fueron consecuencia de sensibilización a la albúmina humana que fue alterada químicamente por el agente inactivador del virus.</w:t>
      </w:r>
    </w:p>
    <w:p w14:paraId="4927C165" w14:textId="77777777" w:rsidR="0072615D" w:rsidRDefault="0072615D">
      <w:pPr>
        <w:pStyle w:val="BodyText"/>
        <w:ind w:firstLine="360"/>
      </w:pPr>
      <w:r>
        <w:t>Las vacunas antisarampionosas, que incluyen la triple y la vacuna antirrábica, contienen albúmina, que es derivado de la sangre humana. La FDA, ante el hecho de que hay una selección eficaz de donantes y procesos estrictos de elaboración, considera que es muy pequeño el peligro de transmisión de cualquier enfermedad vírica por la albúmina en dichos productos.</w:t>
      </w:r>
    </w:p>
    <w:p w14:paraId="15331018" w14:textId="77777777" w:rsidR="0072615D" w:rsidRDefault="0072615D">
      <w:pPr>
        <w:pStyle w:val="BodyText"/>
        <w:ind w:firstLine="360"/>
      </w:pPr>
      <w:r>
        <w:t>La vacuna del virus de encefalitis japonesa se ha vinculado con la aparición de urticaria y angioedema generalizadas, a veces con dificultad respiratoria e hipotensión, que surgen en términos de minutos de aplicación de la vacuna pero que pueden surgir incluso dos semanas después de aplicada. No se conoce en detalle la patogenia de tales reacciones. La persona con el antecedente de urticaria está expuesta a un mayor peligro de mostrar dicha reacción adversa, de tal forma que hay que observar a quienes reciben la vacuna y que han tenido tal antecedente, 30 min después de aplicarla, y señalarles la posibilidad de que en forma tardía surja urticaria y angioedema que puede ser letal.</w:t>
      </w:r>
    </w:p>
    <w:p w14:paraId="62FD185F" w14:textId="77777777" w:rsidR="0072615D" w:rsidRDefault="0072615D">
      <w:pPr>
        <w:pStyle w:val="BodyText"/>
        <w:spacing w:after="220"/>
        <w:ind w:firstLine="360"/>
      </w:pPr>
      <w:r>
        <w:t>Son raras las reacciones intensas de hipersensibilidad que surgen como resultado de las vacunas contra neumococos, Hib, hepatitis A o virus poliomielítico.</w:t>
      </w:r>
    </w:p>
    <w:p w14:paraId="229CE26F" w14:textId="77777777" w:rsidR="0072615D" w:rsidRDefault="0072615D">
      <w:pPr>
        <w:pStyle w:val="BodyText"/>
        <w:spacing w:after="220"/>
        <w:ind w:firstLine="0"/>
      </w:pPr>
      <w:r>
        <w:t>CONCEPTOS ERRÓNEOS SOBRE LAS CONTRAINDICACIONES DE LA VACUNACIÓN</w:t>
      </w:r>
    </w:p>
    <w:p w14:paraId="77A781B4" w14:textId="77777777" w:rsidR="0072615D" w:rsidRDefault="0072615D">
      <w:pPr>
        <w:pStyle w:val="BodyText"/>
        <w:ind w:firstLine="0"/>
      </w:pPr>
      <w:r>
        <w:t>Los profesionales asistenciales y los progenitores a menudo tienen conceptos erróneos sobre las contraindicaciones para vacunaciones. Las enfermedades o las circunstancias comunes que no constituyen contraindicaciones para la vacunación incluyen:</w:t>
      </w:r>
    </w:p>
    <w:p w14:paraId="7027DE3C" w14:textId="77777777" w:rsidR="0072615D" w:rsidRDefault="0072615D">
      <w:pPr>
        <w:pStyle w:val="BodyText"/>
        <w:numPr>
          <w:ilvl w:val="0"/>
          <w:numId w:val="31"/>
        </w:numPr>
        <w:tabs>
          <w:tab w:val="left" w:pos="339"/>
        </w:tabs>
        <w:ind w:left="360" w:hanging="360"/>
      </w:pPr>
      <w:bookmarkStart w:id="228" w:name="bookmark228"/>
      <w:bookmarkEnd w:id="228"/>
      <w:r>
        <w:t>Enfermedad aguda benigna con febrícula o un cuadro diarreico leve en un niño por lo demás sano</w:t>
      </w:r>
    </w:p>
    <w:p w14:paraId="448589C6" w14:textId="77777777" w:rsidR="0072615D" w:rsidRDefault="0072615D">
      <w:pPr>
        <w:pStyle w:val="BodyText"/>
        <w:numPr>
          <w:ilvl w:val="0"/>
          <w:numId w:val="31"/>
        </w:numPr>
        <w:tabs>
          <w:tab w:val="left" w:pos="339"/>
        </w:tabs>
        <w:ind w:firstLine="0"/>
      </w:pPr>
      <w:bookmarkStart w:id="229" w:name="bookmark229"/>
      <w:bookmarkEnd w:id="229"/>
      <w:r>
        <w:t>Fase de convalecencia de alguna enfermedad</w:t>
      </w:r>
    </w:p>
    <w:p w14:paraId="52035303" w14:textId="77777777" w:rsidR="0072615D" w:rsidRDefault="0072615D">
      <w:pPr>
        <w:pStyle w:val="BodyText"/>
        <w:numPr>
          <w:ilvl w:val="0"/>
          <w:numId w:val="31"/>
        </w:numPr>
        <w:tabs>
          <w:tab w:val="left" w:pos="339"/>
        </w:tabs>
        <w:ind w:firstLine="0"/>
      </w:pPr>
      <w:bookmarkStart w:id="230" w:name="bookmark230"/>
      <w:bookmarkEnd w:id="230"/>
      <w:r>
        <w:t>Tratamiento antimicrobiano en curso</w:t>
      </w:r>
    </w:p>
    <w:p w14:paraId="64946B03" w14:textId="77777777" w:rsidR="0072615D" w:rsidRDefault="0072615D">
      <w:pPr>
        <w:pStyle w:val="BodyText"/>
        <w:numPr>
          <w:ilvl w:val="0"/>
          <w:numId w:val="31"/>
        </w:numPr>
        <w:tabs>
          <w:tab w:val="left" w:pos="339"/>
        </w:tabs>
        <w:ind w:left="360" w:hanging="360"/>
      </w:pPr>
      <w:bookmarkStart w:id="231" w:name="bookmark231"/>
      <w:bookmarkEnd w:id="231"/>
      <w:r>
        <w:t>Reacción al uso previo de una dosis de DTaP o DTP que incluyó sólo adolorimiento, enrojecimiento o hinchazón en la zona inmediata a la de vacunación, o temperaturas menores de 40.5°C</w:t>
      </w:r>
    </w:p>
    <w:p w14:paraId="2CDA3286" w14:textId="77777777" w:rsidR="0072615D" w:rsidRDefault="0072615D">
      <w:pPr>
        <w:pStyle w:val="BodyText"/>
        <w:numPr>
          <w:ilvl w:val="0"/>
          <w:numId w:val="31"/>
        </w:numPr>
        <w:tabs>
          <w:tab w:val="left" w:pos="339"/>
        </w:tabs>
        <w:ind w:left="360" w:hanging="360"/>
      </w:pPr>
      <w:bookmarkStart w:id="232" w:name="bookmark232"/>
      <w:bookmarkEnd w:id="232"/>
      <w:r>
        <w:t>Premadurez: la edad adecuada para iniciar casi todas las vacunaciones en el prematuro es la cronológica recomendada; no hay que disminuir las dosis de vacunas en los productos pretérmino (véase más adelante en esta sección “Productos pretérmino” y “Hepatitis B” en la sección 3)</w:t>
      </w:r>
    </w:p>
    <w:p w14:paraId="49D10FC0" w14:textId="77777777" w:rsidR="0072615D" w:rsidRDefault="0072615D">
      <w:pPr>
        <w:pStyle w:val="BodyText"/>
        <w:ind w:left="360" w:firstLine="0"/>
      </w:pPr>
      <w:r>
        <w:t>El embarazo de la madre u otros contactos hogareños: los virus en la vacuna triple (MMR) no son transmitidos por quienes reciben la vacuna; a pesar de que algunos receptores sanos han transmitido los virus de la vacuna de varicela a los contactos, la frecuencia de aparición es pequeña, se han señalado sólo signos leves de la infección o un cuadro asintomático y tal vacuna no está contraindicada por el embarazo de la madre del pequeño u otros contactos hogareños (véase “Varicela- zoster, infecciones por el virus”, sección 3)</w:t>
      </w:r>
    </w:p>
    <w:p w14:paraId="7456271E" w14:textId="77777777" w:rsidR="0072615D" w:rsidRDefault="0072615D">
      <w:pPr>
        <w:pStyle w:val="BodyText"/>
        <w:ind w:firstLine="360"/>
      </w:pPr>
      <w:r>
        <w:t>Exposición reciente a una enfermedad infecciosa</w:t>
      </w:r>
    </w:p>
    <w:p w14:paraId="28279918" w14:textId="77777777" w:rsidR="0072615D" w:rsidRDefault="0072615D">
      <w:pPr>
        <w:pStyle w:val="BodyText"/>
        <w:ind w:left="360" w:firstLine="0"/>
      </w:pPr>
      <w:r>
        <w:t>Amamantamiento: el único virus vacunal que se ha aislado de la leche humana es el de la rubéola; ninguna prueba señala que la leche materna de la mujer vacunada contra tal enfermedad sea dañina al lactante</w:t>
      </w:r>
    </w:p>
    <w:p w14:paraId="1228F67A" w14:textId="77777777" w:rsidR="0072615D" w:rsidRDefault="0072615D">
      <w:pPr>
        <w:pStyle w:val="BodyText"/>
        <w:ind w:left="360" w:firstLine="0"/>
      </w:pPr>
      <w:r>
        <w:t>Antecedente de alergias inespecíficas o de tener parientes con ellas Alergias a penicilina u otro antimicrobiano, excepto las reacciones anafilácticas a la neomicina o la estreptomicina (véase antes en esta sección “Reacciones de hipersensibilidad a los constituyentes de la vacuna”): las reacciones en cuestión surgen muy pocas veces, si es que surgen; ninguna de las vacunas aprobadas para su uso en Estados Unidos contienen penicilina</w:t>
      </w:r>
    </w:p>
    <w:p w14:paraId="4884681B" w14:textId="77777777" w:rsidR="0072615D" w:rsidRDefault="0072615D">
      <w:pPr>
        <w:pStyle w:val="BodyText"/>
        <w:ind w:left="360" w:firstLine="0"/>
      </w:pPr>
      <w:r>
        <w:t>Alergias a la carne o las plumas de pato: ninguna vacuna que se distribuya en Estados Unidos es obtenida de sustratos que contienen antígenos de pato Antecedentes familiares de convulsiones en una persona a quien se piensa vacunar contra la tos ferina o el sarampión (véase más adelante en esta sección “Niños con el antecedente personal o familiar de convulsiones”).</w:t>
      </w:r>
    </w:p>
    <w:p w14:paraId="1A9AC015" w14:textId="77777777" w:rsidR="0072615D" w:rsidRDefault="0072615D">
      <w:pPr>
        <w:pStyle w:val="BodyText"/>
        <w:ind w:left="360" w:firstLine="0"/>
      </w:pPr>
      <w:r>
        <w:t>Antecedente familiar de un síndrome de muerte súbita del lactante, en niños a quienes se piensa vacunar con DTaP</w:t>
      </w:r>
    </w:p>
    <w:p w14:paraId="3DC7AB2A" w14:textId="77777777" w:rsidR="0072615D" w:rsidRDefault="0072615D">
      <w:pPr>
        <w:pStyle w:val="BodyText"/>
        <w:ind w:left="360" w:firstLine="0"/>
      </w:pPr>
      <w:r>
        <w:t>Antecedente familiar de un hecho adverso sin relación con la inmunosupresión después de la vacunación</w:t>
      </w:r>
    </w:p>
    <w:p w14:paraId="2FFE3350" w14:textId="77777777" w:rsidR="0072615D" w:rsidRDefault="0072615D">
      <w:pPr>
        <w:pStyle w:val="BodyText"/>
        <w:spacing w:after="120"/>
        <w:ind w:firstLine="360"/>
      </w:pPr>
      <w:r>
        <w:t>Malnutrición</w:t>
      </w:r>
    </w:p>
    <w:p w14:paraId="460361B9" w14:textId="77777777" w:rsidR="0072615D" w:rsidRDefault="0072615D">
      <w:pPr>
        <w:pStyle w:val="Bodytext70"/>
        <w:spacing w:after="200" w:line="214" w:lineRule="auto"/>
      </w:pPr>
      <w:r>
        <w:t>Notificación de enfermedades evitables por las vacunas</w:t>
      </w:r>
    </w:p>
    <w:p w14:paraId="0AC8D1FF" w14:textId="77777777" w:rsidR="0072615D" w:rsidRDefault="0072615D">
      <w:pPr>
        <w:pStyle w:val="BodyText"/>
        <w:spacing w:after="80"/>
        <w:ind w:firstLine="0"/>
      </w:pPr>
      <w:r>
        <w:t>Casi todas estas enfermedades son notificables en Estados Unidos. Las autoridades sanitarias dependen de los profesionales en asistencia para la notificación inmediata a departamentos de salud estatales o locales, de casos sospechosos de enfermedades evitables por vacunas. Los señalamientos en cuestión son transmitidos semanalmente a los CDC y se usan para detectar brotes, vigilar estrategias de erradicación de enfermedades y evaluar prácticas y normas de vacunación a nivel nacional. El médico tiene la obligación legal de notificar enfermedades confirmadas o sospechadas que sean evitables por vacunas. Los señalamientos aportan datos valiosos sobre la eficacia de las vacunas, características epidemiológicas cambiantes o actuales de las enfermedades mencionadas y posibles epidemias que pudieran amenazar la salud pública.</w:t>
      </w:r>
    </w:p>
    <w:p w14:paraId="552CEAAB" w14:textId="77777777" w:rsidR="0072615D" w:rsidRDefault="0072615D">
      <w:pPr>
        <w:pStyle w:val="Bodytext70"/>
        <w:spacing w:after="0" w:line="214" w:lineRule="auto"/>
      </w:pPr>
      <w:r>
        <w:t>Normas de prácticas de inmunización de niños y adolescentes (véase el apéndice II)</w:t>
      </w:r>
    </w:p>
    <w:p w14:paraId="37338374" w14:textId="77777777" w:rsidR="0072615D" w:rsidRDefault="0072615D">
      <w:pPr>
        <w:pStyle w:val="BodyText"/>
        <w:ind w:firstLine="0"/>
        <w:sectPr w:rsidR="0072615D" w:rsidSect="0072615D">
          <w:pgSz w:w="8501" w:h="13022"/>
          <w:pgMar w:top="912" w:right="881" w:bottom="490" w:left="742" w:header="0" w:footer="3" w:gutter="0"/>
          <w:cols w:space="720"/>
          <w:noEndnote/>
          <w:docGrid w:linePitch="360"/>
          <w15:footnoteColumns w:val="1"/>
        </w:sectPr>
      </w:pPr>
      <w:r>
        <w:t xml:space="preserve">En el año de 2003 el </w:t>
      </w:r>
      <w:r>
        <w:rPr>
          <w:rFonts w:ascii="Times New Roman" w:eastAsia="Times New Roman" w:hAnsi="Times New Roman" w:cs="Times New Roman"/>
          <w:i/>
          <w:iCs/>
          <w:sz w:val="16"/>
          <w:szCs w:val="16"/>
        </w:rPr>
        <w:t>National Vaccine Advisory Committee</w:t>
      </w:r>
      <w:r>
        <w:t xml:space="preserve"> revisó las Normas para Prácticas de Inmunización de Niños, revisión aprobada por el </w:t>
      </w:r>
      <w:r>
        <w:rPr>
          <w:rFonts w:ascii="Times New Roman" w:eastAsia="Times New Roman" w:hAnsi="Times New Roman" w:cs="Times New Roman"/>
          <w:i/>
          <w:iCs/>
          <w:sz w:val="16"/>
          <w:szCs w:val="16"/>
        </w:rPr>
        <w:t>US Public Service</w:t>
      </w:r>
      <w:r>
        <w:t xml:space="preserve"> y respaldada por AAP y otras organizaciones interesadas en el tema. Como parte de la </w:t>
      </w:r>
    </w:p>
    <w:p w14:paraId="4E46D11B" w14:textId="77777777" w:rsidR="0072615D" w:rsidRDefault="0072615D">
      <w:pPr>
        <w:pStyle w:val="BodyText"/>
        <w:ind w:firstLine="0"/>
      </w:pPr>
      <w:r>
        <w:t>vacunas en los productos pretérmino (véase más adelante en esta sección “Productos pretérmino” y “Hepatitis B” en la sección 3)</w:t>
      </w:r>
    </w:p>
    <w:p w14:paraId="0DD0DC18" w14:textId="77777777" w:rsidR="0072615D" w:rsidRDefault="0072615D">
      <w:pPr>
        <w:pStyle w:val="BodyText"/>
        <w:ind w:left="360" w:firstLine="0"/>
      </w:pPr>
      <w:r>
        <w:t>El embarazo de la madre u otros contactos hogareños: los virus en la vacuna triple (MMR) no son transmitidos por quienes reciben la vacuna; a pesar de que algunos receptores sanos han transmitido los virus de la vacuna de varicela a los contactos, la frecuencia de aparición es pequeña, se han señalado sólo signos leves de la infección o un cuadro asintomático y tal vacuna no está contraindicada por el embarazo de la madre del pequeño u otros contactos hogareños (véase “Varicela- zoster, infecciones por el virus”, sección 3)</w:t>
      </w:r>
    </w:p>
    <w:p w14:paraId="20982BAF" w14:textId="77777777" w:rsidR="0072615D" w:rsidRDefault="0072615D">
      <w:pPr>
        <w:pStyle w:val="BodyText"/>
        <w:ind w:firstLine="360"/>
      </w:pPr>
      <w:r>
        <w:t>Exposición reciente a una enfermedad infecciosa</w:t>
      </w:r>
    </w:p>
    <w:p w14:paraId="08D09D70" w14:textId="77777777" w:rsidR="0072615D" w:rsidRDefault="0072615D">
      <w:pPr>
        <w:pStyle w:val="BodyText"/>
        <w:ind w:left="360" w:firstLine="0"/>
      </w:pPr>
      <w:r>
        <w:t>Amamantamiento: el único virus vacunal que se ha aislado de la leche humana es el de la rubéola; ninguna prueba señala que la leche materna de la mujer vacunada contra tal enfermedad sea dañina al lactante</w:t>
      </w:r>
    </w:p>
    <w:p w14:paraId="46348264" w14:textId="77777777" w:rsidR="0072615D" w:rsidRDefault="0072615D">
      <w:pPr>
        <w:pStyle w:val="BodyText"/>
        <w:ind w:left="360" w:firstLine="0"/>
      </w:pPr>
      <w:r>
        <w:t>Antecedente de alergias inespecíficas o de tener parientes con ellas Alergias a penicilina u otro antimicrobiano, excepto las reacciones anafilácticas a la neomicina o la estreptomicina (véase antes en esta sección “Reacciones de hipersensibilidad a los constituyentes de la vacuna”): las reacciones en cuestión surgen muy pocas veces, si es que surgen; ninguna de las vacunas aprobadas para su uso en Estados Unidos contienen penicilina</w:t>
      </w:r>
    </w:p>
    <w:p w14:paraId="677B12B6" w14:textId="77777777" w:rsidR="0072615D" w:rsidRDefault="0072615D">
      <w:pPr>
        <w:pStyle w:val="BodyText"/>
        <w:ind w:left="360" w:firstLine="0"/>
      </w:pPr>
      <w:r>
        <w:t>Alergias a la carne o las plumas de pato: ninguna vacuna que se distribuya en Estados Unidos es obtenida de sustratos que contienen antígenos de pato Antecedentes familiares de convulsiones en una persona a quien se piensa vacunar contra la tos ferina o el sarampión (véase más adelante en esta sección “Niños con el antecedente personal o familiar de convulsiones”).</w:t>
      </w:r>
    </w:p>
    <w:p w14:paraId="7789CEE5" w14:textId="77777777" w:rsidR="0072615D" w:rsidRDefault="0072615D">
      <w:pPr>
        <w:pStyle w:val="BodyText"/>
        <w:ind w:left="360" w:firstLine="0"/>
      </w:pPr>
      <w:r>
        <w:t>Antecedente familiar de un síndrome de muerte súbita del lactante, en niños a quienes se piensa vacunar con DTaP</w:t>
      </w:r>
    </w:p>
    <w:p w14:paraId="7CD30DEA" w14:textId="77777777" w:rsidR="0072615D" w:rsidRDefault="0072615D">
      <w:pPr>
        <w:pStyle w:val="BodyText"/>
        <w:ind w:left="360" w:firstLine="0"/>
      </w:pPr>
      <w:r>
        <w:t>Antecedente familiar de un hecho adverso sin relación con la inmunosupresión después de la vacunación</w:t>
      </w:r>
    </w:p>
    <w:p w14:paraId="47C9CB69" w14:textId="77777777" w:rsidR="0072615D" w:rsidRDefault="0072615D">
      <w:pPr>
        <w:pStyle w:val="BodyText"/>
        <w:spacing w:after="120"/>
        <w:ind w:firstLine="360"/>
      </w:pPr>
      <w:r>
        <w:t>Malnutrición</w:t>
      </w:r>
    </w:p>
    <w:p w14:paraId="238D494C" w14:textId="77777777" w:rsidR="0072615D" w:rsidRDefault="0072615D">
      <w:pPr>
        <w:pStyle w:val="Bodytext70"/>
        <w:spacing w:after="200" w:line="214" w:lineRule="auto"/>
      </w:pPr>
      <w:r>
        <w:t>Notificación de enfermedades evitables por las vacunas</w:t>
      </w:r>
    </w:p>
    <w:p w14:paraId="7E41AD64" w14:textId="77777777" w:rsidR="0072615D" w:rsidRDefault="0072615D">
      <w:pPr>
        <w:pStyle w:val="BodyText"/>
        <w:spacing w:after="80"/>
        <w:ind w:firstLine="0"/>
      </w:pPr>
      <w:r>
        <w:t>Casi todas estas enfermedades son notificables en Estados Unidos. Las autoridades sanitarias dependen de los profesionales en asistencia para la notificación inmediata a departamentos de salud estatales o locales, de casos sospechosos de enfermedades evitables por vacunas. Los señalamientos en cuestión son transmitidos semanalmente a los CDC y se usan para detectar brotes, vigilar estrategias de erradicación de enfermedades y evaluar prácticas y normas de vacunación a nivel nacional. El médico tiene la obligación legal de notificar enfermedades confirmadas o sospechadas que sean evitables por vacunas. Los señalamientos aportan datos valiosos sobre la eficacia de las vacunas, características epidemiológicas cambiantes o actuales de las enfermedades mencionadas y posibles epidemias que pudieran amenazar la salud pública.</w:t>
      </w:r>
    </w:p>
    <w:p w14:paraId="38A5CBCA" w14:textId="77777777" w:rsidR="0072615D" w:rsidRDefault="0072615D">
      <w:pPr>
        <w:pStyle w:val="Bodytext70"/>
        <w:spacing w:after="0" w:line="214" w:lineRule="auto"/>
      </w:pPr>
      <w:r>
        <w:t>Normas de prácticas de inmunización de niños y adolescentes (véase el apéndice II)</w:t>
      </w:r>
    </w:p>
    <w:p w14:paraId="4B87E4F7" w14:textId="77777777" w:rsidR="0072615D" w:rsidRDefault="0072615D">
      <w:pPr>
        <w:pStyle w:val="BodyText"/>
        <w:spacing w:after="120"/>
        <w:ind w:firstLine="0"/>
      </w:pPr>
      <w:r>
        <w:t xml:space="preserve">En el año de 2003 el </w:t>
      </w:r>
      <w:r>
        <w:rPr>
          <w:rFonts w:ascii="Times New Roman" w:eastAsia="Times New Roman" w:hAnsi="Times New Roman" w:cs="Times New Roman"/>
          <w:i/>
          <w:iCs/>
          <w:sz w:val="16"/>
          <w:szCs w:val="16"/>
        </w:rPr>
        <w:t>National Vaccine Advisory Committee</w:t>
      </w:r>
      <w:r>
        <w:t xml:space="preserve"> revisó las Normas para Prácticas de Inmunización de Niños, revisión aprobada por el </w:t>
      </w:r>
      <w:r>
        <w:rPr>
          <w:rFonts w:ascii="Times New Roman" w:eastAsia="Times New Roman" w:hAnsi="Times New Roman" w:cs="Times New Roman"/>
          <w:i/>
          <w:iCs/>
          <w:sz w:val="16"/>
          <w:szCs w:val="16"/>
        </w:rPr>
        <w:t>US Public Service</w:t>
      </w:r>
      <w:r>
        <w:t xml:space="preserve"> y respaldada por AAP y otras organizaciones interesadas en el tema. Como parte de la revisión se dio el nuevo nombre de </w:t>
      </w:r>
      <w:r>
        <w:rPr>
          <w:rFonts w:ascii="Times New Roman" w:eastAsia="Times New Roman" w:hAnsi="Times New Roman" w:cs="Times New Roman"/>
          <w:i/>
          <w:iCs/>
          <w:sz w:val="16"/>
          <w:szCs w:val="16"/>
        </w:rPr>
        <w:t>Normas para las Prácticas de Vacunación de Niños y Adolescentes.</w:t>
      </w:r>
      <w:r>
        <w:t xml:space="preserve"> Se recomienda que las usen todos los profesionales de la atención de la salud que atienden en instituciones de salud pública o privada y que participan en la administración de vacunas, o los servicios de vacunación de niños. Se pretende que su empleo mejore las cifras de vacunación de preescolares, evite brotes de enfermedades evitables por vacunas y permita alcanzar los objetivos de vacunación a nivel nacional. Las normas revisadas reflejan la participación cada vez mayor de médicos privados, la importancia de vacunar adolescentes y la intensificación reciente de dudas y preocupaciones por la inocuidad de vacunas, entre el público en general.</w:t>
      </w:r>
    </w:p>
    <w:p w14:paraId="3767B6BE" w14:textId="77777777" w:rsidR="0072615D" w:rsidRDefault="0072615D">
      <w:pPr>
        <w:pStyle w:val="Bodytext70"/>
        <w:spacing w:after="160" w:line="209" w:lineRule="auto"/>
      </w:pPr>
      <w:r>
        <w:t>Conceptos erróneos de los padres respecto de las inmunizaciones</w:t>
      </w:r>
    </w:p>
    <w:p w14:paraId="20DA56CA" w14:textId="77777777" w:rsidR="0072615D" w:rsidRDefault="0072615D">
      <w:pPr>
        <w:pStyle w:val="BodyText"/>
        <w:spacing w:line="276" w:lineRule="auto"/>
        <w:ind w:firstLine="0"/>
      </w:pPr>
      <w:r>
        <w:t>Los conceptos erróneos sobre la necesidad y la inocuidad de las vacunaciones recomendadas para niños y adolescentes son causas posibles de que se retrase esta práctica, que se haga en forma incompleta o surjan ambos problemas en Estados Unidos. Los CDC</w:t>
      </w:r>
      <w:r>
        <w:footnoteReference w:id="16"/>
      </w:r>
      <w:r>
        <w:t xml:space="preserve"> se han ocupado de esclarecer algunos conceptos erróneos y frecuentes de los progenitores. En un intento de dar mayor información a los padres, la AAP ha publicado un folleto llamado </w:t>
      </w:r>
      <w:r>
        <w:rPr>
          <w:rFonts w:ascii="Times New Roman" w:eastAsia="Times New Roman" w:hAnsi="Times New Roman" w:cs="Times New Roman"/>
          <w:i/>
          <w:iCs/>
          <w:sz w:val="16"/>
          <w:szCs w:val="16"/>
        </w:rPr>
        <w:t>Lo que Usted Debe Saber de las Vacunaciones,' (Immunizations: What You Should Know)</w:t>
      </w:r>
      <w:r>
        <w:t xml:space="preserve"> que aborda dudas y preguntas frecuentes en cuanto a las vacunaciones recomendadas para niños y adolescentes, y que incluyen:</w:t>
      </w:r>
    </w:p>
    <w:p w14:paraId="73404CF6" w14:textId="77777777" w:rsidR="0072615D" w:rsidRDefault="0072615D">
      <w:pPr>
        <w:pStyle w:val="BodyText"/>
        <w:numPr>
          <w:ilvl w:val="0"/>
          <w:numId w:val="31"/>
        </w:numPr>
        <w:tabs>
          <w:tab w:val="left" w:pos="341"/>
        </w:tabs>
        <w:ind w:left="380" w:hanging="380"/>
      </w:pPr>
      <w:bookmarkStart w:id="233" w:name="bookmark233"/>
      <w:bookmarkEnd w:id="233"/>
      <w:r>
        <w:rPr>
          <w:b/>
          <w:bCs/>
        </w:rPr>
        <w:t xml:space="preserve">“¿Por qué vacunar a los niños si se han eliminado en Estados Unidos casi todas las enfermedades evitables con vacunas?” </w:t>
      </w:r>
      <w:r>
        <w:t>Las vacunaciones han disminuido impresionantemente la incidencia de diversas enfermedades de niños en Estados Unidos, pero muchas de ellas siguen siendo frecuentes en otras zonas del mundo y podrían ser reintroducidas con facilidad en la nación mencionada y, sin vacunaciones, se diseminarían rápidamente. Los niños no vacunados también estarán en peligro durante toda su vida, en particular cuando viajen a países donde son endémicas las enfermedades evitables por las vacunas.</w:t>
      </w:r>
    </w:p>
    <w:p w14:paraId="04D56172" w14:textId="77777777" w:rsidR="0072615D" w:rsidRDefault="0072615D">
      <w:pPr>
        <w:pStyle w:val="BodyText"/>
        <w:numPr>
          <w:ilvl w:val="0"/>
          <w:numId w:val="31"/>
        </w:numPr>
        <w:tabs>
          <w:tab w:val="left" w:pos="341"/>
        </w:tabs>
        <w:ind w:left="380" w:hanging="380"/>
      </w:pPr>
      <w:bookmarkStart w:id="234" w:name="bookmark234"/>
      <w:bookmarkEnd w:id="234"/>
      <w:r>
        <w:rPr>
          <w:b/>
          <w:bCs/>
        </w:rPr>
        <w:t>“¿Realmente sirven las vacunaciones? ¿No se vacunaron muchas de las perso</w:t>
      </w:r>
      <w:r>
        <w:rPr>
          <w:b/>
          <w:bCs/>
        </w:rPr>
        <w:softHyphen/>
        <w:t xml:space="preserve">nas que contrajeron una enfermedad evitable por la vacuna? </w:t>
      </w:r>
      <w:r>
        <w:t>Unas pocas personas no desencadenan una reacción inmunitaria con las vacunas, pero las que se aplican a niños tienen una eficacia de 85 a 98%. Casi ningún individuo que contrae una enfermedad evitable por vacuna ha sido vacunado completamente.</w:t>
      </w:r>
    </w:p>
    <w:p w14:paraId="0908116F" w14:textId="77777777" w:rsidR="0072615D" w:rsidRDefault="0072615D">
      <w:pPr>
        <w:pStyle w:val="BodyText"/>
        <w:numPr>
          <w:ilvl w:val="0"/>
          <w:numId w:val="31"/>
        </w:numPr>
        <w:tabs>
          <w:tab w:val="left" w:pos="341"/>
        </w:tabs>
        <w:ind w:left="380" w:hanging="380"/>
      </w:pPr>
      <w:bookmarkStart w:id="235" w:name="bookmark235"/>
      <w:bookmarkEnd w:id="235"/>
      <w:r>
        <w:rPr>
          <w:b/>
          <w:bCs/>
        </w:rPr>
        <w:t xml:space="preserve">“¿Algunos bloques de vacunas son más peligrosos que otros?” </w:t>
      </w:r>
      <w:r>
        <w:t>Se hace una revisión cuidadosa de la inocuidad y eficacia de todas las vacunas antes de ser aprobadas por la FDA y recomendadas para su uso. Ningún dato indica que lotes individuales de las vacunas más usadas muestren diferencias de inocuidad. La FDA y los CDC conducen programas para continuar la vigilancia después de la aprobación, en aspectos como inocuidad y eficacia de los productos recomendados. La vigilancia activa en busca de reacciones adversas con el uso de tales productos después de su aprobación comprende diversos temas, mucho más trascendentes que lo que ocurre con otros tipos de agentes terapéuticos, y ello refleja el estricto control de calidad a que se someten las vacunas.</w:t>
      </w:r>
    </w:p>
    <w:p w14:paraId="15917996" w14:textId="77777777" w:rsidR="0072615D" w:rsidRDefault="0072615D">
      <w:pPr>
        <w:pStyle w:val="BodyText"/>
        <w:ind w:left="360" w:hanging="360"/>
      </w:pPr>
      <w:r>
        <w:t xml:space="preserve">• </w:t>
      </w:r>
      <w:r>
        <w:rPr>
          <w:b/>
          <w:bCs/>
        </w:rPr>
        <w:t xml:space="preserve">“¿Es peligrosa la vacunación con varios productos a la vez?” </w:t>
      </w:r>
      <w:r>
        <w:t>Innumerables estudios han indicado que la aplicación de varias vacunas en una sola sesión a niños y adolescentes puede ser innocua. Los científicos calculan que el sistema inmunitario reconoce y reacciona a cientos de miles (quizá millones) de antígenos. Las vacunas recomendadas utilizan sólo una función pequeña de la “memoria” del sistema inmunitario. El Safety Review Committee del IOM no detectó pruebas que respalden la teoría de que las vacunaciones múltiples agravan el riesgo de disfunción inmunitaria (véase antes en esta sección “Comité de Revisiones de Seguridad de las Vacunaciones [Instituto de Medicina]”).</w:t>
      </w:r>
    </w:p>
    <w:p w14:paraId="08F2340E" w14:textId="77777777" w:rsidR="0072615D" w:rsidRDefault="0072615D">
      <w:pPr>
        <w:pStyle w:val="BodyText"/>
        <w:ind w:firstLine="360"/>
      </w:pPr>
      <w:r>
        <w:t>Los profesionales asistenciales deben obtener y distribuir copias de los documentos de vacunación de los CDC y la AAP, así como de las declaraciones de información sobre vacunas (VIS) para esclarecer las dudas y preocupaciones de los padres. Estos materiales auxiliares les ayudan a tomar decisiones informadas sobre la vacunación de sus hijos. Se cuenta también con otras fuentes de información objetiva sobre el tema (véase más adelante en esta sección la lista de páginas Web autorizadas) que son útiles para que los profesionales en cuestión respondan preguntas y esclarezcan conceptos erróneos en cuanto a vacunaciones y enfermedades evitables por vacunas.</w:t>
      </w:r>
    </w:p>
    <w:p w14:paraId="4EC3B847" w14:textId="77777777" w:rsidR="0072615D" w:rsidRDefault="0072615D">
      <w:pPr>
        <w:pStyle w:val="BodyText"/>
        <w:ind w:firstLine="360"/>
      </w:pPr>
      <w:r>
        <w:t>Los padres y los profesionales en esta área muchas veces ven los datos científicos en formas diferentes. Los primeros a menudo no tienen suficientes conocimientos sobre temas de microbiología, inmunología o epidemiología como para juzgar qué estudios sobre vacunas se realizaron satisfactoriamente. A menudo revisan aspectos de salud en forma subjetiva, en relación con los mecanismos por los que los afectan a ellos y a sus hijos personalmente. Los profesionales en este campo necesitan destacar a nivel individual los peligros de las enfermedades y los beneficios de la vacunación.</w:t>
      </w:r>
    </w:p>
    <w:p w14:paraId="458168AA" w14:textId="77777777" w:rsidR="0072615D" w:rsidRDefault="0072615D">
      <w:pPr>
        <w:pStyle w:val="BodyText"/>
        <w:ind w:firstLine="360"/>
      </w:pPr>
      <w:r>
        <w:t>En el comienzo, las supuestas reacciones adversas después de la vacunación pueden publicarse en medios de comunicación masivos. Algunos progenitores quisieran tener respuestas inmediatas a sus dudas. Convendría que los profesionales asistenciales contaran con una lista de páginas Web (véase más adelante en esta sección la lista de páginas Web autorizadas) que les ayudara a esclarecer las dudas planteadas por los padres. Las organizaciones en cuestión suelen hacer intentos de resolver dudas y contestar preguntas planteadas en los medios de comunicación, en un lapso de 24 a 48 h. Como otra posibilidad, los médicos en Estados Unidos pueden llamar a la línea directa a nivel nacional sobre vacunaciones (1-800-232-2522).</w:t>
      </w:r>
    </w:p>
    <w:p w14:paraId="109918AE" w14:textId="77777777" w:rsidR="0072615D" w:rsidRDefault="0072615D">
      <w:pPr>
        <w:pStyle w:val="BodyText"/>
        <w:spacing w:after="220"/>
        <w:ind w:firstLine="360"/>
      </w:pPr>
      <w:r>
        <w:t xml:space="preserve">La </w:t>
      </w:r>
      <w:r>
        <w:rPr>
          <w:b/>
          <w:bCs/>
        </w:rPr>
        <w:t xml:space="preserve">National Network for Immunization Information </w:t>
      </w:r>
      <w:r>
        <w:t xml:space="preserve">(NNii), creada a iniciativa de </w:t>
      </w:r>
      <w:r>
        <w:rPr>
          <w:rFonts w:ascii="Times New Roman" w:eastAsia="Times New Roman" w:hAnsi="Times New Roman" w:cs="Times New Roman"/>
          <w:i/>
          <w:iCs/>
          <w:sz w:val="16"/>
          <w:szCs w:val="16"/>
        </w:rPr>
        <w:t>Infectious Diseases Society of America</w:t>
      </w:r>
      <w:r>
        <w:rPr>
          <w:i/>
          <w:iCs/>
        </w:rPr>
        <w:t xml:space="preserve">, </w:t>
      </w:r>
      <w:r>
        <w:rPr>
          <w:rFonts w:ascii="Times New Roman" w:eastAsia="Times New Roman" w:hAnsi="Times New Roman" w:cs="Times New Roman"/>
          <w:i/>
          <w:iCs/>
          <w:sz w:val="16"/>
          <w:szCs w:val="16"/>
        </w:rPr>
        <w:t>Pediatric Infectious Diseases Society</w:t>
      </w:r>
      <w:r>
        <w:rPr>
          <w:i/>
          <w:iCs/>
        </w:rPr>
        <w:t>,</w:t>
      </w:r>
      <w:r>
        <w:t xml:space="preserve"> AAP, y American Nurses Association, brinda enseñanza e información sobre aspectos de la vacunación. El organismo en cuestión también aporta otros recursos veraces para la información sobre las vacunaciones actuales, y ha publicado un auxiliar informativo denominado </w:t>
      </w:r>
      <w:r>
        <w:rPr>
          <w:rFonts w:ascii="Times New Roman" w:eastAsia="Times New Roman" w:hAnsi="Times New Roman" w:cs="Times New Roman"/>
          <w:i/>
          <w:iCs/>
          <w:sz w:val="16"/>
          <w:szCs w:val="16"/>
        </w:rPr>
        <w:t>"Communicating With Patients About Immunization</w:t>
      </w:r>
      <w:r>
        <w:rPr>
          <w:i/>
          <w:iCs/>
        </w:rPr>
        <w:t>”.</w:t>
      </w:r>
      <w:r>
        <w:t xml:space="preserve"> Los datos sobre vacunación se pueden conseguir en la página Web NNii (</w:t>
      </w:r>
      <w:hyperlink r:id="rId137" w:history="1">
        <w:r>
          <w:t>www.immunizationinfo.org</w:t>
        </w:r>
      </w:hyperlink>
      <w:r>
        <w:t>).</w:t>
      </w:r>
    </w:p>
    <w:p w14:paraId="5C54734C" w14:textId="77777777" w:rsidR="0072615D" w:rsidRDefault="0072615D">
      <w:pPr>
        <w:pStyle w:val="BodyText"/>
        <w:spacing w:after="220"/>
        <w:ind w:firstLine="0"/>
      </w:pPr>
      <w:r>
        <w:t>ASOCIACIONES, ORGANIZACIONES Y OTROS GRUPOS DE LOS QUE SE PUEDE OBTENER INFORMACIÓN SOBRE VACUNACIONES</w:t>
      </w:r>
    </w:p>
    <w:p w14:paraId="2ED80B45" w14:textId="77777777" w:rsidR="0072615D" w:rsidRDefault="0072615D">
      <w:pPr>
        <w:pStyle w:val="BodyText"/>
        <w:spacing w:after="220"/>
        <w:ind w:firstLine="0"/>
      </w:pPr>
      <w:r>
        <w:t>Algunas asociaciones de profesionales de la salud, grupos no lucrativos, universidades y organizaciones oficiales aportan datos, por Internet, sobre vacunaciones.</w:t>
      </w:r>
      <w:r>
        <w:br w:type="page"/>
      </w:r>
    </w:p>
    <w:p w14:paraId="313515AF" w14:textId="77777777" w:rsidR="0072615D" w:rsidRDefault="0072615D">
      <w:pPr>
        <w:pStyle w:val="Bodytext20"/>
        <w:spacing w:line="314" w:lineRule="auto"/>
      </w:pPr>
      <w:r>
        <w:rPr>
          <w:b/>
          <w:bCs/>
          <w:i/>
          <w:iCs/>
        </w:rPr>
        <w:t>Asociaciones de profesionales de la salud</w:t>
      </w:r>
    </w:p>
    <w:p w14:paraId="5C8D9637" w14:textId="77777777" w:rsidR="0072615D" w:rsidRDefault="0072615D">
      <w:pPr>
        <w:pStyle w:val="BodyText"/>
        <w:ind w:left="380" w:hanging="380"/>
      </w:pPr>
      <w:r>
        <w:t xml:space="preserve">American Academy of Family Physicians (AAFP) </w:t>
      </w:r>
      <w:hyperlink r:id="rId138" w:history="1">
        <w:r>
          <w:t>www.familydoctor.org</w:t>
        </w:r>
      </w:hyperlink>
    </w:p>
    <w:p w14:paraId="3EC8AC4C" w14:textId="77777777" w:rsidR="0072615D" w:rsidRDefault="0072615D">
      <w:pPr>
        <w:pStyle w:val="BodyText"/>
        <w:ind w:firstLine="0"/>
      </w:pPr>
      <w:r>
        <w:t>American Academy of Pediatrics (AAP)</w:t>
      </w:r>
    </w:p>
    <w:p w14:paraId="3386C42A" w14:textId="77777777" w:rsidR="0072615D" w:rsidRDefault="0072615D">
      <w:pPr>
        <w:pStyle w:val="BodyText"/>
        <w:ind w:left="380" w:firstLine="0"/>
      </w:pPr>
      <w:hyperlink r:id="rId139" w:history="1">
        <w:r>
          <w:t>www.aap.org</w:t>
        </w:r>
      </w:hyperlink>
      <w:r>
        <w:t xml:space="preserve"> </w:t>
      </w:r>
      <w:hyperlink r:id="rId140" w:history="1">
        <w:r>
          <w:t>www.cispimmunize.org</w:t>
        </w:r>
      </w:hyperlink>
    </w:p>
    <w:p w14:paraId="54204FF4" w14:textId="77777777" w:rsidR="0072615D" w:rsidRDefault="0072615D">
      <w:pPr>
        <w:pStyle w:val="BodyText"/>
        <w:ind w:firstLine="0"/>
      </w:pPr>
      <w:r>
        <w:t>American Medical Association (AMA)</w:t>
      </w:r>
    </w:p>
    <w:p w14:paraId="76A83587" w14:textId="77777777" w:rsidR="0072615D" w:rsidRDefault="0072615D">
      <w:pPr>
        <w:pStyle w:val="BodyText"/>
        <w:spacing w:after="60"/>
        <w:ind w:firstLine="380"/>
      </w:pPr>
      <w:hyperlink r:id="rId141" w:history="1">
        <w:r>
          <w:t>www.ama-assn.org</w:t>
        </w:r>
      </w:hyperlink>
    </w:p>
    <w:p w14:paraId="2E1A7FD8" w14:textId="77777777" w:rsidR="0072615D" w:rsidRDefault="0072615D">
      <w:pPr>
        <w:pStyle w:val="BodyText"/>
        <w:ind w:left="380" w:hanging="380"/>
      </w:pPr>
      <w:r>
        <w:t xml:space="preserve">American Nurses Association (ANA) </w:t>
      </w:r>
      <w:hyperlink r:id="rId142" w:history="1">
        <w:r>
          <w:t>www.nursingworld.org/mods/mod1/cechfull.htm</w:t>
        </w:r>
      </w:hyperlink>
    </w:p>
    <w:p w14:paraId="49A7486D" w14:textId="77777777" w:rsidR="0072615D" w:rsidRDefault="0072615D">
      <w:pPr>
        <w:pStyle w:val="BodyText"/>
        <w:ind w:left="380" w:hanging="380"/>
      </w:pPr>
      <w:r>
        <w:t xml:space="preserve">Association of State and Territorial Health Officials (ASTHO) </w:t>
      </w:r>
      <w:hyperlink r:id="rId143" w:history="1">
        <w:r>
          <w:t>www.astho.org</w:t>
        </w:r>
      </w:hyperlink>
    </w:p>
    <w:p w14:paraId="319257F6" w14:textId="77777777" w:rsidR="0072615D" w:rsidRDefault="0072615D">
      <w:pPr>
        <w:pStyle w:val="BodyText"/>
        <w:ind w:left="380" w:hanging="380"/>
      </w:pPr>
      <w:r>
        <w:t xml:space="preserve">Association of Teachers of Preventive Medicine (ATPM) </w:t>
      </w:r>
      <w:hyperlink r:id="rId144" w:history="1">
        <w:r>
          <w:t>www.atpm.org/education/education.htm</w:t>
        </w:r>
      </w:hyperlink>
    </w:p>
    <w:p w14:paraId="56455474" w14:textId="77777777" w:rsidR="0072615D" w:rsidRDefault="0072615D">
      <w:pPr>
        <w:pStyle w:val="BodyText"/>
        <w:spacing w:after="220"/>
        <w:ind w:left="380" w:hanging="380"/>
      </w:pPr>
      <w:r>
        <w:t xml:space="preserve">National Medical Association (NMA) </w:t>
      </w:r>
      <w:hyperlink r:id="rId145" w:history="1">
        <w:r>
          <w:t>www.nmanet.org</w:t>
        </w:r>
      </w:hyperlink>
    </w:p>
    <w:p w14:paraId="3CC5C90C" w14:textId="77777777" w:rsidR="0072615D" w:rsidRDefault="0072615D">
      <w:pPr>
        <w:pStyle w:val="Bodytext20"/>
        <w:spacing w:line="314" w:lineRule="auto"/>
      </w:pPr>
      <w:r>
        <w:rPr>
          <w:b/>
          <w:bCs/>
          <w:i/>
          <w:iCs/>
        </w:rPr>
        <w:t>Grupos no lucrativos y universidades</w:t>
      </w:r>
    </w:p>
    <w:p w14:paraId="0ABEA236" w14:textId="77777777" w:rsidR="0072615D" w:rsidRDefault="0072615D">
      <w:pPr>
        <w:pStyle w:val="BodyText"/>
        <w:ind w:left="380" w:hanging="380"/>
      </w:pPr>
      <w:r>
        <w:t xml:space="preserve">Albert B. Sabin Vaccine Institute </w:t>
      </w:r>
      <w:hyperlink r:id="rId146" w:history="1">
        <w:r>
          <w:t>www.sabin.org</w:t>
        </w:r>
      </w:hyperlink>
    </w:p>
    <w:p w14:paraId="4E61A4B8" w14:textId="77777777" w:rsidR="0072615D" w:rsidRDefault="0072615D">
      <w:pPr>
        <w:pStyle w:val="BodyText"/>
        <w:ind w:left="380" w:hanging="380"/>
      </w:pPr>
      <w:r>
        <w:t xml:space="preserve">Allied Vaccine Group (AVG) </w:t>
      </w:r>
      <w:hyperlink r:id="rId147" w:history="1">
        <w:r>
          <w:t>www.vaccine.org</w:t>
        </w:r>
      </w:hyperlink>
    </w:p>
    <w:p w14:paraId="12F8FC0A" w14:textId="77777777" w:rsidR="0072615D" w:rsidRDefault="0072615D">
      <w:pPr>
        <w:pStyle w:val="BodyText"/>
        <w:ind w:left="380" w:hanging="380"/>
      </w:pPr>
      <w:r>
        <w:t xml:space="preserve">Bill and Melinda Gates Children's Vaccine Program </w:t>
      </w:r>
      <w:hyperlink r:id="rId148" w:history="1">
        <w:r>
          <w:t>www.childrensvaccine.org</w:t>
        </w:r>
      </w:hyperlink>
    </w:p>
    <w:p w14:paraId="74E9D343" w14:textId="77777777" w:rsidR="0072615D" w:rsidRDefault="0072615D">
      <w:pPr>
        <w:pStyle w:val="BodyText"/>
        <w:ind w:left="380" w:hanging="380"/>
      </w:pPr>
      <w:r>
        <w:t xml:space="preserve">Every Child By Two (ECBT) </w:t>
      </w:r>
      <w:hyperlink r:id="rId149" w:history="1">
        <w:r>
          <w:t>www.ecbt.org</w:t>
        </w:r>
      </w:hyperlink>
    </w:p>
    <w:p w14:paraId="495AA40E" w14:textId="77777777" w:rsidR="0072615D" w:rsidRDefault="0072615D">
      <w:pPr>
        <w:pStyle w:val="BodyText"/>
        <w:ind w:left="380" w:hanging="380"/>
      </w:pPr>
      <w:r>
        <w:t xml:space="preserve">Global Alliance for Vaccines and Immunization (GAVI) </w:t>
      </w:r>
      <w:hyperlink r:id="rId150" w:history="1">
        <w:r>
          <w:t>www.vaccinealliance.org</w:t>
        </w:r>
      </w:hyperlink>
    </w:p>
    <w:p w14:paraId="35548A86" w14:textId="77777777" w:rsidR="0072615D" w:rsidRDefault="0072615D">
      <w:pPr>
        <w:pStyle w:val="BodyText"/>
        <w:ind w:firstLine="0"/>
      </w:pPr>
      <w:r>
        <w:t>Health on the Net Foundation (HON)</w:t>
      </w:r>
    </w:p>
    <w:p w14:paraId="0752FD91" w14:textId="77777777" w:rsidR="0072615D" w:rsidRDefault="0072615D">
      <w:pPr>
        <w:pStyle w:val="BodyText"/>
        <w:ind w:firstLine="380"/>
      </w:pPr>
      <w:hyperlink r:id="rId151" w:history="1">
        <w:r>
          <w:t>www.hon.ch</w:t>
        </w:r>
      </w:hyperlink>
    </w:p>
    <w:p w14:paraId="15D650B6" w14:textId="77777777" w:rsidR="0072615D" w:rsidRDefault="0072615D">
      <w:pPr>
        <w:pStyle w:val="BodyText"/>
        <w:ind w:left="380" w:hanging="380"/>
      </w:pPr>
      <w:r>
        <w:t xml:space="preserve">Healthy Mothers, Healthy Babies Coalition (HMHB) </w:t>
      </w:r>
      <w:hyperlink r:id="rId152" w:history="1">
        <w:r>
          <w:t>www.hmhb.org</w:t>
        </w:r>
      </w:hyperlink>
    </w:p>
    <w:p w14:paraId="59E30FF6" w14:textId="77777777" w:rsidR="0072615D" w:rsidRDefault="0072615D">
      <w:pPr>
        <w:pStyle w:val="BodyText"/>
        <w:ind w:left="380" w:hanging="380"/>
      </w:pPr>
      <w:r>
        <w:t xml:space="preserve">Immunization Action Coalition (IAC) </w:t>
      </w:r>
      <w:hyperlink r:id="rId153" w:history="1">
        <w:r>
          <w:t>www.immunize.org</w:t>
        </w:r>
      </w:hyperlink>
    </w:p>
    <w:p w14:paraId="76E832E5" w14:textId="77777777" w:rsidR="0072615D" w:rsidRDefault="0072615D">
      <w:pPr>
        <w:pStyle w:val="BodyText"/>
        <w:ind w:left="380" w:hanging="380"/>
      </w:pPr>
      <w:r>
        <w:t xml:space="preserve">Institute for Vaccine Safety (IVS), Johns Hopkins University </w:t>
      </w:r>
      <w:hyperlink r:id="rId154" w:history="1">
        <w:r>
          <w:t>www.vaccinesafety.edu</w:t>
        </w:r>
      </w:hyperlink>
    </w:p>
    <w:p w14:paraId="44F575ED" w14:textId="77777777" w:rsidR="0072615D" w:rsidRDefault="0072615D">
      <w:pPr>
        <w:pStyle w:val="BodyText"/>
        <w:ind w:firstLine="0"/>
      </w:pPr>
      <w:r>
        <w:t>Institute of Medicine</w:t>
      </w:r>
    </w:p>
    <w:p w14:paraId="17B9CCF5" w14:textId="77777777" w:rsidR="0072615D" w:rsidRDefault="0072615D">
      <w:pPr>
        <w:pStyle w:val="BodyText"/>
        <w:ind w:firstLine="380"/>
      </w:pPr>
      <w:hyperlink r:id="rId155" w:history="1">
        <w:r>
          <w:t>www.iom.edu/IOM/IOMHome.nsf/Pages/immunization+safety+review</w:t>
        </w:r>
      </w:hyperlink>
      <w:r>
        <w:t xml:space="preserve"> National Alliance for Hispanic Health</w:t>
      </w:r>
    </w:p>
    <w:p w14:paraId="4DF88DE6" w14:textId="77777777" w:rsidR="0072615D" w:rsidRDefault="0072615D">
      <w:pPr>
        <w:pStyle w:val="BodyText"/>
        <w:ind w:firstLine="380"/>
      </w:pPr>
      <w:hyperlink r:id="rId156" w:history="1">
        <w:r>
          <w:t>www.hispanichealth.org/immunization.htm</w:t>
        </w:r>
      </w:hyperlink>
    </w:p>
    <w:p w14:paraId="5368818D" w14:textId="77777777" w:rsidR="0072615D" w:rsidRDefault="0072615D">
      <w:pPr>
        <w:pStyle w:val="BodyText"/>
        <w:ind w:firstLine="0"/>
      </w:pPr>
      <w:r>
        <w:rPr>
          <w:noProof/>
        </w:rPr>
        <mc:AlternateContent>
          <mc:Choice Requires="wps">
            <w:drawing>
              <wp:anchor distT="0" distB="0" distL="114300" distR="114300" simplePos="0" relativeHeight="251669504" behindDoc="0" locked="0" layoutInCell="1" allowOverlap="1" wp14:anchorId="7B84E222" wp14:editId="33E42F42">
                <wp:simplePos x="0" y="0"/>
                <wp:positionH relativeFrom="page">
                  <wp:posOffset>697865</wp:posOffset>
                </wp:positionH>
                <wp:positionV relativeFrom="paragraph">
                  <wp:posOffset>152400</wp:posOffset>
                </wp:positionV>
                <wp:extent cx="1106170" cy="149225"/>
                <wp:effectExtent l="0" t="0" r="0" b="0"/>
                <wp:wrapTopAndBottom/>
                <wp:docPr id="133" name="Shape 133"/>
                <wp:cNvGraphicFramePr/>
                <a:graphic xmlns:a="http://schemas.openxmlformats.org/drawingml/2006/main">
                  <a:graphicData uri="http://schemas.microsoft.com/office/word/2010/wordprocessingShape">
                    <wps:wsp>
                      <wps:cNvSpPr txBox="1"/>
                      <wps:spPr>
                        <a:xfrm>
                          <a:off x="0" y="0"/>
                          <a:ext cx="1106170" cy="149225"/>
                        </a:xfrm>
                        <a:prstGeom prst="rect">
                          <a:avLst/>
                        </a:prstGeom>
                        <a:noFill/>
                      </wps:spPr>
                      <wps:txbx>
                        <w:txbxContent>
                          <w:p w14:paraId="49665592" w14:textId="77777777" w:rsidR="0072615D" w:rsidRDefault="0072615D">
                            <w:pPr>
                              <w:pStyle w:val="BodyText"/>
                              <w:spacing w:line="240" w:lineRule="auto"/>
                              <w:ind w:firstLine="0"/>
                            </w:pPr>
                            <w:hyperlink r:id="rId157" w:history="1">
                              <w:r>
                                <w:t>www.imunizationinfo</w:t>
                              </w:r>
                            </w:hyperlink>
                            <w:r>
                              <w:t>.</w:t>
                            </w:r>
                          </w:p>
                        </w:txbxContent>
                      </wps:txbx>
                      <wps:bodyPr wrap="none" lIns="0" tIns="0" rIns="0" bIns="0"/>
                    </wps:wsp>
                  </a:graphicData>
                </a:graphic>
              </wp:anchor>
            </w:drawing>
          </mc:Choice>
          <mc:Fallback>
            <w:pict>
              <v:shape w14:anchorId="7B84E222" id="Shape 133" o:spid="_x0000_s1036" type="#_x0000_t202" style="position:absolute;margin-left:54.95pt;margin-top:12pt;width:87.1pt;height:11.75pt;z-index:25166950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" filled="f" stroked="f">
                <v:textbox inset="0,0,0,0">
                  <w:txbxContent>
                    <w:p w14:paraId="49665592" w14:textId="77777777" w:rsidR="0072615D" w:rsidRDefault="0072615D">
                      <w:pPr>
                        <w:pStyle w:val="BodyText"/>
                        <w:spacing w:line="240" w:lineRule="auto"/>
                        <w:ind w:firstLine="0"/>
                      </w:pPr>
                      <w:hyperlink r:id="rId158" w:history="1">
                        <w:r>
                          <w:t>www.imunizationinfo</w:t>
                        </w:r>
                      </w:hyperlink>
                      <w:r>
                        <w:t>.</w:t>
                      </w:r>
                    </w:p>
                  </w:txbxContent>
                </v:textbox>
                <w10:wrap type="topAndBottom" anchorx="page"/>
              </v:shape>
            </w:pict>
          </mc:Fallback>
        </mc:AlternateContent>
      </w:r>
      <w:r>
        <w:rPr>
          <w:noProof/>
        </w:rPr>
        <mc:AlternateContent>
          <mc:Choice Requires="wps">
            <w:drawing>
              <wp:anchor distT="0" distB="0" distL="114300" distR="114300" simplePos="0" relativeHeight="251670528" behindDoc="0" locked="0" layoutInCell="1" allowOverlap="1" wp14:anchorId="53F5C906" wp14:editId="172DC10D">
                <wp:simplePos x="0" y="0"/>
                <wp:positionH relativeFrom="page">
                  <wp:posOffset>1807845</wp:posOffset>
                </wp:positionH>
                <wp:positionV relativeFrom="paragraph">
                  <wp:posOffset>152400</wp:posOffset>
                </wp:positionV>
                <wp:extent cx="182880" cy="158750"/>
                <wp:effectExtent l="0" t="0" r="0" b="0"/>
                <wp:wrapTopAndBottom/>
                <wp:docPr id="135" name="Shape 135"/>
                <wp:cNvGraphicFramePr/>
                <a:graphic xmlns:a="http://schemas.openxmlformats.org/drawingml/2006/main">
                  <a:graphicData uri="http://schemas.microsoft.com/office/word/2010/wordprocessingShape">
                    <wps:wsp>
                      <wps:cNvSpPr txBox="1"/>
                      <wps:spPr>
                        <a:xfrm>
                          <a:off x="0" y="0"/>
                          <a:ext cx="182880" cy="158750"/>
                        </a:xfrm>
                        <a:prstGeom prst="rect">
                          <a:avLst/>
                        </a:prstGeom>
                        <a:noFill/>
                      </wps:spPr>
                      <wps:txbx>
                        <w:txbxContent>
                          <w:p w14:paraId="35992E65" w14:textId="77777777" w:rsidR="0072615D" w:rsidRDefault="0072615D">
                            <w:pPr>
                              <w:pStyle w:val="BodyText"/>
                              <w:spacing w:line="240" w:lineRule="auto"/>
                              <w:ind w:firstLine="0"/>
                            </w:pPr>
                            <w:r>
                              <w:t>org</w:t>
                            </w:r>
                          </w:p>
                        </w:txbxContent>
                      </wps:txbx>
                      <wps:bodyPr wrap="none" lIns="0" tIns="0" rIns="0" bIns="0"/>
                    </wps:wsp>
                  </a:graphicData>
                </a:graphic>
              </wp:anchor>
            </w:drawing>
          </mc:Choice>
          <mc:Fallback>
            <w:pict>
              <v:shape w14:anchorId="53F5C906" id="Shape 135" o:spid="_x0000_s1037" type="#_x0000_t202" style="position:absolute;margin-left:142.35pt;margin-top:12pt;width:14.4pt;height:12.5pt;z-index:25167052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" filled="f" stroked="f">
                <v:textbox inset="0,0,0,0">
                  <w:txbxContent>
                    <w:p w14:paraId="35992E65" w14:textId="77777777" w:rsidR="0072615D" w:rsidRDefault="0072615D">
                      <w:pPr>
                        <w:pStyle w:val="BodyText"/>
                        <w:spacing w:line="240" w:lineRule="auto"/>
                        <w:ind w:firstLine="0"/>
                      </w:pPr>
                      <w:r>
                        <w:t>org</w:t>
                      </w:r>
                    </w:p>
                  </w:txbxContent>
                </v:textbox>
                <w10:wrap type="topAndBottom" anchorx="page"/>
              </v:shape>
            </w:pict>
          </mc:Fallback>
        </mc:AlternateContent>
      </w:r>
      <w:r>
        <w:t>National Network for Immunization Information (NNii)</w:t>
      </w:r>
    </w:p>
    <w:p w14:paraId="6B3EE59F" w14:textId="77777777" w:rsidR="0072615D" w:rsidRDefault="0072615D">
      <w:pPr>
        <w:pStyle w:val="BodyText"/>
        <w:spacing w:line="240" w:lineRule="auto"/>
        <w:ind w:firstLine="0"/>
      </w:pPr>
      <w:r>
        <w:t>Parents of Kids with Infectious Diseases (PKIDS)</w:t>
      </w:r>
    </w:p>
    <w:p w14:paraId="66FBF813" w14:textId="77777777" w:rsidR="0072615D" w:rsidRDefault="0072615D">
      <w:pPr>
        <w:pStyle w:val="BodyText"/>
        <w:ind w:firstLine="380"/>
      </w:pPr>
      <w:hyperlink r:id="rId159" w:history="1">
        <w:r>
          <w:t>www.pkids.org</w:t>
        </w:r>
      </w:hyperlink>
    </w:p>
    <w:p w14:paraId="6B68DFB8" w14:textId="77777777" w:rsidR="0072615D" w:rsidRDefault="0072615D">
      <w:pPr>
        <w:pStyle w:val="BodyText"/>
        <w:ind w:left="380" w:hanging="380"/>
      </w:pPr>
      <w:r>
        <w:t xml:space="preserve">The Vaccine Education Center at the Children's Hospital of Philadelphia </w:t>
      </w:r>
      <w:hyperlink r:id="rId160" w:history="1">
        <w:r>
          <w:t>www.vaccine.chop.edu</w:t>
        </w:r>
      </w:hyperlink>
    </w:p>
    <w:p w14:paraId="315B887C" w14:textId="77777777" w:rsidR="0072615D" w:rsidRDefault="0072615D">
      <w:pPr>
        <w:pStyle w:val="BodyText"/>
        <w:ind w:firstLine="0"/>
      </w:pPr>
      <w:r>
        <w:t>The Vaccine Page</w:t>
      </w:r>
    </w:p>
    <w:p w14:paraId="1F8FD397" w14:textId="77777777" w:rsidR="0072615D" w:rsidRDefault="0072615D">
      <w:pPr>
        <w:pStyle w:val="BodyText"/>
        <w:spacing w:after="60"/>
        <w:ind w:firstLine="380"/>
        <w:sectPr w:rsidR="0072615D" w:rsidSect="0072615D">
          <w:headerReference w:type="even" r:id="rId161"/>
          <w:headerReference w:type="default" r:id="rId162"/>
          <w:footerReference w:type="even" r:id="rId163"/>
          <w:footerReference w:type="default" r:id="rId164"/>
          <w:type w:val="continuous"/>
          <w:pgSz w:w="8501" w:h="13022"/>
          <w:pgMar w:top="912" w:right="881" w:bottom="490" w:left="742" w:header="0" w:footer="3" w:gutter="0"/>
          <w:cols w:space="720"/>
          <w:noEndnote/>
          <w:docGrid w:linePitch="360"/>
          <w15:footnoteColumns w:val="1"/>
        </w:sectPr>
      </w:pPr>
      <w:hyperlink r:id="rId165" w:history="1">
        <w:r>
          <w:t>www.vaccines.com</w:t>
        </w:r>
      </w:hyperlink>
    </w:p>
    <w:p w14:paraId="6BB519D3" w14:textId="77777777" w:rsidR="0072615D" w:rsidRDefault="0072615D">
      <w:pPr>
        <w:pStyle w:val="Bodytext20"/>
        <w:spacing w:line="314" w:lineRule="auto"/>
      </w:pPr>
      <w:r>
        <w:rPr>
          <w:b/>
          <w:bCs/>
          <w:i/>
          <w:iCs/>
        </w:rPr>
        <w:t>Organizaciones oficiales</w:t>
      </w:r>
    </w:p>
    <w:p w14:paraId="1DACA8EB" w14:textId="77777777" w:rsidR="0072615D" w:rsidRDefault="0072615D">
      <w:pPr>
        <w:pStyle w:val="BodyText"/>
        <w:ind w:left="360" w:hanging="360"/>
      </w:pPr>
      <w:r>
        <w:t xml:space="preserve">Centers for Disease Control and Prevention (CDC) </w:t>
      </w:r>
      <w:hyperlink r:id="rId166" w:history="1">
        <w:r>
          <w:t>http://phil.cdc.gov/phil</w:t>
        </w:r>
      </w:hyperlink>
      <w:r>
        <w:t xml:space="preserve"> </w:t>
      </w:r>
      <w:hyperlink r:id="rId167" w:history="1">
        <w:r>
          <w:t>www.cdc.gov/travel/vaccinat.htm</w:t>
        </w:r>
      </w:hyperlink>
    </w:p>
    <w:p w14:paraId="03D8FD31" w14:textId="77777777" w:rsidR="0072615D" w:rsidRDefault="0072615D">
      <w:pPr>
        <w:pStyle w:val="BodyText"/>
        <w:ind w:left="360" w:hanging="360"/>
      </w:pPr>
      <w:r>
        <w:t xml:space="preserve">National Center for Infectious Diseases (NCID) </w:t>
      </w:r>
      <w:hyperlink r:id="rId168" w:history="1">
        <w:r>
          <w:t>www.cdc.gov/ncidod</w:t>
        </w:r>
      </w:hyperlink>
    </w:p>
    <w:p w14:paraId="3675EEA8" w14:textId="77777777" w:rsidR="0072615D" w:rsidRDefault="0072615D">
      <w:pPr>
        <w:pStyle w:val="BodyText"/>
        <w:ind w:left="360" w:hanging="360"/>
      </w:pPr>
      <w:r>
        <w:t xml:space="preserve">National Immunization Program (NIP) </w:t>
      </w:r>
      <w:hyperlink r:id="rId169" w:history="1">
        <w:r>
          <w:t>www.cdc.gov/nip</w:t>
        </w:r>
      </w:hyperlink>
      <w:r>
        <w:t xml:space="preserve"> </w:t>
      </w:r>
      <w:hyperlink r:id="rId170" w:history="1">
        <w:r>
          <w:t>www.cdc.gov/nip/publications</w:t>
        </w:r>
      </w:hyperlink>
    </w:p>
    <w:p w14:paraId="6551832A" w14:textId="77777777" w:rsidR="0072615D" w:rsidRDefault="0072615D">
      <w:pPr>
        <w:pStyle w:val="BodyText"/>
        <w:ind w:left="360" w:hanging="360"/>
      </w:pPr>
      <w:r>
        <w:t xml:space="preserve">National Vaccine Program Office (NVPO) </w:t>
      </w:r>
      <w:hyperlink r:id="rId171" w:history="1">
        <w:r>
          <w:t>www.cdc.gov/od/nvpo</w:t>
        </w:r>
      </w:hyperlink>
    </w:p>
    <w:p w14:paraId="0321BDD3" w14:textId="77777777" w:rsidR="0072615D" w:rsidRDefault="0072615D">
      <w:pPr>
        <w:pStyle w:val="BodyText"/>
        <w:ind w:left="360" w:hanging="360"/>
      </w:pPr>
      <w:r>
        <w:t xml:space="preserve">National Institute of Allergy and Infectious Diseases (NIAID) </w:t>
      </w:r>
      <w:hyperlink r:id="rId172" w:history="1">
        <w:r>
          <w:t>www.niaid.nih.gov/dmid/vaccines</w:t>
        </w:r>
      </w:hyperlink>
    </w:p>
    <w:p w14:paraId="407BF9C8" w14:textId="77777777" w:rsidR="0072615D" w:rsidRDefault="0072615D">
      <w:pPr>
        <w:pStyle w:val="BodyText"/>
        <w:ind w:firstLine="0"/>
      </w:pPr>
      <w:r>
        <w:t>World Health Organization</w:t>
      </w:r>
    </w:p>
    <w:p w14:paraId="6F2A34FD" w14:textId="77777777" w:rsidR="0072615D" w:rsidRDefault="0072615D">
      <w:pPr>
        <w:pStyle w:val="BodyText"/>
        <w:spacing w:after="320"/>
        <w:ind w:firstLine="360"/>
      </w:pPr>
      <w:hyperlink r:id="rId173" w:history="1">
        <w:r>
          <w:t>www.who.int/vaccines</w:t>
        </w:r>
      </w:hyperlink>
    </w:p>
    <w:p w14:paraId="413FBBC1" w14:textId="77777777" w:rsidR="0072615D" w:rsidRDefault="0072615D">
      <w:pPr>
        <w:pStyle w:val="Bodytext100"/>
      </w:pPr>
      <w:r>
        <w:rPr>
          <w:sz w:val="34"/>
          <w:szCs w:val="34"/>
        </w:rPr>
        <w:t>I</w:t>
      </w:r>
      <w:r>
        <w:t>nmunización pasiva</w:t>
      </w:r>
    </w:p>
    <w:p w14:paraId="4512C00B" w14:textId="77777777" w:rsidR="0072615D" w:rsidRDefault="0072615D">
      <w:pPr>
        <w:pStyle w:val="BodyText"/>
        <w:ind w:firstLine="0"/>
      </w:pPr>
      <w:r>
        <w:t>La inmunización pasiva consiste en la administración de un anticuerpo preelaborado a un receptor. Conviene realizarla en las circunstancias generales que se señalan a continuación, para evitar o disminuir la gravedad de enfermedades infecciosas:</w:t>
      </w:r>
    </w:p>
    <w:p w14:paraId="7B5E332B" w14:textId="77777777" w:rsidR="0072615D" w:rsidRDefault="0072615D">
      <w:pPr>
        <w:pStyle w:val="BodyText"/>
        <w:numPr>
          <w:ilvl w:val="0"/>
          <w:numId w:val="31"/>
        </w:numPr>
        <w:tabs>
          <w:tab w:val="left" w:pos="341"/>
        </w:tabs>
        <w:ind w:left="360" w:hanging="360"/>
      </w:pPr>
      <w:bookmarkStart w:id="236" w:name="bookmark236"/>
      <w:bookmarkEnd w:id="236"/>
      <w:r>
        <w:t>Cuando las personas muestran síntesis deficiente de anticuerpos como resultado de algún defecto congénito o de linfocitos B adquiridos, solos o en combinación con otras inmunodeficiencias</w:t>
      </w:r>
    </w:p>
    <w:p w14:paraId="67DDFC45" w14:textId="77777777" w:rsidR="0072615D" w:rsidRDefault="0072615D">
      <w:pPr>
        <w:pStyle w:val="BodyText"/>
        <w:numPr>
          <w:ilvl w:val="0"/>
          <w:numId w:val="31"/>
        </w:numPr>
        <w:tabs>
          <w:tab w:val="left" w:pos="341"/>
        </w:tabs>
        <w:ind w:left="360" w:hanging="360"/>
      </w:pPr>
      <w:bookmarkStart w:id="237" w:name="bookmark237"/>
      <w:bookmarkEnd w:id="237"/>
      <w:r>
        <w:t>Cuando un individuo susceptible a una enfermedad queda expuesto o tiene enorme posibilidad de exponerse a dicha infección, en particular cuando existe un alto riesgo de que sufra complicaciones por el padecimiento (p. ej., el niño leucémico expuesto a un enfermo de varicela o sarampión), o cuando el tiempo no permite contar con protección adecuada por medio de la inmunización activa sola, como algunas situaciones después de exposición a enfermedades como sarampión, rabia o hepatitis B</w:t>
      </w:r>
    </w:p>
    <w:p w14:paraId="4A23C273" w14:textId="77777777" w:rsidR="0072615D" w:rsidRDefault="0072615D">
      <w:pPr>
        <w:pStyle w:val="BodyText"/>
        <w:numPr>
          <w:ilvl w:val="0"/>
          <w:numId w:val="31"/>
        </w:numPr>
        <w:tabs>
          <w:tab w:val="left" w:pos="341"/>
        </w:tabs>
        <w:ind w:left="360" w:hanging="360"/>
      </w:pPr>
      <w:bookmarkStart w:id="238" w:name="bookmark238"/>
      <w:bookmarkEnd w:id="238"/>
      <w:r>
        <w:t>Con fin terapéutico, cuando existe ya una enfermedad, los anticuerpos pueden aplacar o facilitar la supresión de los efectos de una toxina (como en el caso del botulismo de origen alimentario o de heridas, la difteria o el tétanos), o suprimir la respuesta inflamatoria (como en el síndrome de Kawasaki)</w:t>
      </w:r>
    </w:p>
    <w:p w14:paraId="58E79862" w14:textId="77777777" w:rsidR="0072615D" w:rsidRDefault="0072615D">
      <w:pPr>
        <w:pStyle w:val="BodyText"/>
        <w:ind w:firstLine="360"/>
      </w:pPr>
      <w:r>
        <w:t>Se ha logrado la inmunización pasiva con varios tipos de productos. La sustancia elegida depende de los tipos de productos en el mercado, la índole del anticuerpo buscado, la vía de administración, las fechas y otras consideraciones. Los productos incluyen concentrado de inmunoglobulina (IG) y preparados específicos (“globulina hiperinmunitaria”) y aplicación intramuscular, concentrados específicos de inmunoglobulinas intravenosa (IGIV), hiperinmunitaria administrada por vía intravenosa, plasma humano y anticuerpos de origen animal.</w:t>
      </w:r>
    </w:p>
    <w:p w14:paraId="47CDC2F0" w14:textId="77777777" w:rsidR="0072615D" w:rsidRDefault="0072615D">
      <w:pPr>
        <w:pStyle w:val="BodyText"/>
        <w:ind w:firstLine="360"/>
      </w:pPr>
      <w:r>
        <w:t xml:space="preserve">En el </w:t>
      </w:r>
      <w:r>
        <w:rPr>
          <w:rFonts w:ascii="Times New Roman" w:eastAsia="Times New Roman" w:hAnsi="Times New Roman" w:cs="Times New Roman"/>
          <w:i/>
          <w:iCs/>
          <w:sz w:val="16"/>
          <w:szCs w:val="16"/>
        </w:rPr>
        <w:t>Red Book</w:t>
      </w:r>
      <w:r>
        <w:t xml:space="preserve"> no se revisan las indicaciones para administrar concentrados inmunoglobulínicos, salvo los que tienen importancia en enfermedades infecciosas.</w:t>
      </w:r>
    </w:p>
    <w:p w14:paraId="3BBC5B23" w14:textId="77777777" w:rsidR="0072615D" w:rsidRDefault="0072615D">
      <w:pPr>
        <w:pStyle w:val="BodyText"/>
        <w:spacing w:after="280"/>
        <w:ind w:firstLine="360"/>
      </w:pPr>
      <w:r>
        <w:t>La sangre y sus componentes para transfusión (incluido el plasma), obtenida de bancos registrados en Estados Unidos son sometidas a pruebas para identificar patógenos que por ella viajan, incluidos los de la sífilis, los virus de hepatitis B y C</w:t>
      </w:r>
    </w:p>
    <w:p w14:paraId="44012169" w14:textId="77777777" w:rsidR="0072615D" w:rsidRDefault="0072615D">
      <w:pPr>
        <w:pStyle w:val="Bodytext20"/>
        <w:spacing w:line="314" w:lineRule="auto"/>
      </w:pPr>
      <w:r>
        <w:rPr>
          <w:b/>
          <w:bCs/>
          <w:i/>
          <w:iCs/>
        </w:rPr>
        <w:t>Organizaciones oficiales</w:t>
      </w:r>
    </w:p>
    <w:p w14:paraId="7A6B8EDC" w14:textId="77777777" w:rsidR="0072615D" w:rsidRDefault="0072615D">
      <w:pPr>
        <w:pStyle w:val="BodyText"/>
        <w:ind w:left="360" w:hanging="360"/>
      </w:pPr>
      <w:r>
        <w:t xml:space="preserve">Centers for Disease Control and Prevention (CDC) </w:t>
      </w:r>
      <w:hyperlink r:id="rId174" w:history="1">
        <w:r>
          <w:t>http://phil.cdc.gov/phil</w:t>
        </w:r>
      </w:hyperlink>
      <w:r>
        <w:t xml:space="preserve"> </w:t>
      </w:r>
      <w:hyperlink r:id="rId175" w:history="1">
        <w:r>
          <w:t>www.cdc.gov/travel/vaccinat.htm</w:t>
        </w:r>
      </w:hyperlink>
    </w:p>
    <w:p w14:paraId="0B548656" w14:textId="77777777" w:rsidR="0072615D" w:rsidRDefault="0072615D">
      <w:pPr>
        <w:pStyle w:val="BodyText"/>
        <w:ind w:left="360" w:hanging="360"/>
      </w:pPr>
      <w:r>
        <w:t xml:space="preserve">National Center for Infectious Diseases (NCID) </w:t>
      </w:r>
      <w:hyperlink r:id="rId176" w:history="1">
        <w:r>
          <w:t>www.cdc.gov/ncidod</w:t>
        </w:r>
      </w:hyperlink>
    </w:p>
    <w:p w14:paraId="44B240D2" w14:textId="77777777" w:rsidR="0072615D" w:rsidRDefault="0072615D">
      <w:pPr>
        <w:pStyle w:val="BodyText"/>
        <w:ind w:left="360" w:hanging="360"/>
      </w:pPr>
      <w:r>
        <w:t xml:space="preserve">National Immunization Program (NIP) </w:t>
      </w:r>
      <w:hyperlink r:id="rId177" w:history="1">
        <w:r>
          <w:t>www.cdc.gov/nip</w:t>
        </w:r>
      </w:hyperlink>
      <w:r>
        <w:t xml:space="preserve"> </w:t>
      </w:r>
      <w:hyperlink r:id="rId178" w:history="1">
        <w:r>
          <w:t>www.cdc.gov/nip/publications</w:t>
        </w:r>
      </w:hyperlink>
    </w:p>
    <w:p w14:paraId="056D9F3F" w14:textId="77777777" w:rsidR="0072615D" w:rsidRDefault="0072615D">
      <w:pPr>
        <w:pStyle w:val="BodyText"/>
        <w:ind w:left="360" w:hanging="360"/>
      </w:pPr>
      <w:r>
        <w:t xml:space="preserve">National Vaccine Program Office (NVPO) </w:t>
      </w:r>
      <w:hyperlink r:id="rId179" w:history="1">
        <w:r>
          <w:t>www.cdc.gov/od/nvpo</w:t>
        </w:r>
      </w:hyperlink>
    </w:p>
    <w:p w14:paraId="5982D707" w14:textId="77777777" w:rsidR="0072615D" w:rsidRDefault="0072615D">
      <w:pPr>
        <w:pStyle w:val="BodyText"/>
        <w:ind w:left="360" w:hanging="360"/>
      </w:pPr>
      <w:r>
        <w:t xml:space="preserve">National Institute of Allergy and Infectious Diseases (NIAID) </w:t>
      </w:r>
      <w:hyperlink r:id="rId180" w:history="1">
        <w:r>
          <w:t>www.niaid.nih.gov/dmid/vaccines</w:t>
        </w:r>
      </w:hyperlink>
    </w:p>
    <w:p w14:paraId="0B8008A7" w14:textId="77777777" w:rsidR="0072615D" w:rsidRDefault="0072615D">
      <w:pPr>
        <w:pStyle w:val="BodyText"/>
        <w:ind w:firstLine="0"/>
      </w:pPr>
      <w:r>
        <w:t>World Health Organization</w:t>
      </w:r>
    </w:p>
    <w:p w14:paraId="49D8B1BB" w14:textId="77777777" w:rsidR="0072615D" w:rsidRDefault="0072615D">
      <w:pPr>
        <w:pStyle w:val="BodyText"/>
        <w:spacing w:after="320"/>
        <w:ind w:firstLine="360"/>
      </w:pPr>
      <w:hyperlink r:id="rId181" w:history="1">
        <w:r>
          <w:t>www.who.int/vaccines</w:t>
        </w:r>
      </w:hyperlink>
    </w:p>
    <w:p w14:paraId="19271C37" w14:textId="77777777" w:rsidR="0072615D" w:rsidRDefault="0072615D">
      <w:pPr>
        <w:pStyle w:val="Bodytext100"/>
      </w:pPr>
      <w:r>
        <w:rPr>
          <w:sz w:val="34"/>
          <w:szCs w:val="34"/>
        </w:rPr>
        <w:t>I</w:t>
      </w:r>
      <w:r>
        <w:t>nmunización pasiva</w:t>
      </w:r>
    </w:p>
    <w:p w14:paraId="0C723630" w14:textId="77777777" w:rsidR="0072615D" w:rsidRDefault="0072615D">
      <w:pPr>
        <w:pStyle w:val="BodyText"/>
        <w:ind w:firstLine="0"/>
      </w:pPr>
      <w:r>
        <w:t>La inmunización pasiva consiste en la administración de un anticuerpo preelaborado a un receptor. Conviene realizarla en las circunstancias generales que se señalan a continuación, para evitar o disminuir la gravedad de enfermedades infecciosas:</w:t>
      </w:r>
    </w:p>
    <w:p w14:paraId="14957880" w14:textId="77777777" w:rsidR="0072615D" w:rsidRDefault="0072615D">
      <w:pPr>
        <w:pStyle w:val="BodyText"/>
        <w:numPr>
          <w:ilvl w:val="0"/>
          <w:numId w:val="31"/>
        </w:numPr>
        <w:tabs>
          <w:tab w:val="left" w:pos="341"/>
        </w:tabs>
        <w:ind w:left="360" w:hanging="360"/>
      </w:pPr>
      <w:bookmarkStart w:id="239" w:name="bookmark239"/>
      <w:bookmarkEnd w:id="239"/>
      <w:r>
        <w:t>Cuando las personas muestran síntesis deficiente de anticuerpos como resultado de algún defecto congénito o de linfocitos B adquiridos, solos o en combinación con otras inmunodeficiencias</w:t>
      </w:r>
    </w:p>
    <w:p w14:paraId="453C8EA8" w14:textId="77777777" w:rsidR="0072615D" w:rsidRDefault="0072615D">
      <w:pPr>
        <w:pStyle w:val="BodyText"/>
        <w:numPr>
          <w:ilvl w:val="0"/>
          <w:numId w:val="31"/>
        </w:numPr>
        <w:tabs>
          <w:tab w:val="left" w:pos="341"/>
        </w:tabs>
        <w:ind w:left="360" w:hanging="360"/>
      </w:pPr>
      <w:bookmarkStart w:id="240" w:name="bookmark240"/>
      <w:bookmarkEnd w:id="240"/>
      <w:r>
        <w:t>Cuando un individuo susceptible a una enfermedad queda expuesto o tiene enorme posibilidad de exponerse a dicha infección, en particular cuando existe un alto riesgo de que sufra complicaciones por el padecimiento (p. ej., el niño leucémico expuesto a un enfermo de varicela o sarampión), o cuando el tiempo no permite contar con protección adecuada por medio de la inmunización activa sola, como algunas situaciones después de exposición a enfermedades como sarampión, rabia o hepatitis B</w:t>
      </w:r>
    </w:p>
    <w:p w14:paraId="3F3999CC" w14:textId="77777777" w:rsidR="0072615D" w:rsidRDefault="0072615D">
      <w:pPr>
        <w:pStyle w:val="BodyText"/>
        <w:numPr>
          <w:ilvl w:val="0"/>
          <w:numId w:val="31"/>
        </w:numPr>
        <w:tabs>
          <w:tab w:val="left" w:pos="341"/>
        </w:tabs>
        <w:ind w:left="360" w:hanging="360"/>
      </w:pPr>
      <w:bookmarkStart w:id="241" w:name="bookmark241"/>
      <w:bookmarkEnd w:id="241"/>
      <w:r>
        <w:t>Con fin terapéutico, cuando existe ya una enfermedad, los anticuerpos pueden aplacar o facilitar la supresión de los efectos de una toxina (como en el caso del botulismo de origen alimentario o de heridas, la difteria o el tétanos), o suprimir la respuesta inflamatoria (como en el síndrome de Kawasaki)</w:t>
      </w:r>
    </w:p>
    <w:p w14:paraId="1FCE0DFD" w14:textId="77777777" w:rsidR="0072615D" w:rsidRDefault="0072615D">
      <w:pPr>
        <w:pStyle w:val="BodyText"/>
        <w:ind w:firstLine="360"/>
      </w:pPr>
      <w:r>
        <w:t>Se ha logrado la inmunización pasiva con varios tipos de productos. La sustancia elegida depende de los tipos de productos en el mercado, la índole del anticuerpo buscado, la vía de administración, las fechas y otras consideraciones. Los productos incluyen concentrado de inmunoglobulina (IG) y preparados específicos (“globulina hiperinmunitaria”) y aplicación intramuscular, concentrados específicos de inmunoglobulinas intravenosa (IGIV), hiperinmunitaria administrada por vía intravenosa, plasma humano y anticuerpos de origen animal.</w:t>
      </w:r>
    </w:p>
    <w:p w14:paraId="3EFB6572" w14:textId="77777777" w:rsidR="0072615D" w:rsidRDefault="0072615D">
      <w:pPr>
        <w:pStyle w:val="BodyText"/>
        <w:ind w:firstLine="360"/>
      </w:pPr>
      <w:r>
        <w:t xml:space="preserve">En el </w:t>
      </w:r>
      <w:r>
        <w:rPr>
          <w:rFonts w:ascii="Times New Roman" w:eastAsia="Times New Roman" w:hAnsi="Times New Roman" w:cs="Times New Roman"/>
          <w:i/>
          <w:iCs/>
          <w:sz w:val="16"/>
          <w:szCs w:val="16"/>
        </w:rPr>
        <w:t>Red Book</w:t>
      </w:r>
      <w:r>
        <w:t xml:space="preserve"> no se revisan las indicaciones para administrar concentrados inmunoglobulínicos, salvo los que tienen importancia en enfermedades infecciosas.</w:t>
      </w:r>
    </w:p>
    <w:p w14:paraId="4D6FABA4" w14:textId="77777777" w:rsidR="0072615D" w:rsidRDefault="0072615D">
      <w:pPr>
        <w:pStyle w:val="BodyText"/>
        <w:spacing w:after="100"/>
        <w:ind w:firstLine="360"/>
        <w:sectPr w:rsidR="0072615D" w:rsidSect="0072615D">
          <w:headerReference w:type="even" r:id="rId182"/>
          <w:headerReference w:type="default" r:id="rId183"/>
          <w:footerReference w:type="even" r:id="rId184"/>
          <w:footerReference w:type="default" r:id="rId185"/>
          <w:type w:val="continuous"/>
          <w:pgSz w:w="8501" w:h="13022"/>
          <w:pgMar w:top="912" w:right="881" w:bottom="490" w:left="742" w:header="0" w:footer="62" w:gutter="0"/>
          <w:cols w:space="720"/>
          <w:noEndnote/>
          <w:docGrid w:linePitch="360"/>
          <w15:footnoteColumns w:val="1"/>
        </w:sectPr>
      </w:pPr>
      <w:r>
        <w:t xml:space="preserve">La sangre y sus componentes para transfusión (incluido el plasma), obtenida de bancos registrados en Estados Unidos son sometidas a pruebas para identificar patógenos que por ella viajan, incluidos los de la sífilis, los virus de hepatitis B y C </w:t>
      </w:r>
    </w:p>
    <w:p w14:paraId="50189BA0" w14:textId="77777777" w:rsidR="0072615D" w:rsidRDefault="0072615D">
      <w:pPr>
        <w:pStyle w:val="BodyText"/>
        <w:spacing w:after="100"/>
        <w:ind w:firstLine="0"/>
      </w:pPr>
      <w:r>
        <w:rPr>
          <w:i/>
          <w:iCs/>
        </w:rPr>
        <w:t>(</w:t>
      </w:r>
      <w:r>
        <w:rPr>
          <w:rFonts w:ascii="Times New Roman" w:eastAsia="Times New Roman" w:hAnsi="Times New Roman" w:cs="Times New Roman"/>
          <w:i/>
          <w:iCs/>
          <w:sz w:val="16"/>
          <w:szCs w:val="16"/>
        </w:rPr>
        <w:t>hepatitis C virus</w:t>
      </w:r>
      <w:r>
        <w:rPr>
          <w:i/>
          <w:iCs/>
        </w:rPr>
        <w:t>,</w:t>
      </w:r>
      <w:r>
        <w:t xml:space="preserve"> HCV), los virus de inmunodeficiencia humana (VIH)-1, VIH-2 y los virus linfotrópicos T humanos </w:t>
      </w:r>
      <w:r>
        <w:rPr>
          <w:i/>
          <w:iCs/>
        </w:rPr>
        <w:t>(</w:t>
      </w:r>
      <w:r>
        <w:rPr>
          <w:rFonts w:ascii="Times New Roman" w:eastAsia="Times New Roman" w:hAnsi="Times New Roman" w:cs="Times New Roman"/>
          <w:i/>
          <w:iCs/>
          <w:sz w:val="16"/>
          <w:szCs w:val="16"/>
        </w:rPr>
        <w:t>human T-lymphotropic virus</w:t>
      </w:r>
      <w:r>
        <w:rPr>
          <w:i/>
          <w:iCs/>
        </w:rPr>
        <w:t>,</w:t>
      </w:r>
      <w:r>
        <w:t xml:space="preserve"> HTLV)-I y HTLV-II (véase “Aspectos de seguridad en el uso de sangre y hemoderivados: disminución del riesgo de infecciones transmitidas en transfusiones”, sección 2). Los establecimientos autorizados por el gobierno de Estados Unidos realizan un grupo similar de pruebas, y reúnen plasma utilizado únicamente para elaborar derivados de este líquido, como IGIV, IG y otras inmunoglobulinas específicas. No ha habido señalamientos en Estados Unidos de preparados inmunoglobulínicos específicos de IG autorizados que hayan sido vinculados con la transmisión de cualquiera de las enfermedades mencionadas. En 1994 se vinculó la transmisión del virus de hepatitis C con la administración de IGIV producida por un solo fabricante. Actualmente, en Estados Unidos, la </w:t>
      </w:r>
      <w:r>
        <w:rPr>
          <w:rFonts w:ascii="Times New Roman" w:eastAsia="Times New Roman" w:hAnsi="Times New Roman" w:cs="Times New Roman"/>
          <w:i/>
          <w:iCs/>
          <w:sz w:val="16"/>
          <w:szCs w:val="16"/>
        </w:rPr>
        <w:t>Food and Drug Administration</w:t>
      </w:r>
      <w:r>
        <w:t xml:space="preserve"> exige la aplicación de métodos complementarios de elaboración que inactiven o eliminen virus en la elaboración de IGIV y otros preparados inmunoglobulínicos para administración intravenosa o intramuscular (IV o IM).</w:t>
      </w:r>
    </w:p>
    <w:p w14:paraId="5B173C4A" w14:textId="77777777" w:rsidR="0072615D" w:rsidRDefault="0072615D">
      <w:pPr>
        <w:pStyle w:val="Bodytext70"/>
        <w:spacing w:after="220"/>
      </w:pPr>
      <w:r>
        <w:t>Concentrados de inmunoglobulinas</w:t>
      </w:r>
    </w:p>
    <w:p w14:paraId="2570C3B1" w14:textId="77777777" w:rsidR="0072615D" w:rsidRDefault="0072615D">
      <w:pPr>
        <w:pStyle w:val="BodyText"/>
        <w:ind w:firstLine="0"/>
      </w:pPr>
      <w:r>
        <w:t>Las inmunoglobulinas que se utilizarán en clínica se obtienen de plasma de varios adultos, por un método de fraccionamiento por alcohol. Los concentrados consisten más bien en la fracción de inmunoglobulina (Ig) (como mínimo 96% de IgG y cantidades ínfimas de IgA e IgM); es estéril y no transmite, hasta donde se sabe, virus hepatotrópicos, VIH ni otros agentes infecciosos. La inmunoglobulina es una solución proteínica concentrada (en promedio tiene 16.5% o 165 mg/ml) que tiene anticuerpos específicos en proporción a la experiencia infecciosa y de inmunización de la población a partir de la cual se preparó el plasma. Se utiliza un gran número de donantes (cuando menos 1 000 donantes por lote de producto final) para asegurar que se han incluido anticuerpos de muy diversa índole.</w:t>
      </w:r>
    </w:p>
    <w:p w14:paraId="72102AD9" w14:textId="77777777" w:rsidR="0072615D" w:rsidRDefault="0072615D">
      <w:pPr>
        <w:pStyle w:val="BodyText"/>
        <w:ind w:firstLine="360"/>
      </w:pPr>
      <w:r>
        <w:t>Se recomienda administrar el concentrado inmunoglobulínico por vía intramuscular. Algunas personas que lo reciben muestran dolor local y muchas molestias en el sitio de aplicación; por esa razón el concentrado debe aplicarse en un plano profundo y un músculo con gran masa, por lo regular en la región glútea o la cara anterior del muslo en un niño (véase antes en esta sección “Administración de vacunas”). No se aplicarán más de 5 ml en un solo sitio en un adulto o un niño de gran peso; en el caso de niños de menor edad y lactantes se usarán volúmenes menores (1 a 3 ml). Rara vez se justifica administrar (si es que se justifica) más de 15 ml en una sola aplicación. Se puede diferir la donación de sangre de la persona después de administrar cualquier preparado inmunoglobulínico, según la razón por la que se administró.</w:t>
      </w:r>
    </w:p>
    <w:p w14:paraId="7148C6F5" w14:textId="77777777" w:rsidR="0072615D" w:rsidRDefault="0072615D">
      <w:pPr>
        <w:pStyle w:val="BodyText"/>
        <w:ind w:firstLine="360"/>
      </w:pPr>
      <w:r>
        <w:t>Por lo regular se alcanzan las concentraciones séricas máximas de anticuerpos 48 a 72 h después de administración IM. La semivida en suero por lo general es de tres a cuatro semanas.</w:t>
      </w:r>
    </w:p>
    <w:p w14:paraId="10059639" w14:textId="77777777" w:rsidR="0072615D" w:rsidRDefault="0072615D">
      <w:pPr>
        <w:pStyle w:val="BodyText"/>
        <w:spacing w:after="220"/>
        <w:ind w:firstLine="360"/>
      </w:pPr>
      <w:r>
        <w:t>Está contraindicada la aplicación intravenosa del concentrado inmunoglobulínico y tampoco se recomienda el uso intradérmico.</w:t>
      </w:r>
    </w:p>
    <w:p w14:paraId="4160CDDE" w14:textId="77777777" w:rsidR="0072615D" w:rsidRDefault="0072615D">
      <w:pPr>
        <w:pStyle w:val="BodyText"/>
        <w:spacing w:after="220"/>
        <w:ind w:firstLine="0"/>
      </w:pPr>
      <w:r>
        <w:t>INDICACIONES PARA EMPLEAR UN CONCENTRADO INMUNOGLOBULÍNICO</w:t>
      </w:r>
    </w:p>
    <w:p w14:paraId="39C68A3A" w14:textId="77777777" w:rsidR="0072615D" w:rsidRDefault="0072615D">
      <w:pPr>
        <w:pStyle w:val="BodyText"/>
        <w:spacing w:after="100"/>
        <w:ind w:firstLine="0"/>
      </w:pPr>
      <w:r>
        <w:rPr>
          <w:rFonts w:ascii="Times New Roman" w:eastAsia="Times New Roman" w:hAnsi="Times New Roman" w:cs="Times New Roman"/>
          <w:b/>
          <w:bCs/>
          <w:i/>
          <w:iCs/>
          <w:sz w:val="16"/>
          <w:szCs w:val="16"/>
        </w:rPr>
        <w:t>Reposición en caso de trastornos por deficiencia de anticuerpos.</w:t>
      </w:r>
      <w:r>
        <w:t xml:space="preserve"> La dosis usual es de 100 mg/kg (que equivalen a 0.66 ml/kg de peso) por mes por vía intramuscular. Se </w:t>
      </w:r>
      <w:r>
        <w:rPr>
          <w:i/>
          <w:iCs/>
        </w:rPr>
        <w:t>(</w:t>
      </w:r>
      <w:r>
        <w:rPr>
          <w:rFonts w:ascii="Times New Roman" w:eastAsia="Times New Roman" w:hAnsi="Times New Roman" w:cs="Times New Roman"/>
          <w:i/>
          <w:iCs/>
          <w:sz w:val="16"/>
          <w:szCs w:val="16"/>
        </w:rPr>
        <w:t>hepatitis C virus</w:t>
      </w:r>
      <w:r>
        <w:rPr>
          <w:i/>
          <w:iCs/>
        </w:rPr>
        <w:t>,</w:t>
      </w:r>
      <w:r>
        <w:t xml:space="preserve"> HCV), los virus de inmunodeficiencia humana (VIH)-1, VIH-2 y los virus linfotrópicos T humanos </w:t>
      </w:r>
      <w:r>
        <w:rPr>
          <w:i/>
          <w:iCs/>
        </w:rPr>
        <w:t>(</w:t>
      </w:r>
      <w:r>
        <w:rPr>
          <w:rFonts w:ascii="Times New Roman" w:eastAsia="Times New Roman" w:hAnsi="Times New Roman" w:cs="Times New Roman"/>
          <w:i/>
          <w:iCs/>
          <w:sz w:val="16"/>
          <w:szCs w:val="16"/>
        </w:rPr>
        <w:t>human T-lymphotropic virus</w:t>
      </w:r>
      <w:r>
        <w:rPr>
          <w:i/>
          <w:iCs/>
        </w:rPr>
        <w:t>,</w:t>
      </w:r>
      <w:r>
        <w:t xml:space="preserve"> HTLV)-I y HTLV-II (véase “Aspectos de seguridad en el uso de sangre y hemoderivados: disminución del riesgo de infecciones transmitidas en transfusiones”, sección 2). Los establecimientos autorizados por el gobierno de Estados Unidos realizan un grupo similar de pruebas, y reúnen plasma utilizado únicamente para elaborar derivados de este líquido, como IGIV, IG y otras inmunoglobulinas específicas. No ha habido señalamientos en Estados Unidos de preparados inmunoglobulínicos específicos de IG autorizados que hayan sido vinculados con la transmisión de cualquiera de las enfermedades mencionadas. En 1994 se vinculó la transmisión del virus de hepatitis C con la administración de IGIV producida por un solo fabricante. Actualmente, en Estados Unidos, la </w:t>
      </w:r>
      <w:r>
        <w:rPr>
          <w:rFonts w:ascii="Times New Roman" w:eastAsia="Times New Roman" w:hAnsi="Times New Roman" w:cs="Times New Roman"/>
          <w:i/>
          <w:iCs/>
          <w:sz w:val="16"/>
          <w:szCs w:val="16"/>
        </w:rPr>
        <w:t>Food and Drug Administration</w:t>
      </w:r>
      <w:r>
        <w:t xml:space="preserve"> exige la aplicación de métodos complementarios de elaboración que inactiven o eliminen virus en la elaboración de IGIV y otros preparados inmunoglobulínicos para administración intravenosa o intramuscular (IV o IM).</w:t>
      </w:r>
    </w:p>
    <w:p w14:paraId="10B19EFA" w14:textId="77777777" w:rsidR="0072615D" w:rsidRDefault="0072615D">
      <w:pPr>
        <w:pStyle w:val="Bodytext70"/>
        <w:spacing w:after="220"/>
      </w:pPr>
      <w:r>
        <w:t>Concentrados de inmunoglobulinas</w:t>
      </w:r>
    </w:p>
    <w:p w14:paraId="092C9060" w14:textId="77777777" w:rsidR="0072615D" w:rsidRDefault="0072615D">
      <w:pPr>
        <w:pStyle w:val="BodyText"/>
        <w:ind w:firstLine="0"/>
      </w:pPr>
      <w:r>
        <w:t>Las inmunoglobulinas que se utilizarán en clínica se obtienen de plasma de varios adultos, por un método de fraccionamiento por alcohol. Los concentrados consisten más bien en la fracción de inmunoglobulina (Ig) (como mínimo 96% de IgG y cantidades ínfimas de IgA e IgM); es estéril y no transmite, hasta donde se sabe, virus hepatotrópicos, VIH ni otros agentes infecciosos. La inmunoglobulina es una solución proteínica concentrada (en promedio tiene 16.5% o 165 mg/ml) que tiene anticuerpos específicos en proporción a la experiencia infecciosa y de inmunización de la población a partir de la cual se preparó el plasma. Se utiliza un gran número de donantes (cuando menos 1 000 donantes por lote de producto final) para asegurar que se han incluido anticuerpos de muy diversa índole.</w:t>
      </w:r>
    </w:p>
    <w:p w14:paraId="0DAB6528" w14:textId="77777777" w:rsidR="0072615D" w:rsidRDefault="0072615D">
      <w:pPr>
        <w:pStyle w:val="BodyText"/>
        <w:ind w:firstLine="360"/>
      </w:pPr>
      <w:r>
        <w:t>Se recomienda administrar el concentrado inmunoglobulínico por vía intramuscular. Algunas personas que lo reciben muestran dolor local y muchas molestias en el sitio de aplicación; por esa razón el concentrado debe aplicarse en un plano profundo y un músculo con gran masa, por lo regular en la región glútea o la cara anterior del muslo en un niño (véase antes en esta sección “Administración de vacunas”). No se aplicarán más de 5 ml en un solo sitio en un adulto o un niño de gran peso; en el caso de niños de menor edad y lactantes se usarán volúmenes menores (1 a 3 ml). Rara vez se justifica administrar (si es que se justifica) más de 15 ml en una sola aplicación. Se puede diferir la donación de sangre de la persona después de administrar cualquier preparado inmunoglobulínico, según la razón por la que se administró.</w:t>
      </w:r>
    </w:p>
    <w:p w14:paraId="03545E71" w14:textId="77777777" w:rsidR="0072615D" w:rsidRDefault="0072615D">
      <w:pPr>
        <w:pStyle w:val="BodyText"/>
        <w:ind w:firstLine="360"/>
      </w:pPr>
      <w:r>
        <w:t>Por lo regular se alcanzan las concentraciones séricas máximas de anticuerpos 48 a 72 h después de administración IM. La semivida en suero por lo general es de tres a cuatro semanas.</w:t>
      </w:r>
    </w:p>
    <w:p w14:paraId="56B7BD49" w14:textId="77777777" w:rsidR="0072615D" w:rsidRDefault="0072615D">
      <w:pPr>
        <w:pStyle w:val="BodyText"/>
        <w:spacing w:after="220"/>
        <w:ind w:firstLine="360"/>
      </w:pPr>
      <w:r>
        <w:t>Está contraindicada la aplicación intravenosa del concentrado inmunoglobulínico y tampoco se recomienda el uso intradérmico.</w:t>
      </w:r>
    </w:p>
    <w:p w14:paraId="61E5881D" w14:textId="77777777" w:rsidR="0072615D" w:rsidRDefault="0072615D">
      <w:pPr>
        <w:pStyle w:val="BodyText"/>
        <w:spacing w:after="220"/>
        <w:ind w:firstLine="0"/>
      </w:pPr>
      <w:r>
        <w:t>INDICACIONES PARA EMPLEAR UN CONCENTRADO INMUNOGLOBULÍNICO</w:t>
      </w:r>
    </w:p>
    <w:p w14:paraId="3DA3B546" w14:textId="77777777" w:rsidR="0072615D" w:rsidRDefault="0072615D">
      <w:pPr>
        <w:pStyle w:val="BodyText"/>
        <w:ind w:firstLine="0"/>
        <w:sectPr w:rsidR="0072615D" w:rsidSect="0072615D">
          <w:headerReference w:type="even" r:id="rId186"/>
          <w:headerReference w:type="default" r:id="rId187"/>
          <w:footerReference w:type="even" r:id="rId188"/>
          <w:footerReference w:type="default" r:id="rId189"/>
          <w:type w:val="continuous"/>
          <w:pgSz w:w="8501" w:h="13022"/>
          <w:pgMar w:top="912" w:right="881" w:bottom="490" w:left="742" w:header="0" w:footer="62" w:gutter="0"/>
          <w:cols w:space="720"/>
          <w:noEndnote/>
          <w:docGrid w:linePitch="360"/>
          <w15:footnoteColumns w:val="1"/>
        </w:sectPr>
      </w:pPr>
      <w:r>
        <w:rPr>
          <w:rFonts w:ascii="Times New Roman" w:eastAsia="Times New Roman" w:hAnsi="Times New Roman" w:cs="Times New Roman"/>
          <w:b/>
          <w:bCs/>
          <w:i/>
          <w:iCs/>
          <w:sz w:val="16"/>
          <w:szCs w:val="16"/>
        </w:rPr>
        <w:t>Reposición en caso de trastornos por deficiencia de anticuerpos.</w:t>
      </w:r>
      <w:r>
        <w:t xml:space="preserve"> La dosis usual es de 100 mg/kg (que equivalen a 0.66 ml/kg de peso) por mes por vía intramuscular. Se </w:t>
      </w:r>
    </w:p>
    <w:p w14:paraId="4C6E181E" w14:textId="77777777" w:rsidR="0072615D" w:rsidRDefault="0072615D">
      <w:pPr>
        <w:pStyle w:val="BodyText"/>
        <w:ind w:firstLine="0"/>
      </w:pPr>
      <w:r>
        <w:t>tiene la costumbre de aplicar dos veces la dosis en la fase inicial y ajustar el intervalo entre la administración de las dosis (dos a cuatro semanas), con base en la cifra de concentración mínima de la IgG y la respuesta clínica (desaparición o aplacamiento de las infecciones). Sin embargo, en casi todos los casos se ha sustituido el concentrado IG por el concentrado IGIV. Los estudios en adolescentes y adultos con deficiencias de anticuerpos denotan que la administración subcutánea lenta del concentrado es innocua, menos cara que IGIV, cómoda y adecuada para la terapia en el hogar. En menos de 1% de las aplicaciones de ese tipo surgieron reacciones alérgicas sistémicas, y las locales por lo común fueron leves.</w:t>
      </w:r>
    </w:p>
    <w:p w14:paraId="36A020FF"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Profilaxia contra hepatitis A.</w:t>
      </w:r>
      <w:r>
        <w:t xml:space="preserve"> El concentrado inmunoglobulínico puede evitar la hepatitis A en personas susceptibles en quienes está contraindicada la vacunación, si se aplica en término de 14 días de la exposición. Entre sus indicaciones estarían el uso en niños menores de dos años que viajan a países extranjeros y la profilaxia después de exposición (véase “Hepatitis A”, sección 3).</w:t>
      </w:r>
    </w:p>
    <w:p w14:paraId="381EB845" w14:textId="77777777" w:rsidR="0072615D" w:rsidRDefault="0072615D">
      <w:pPr>
        <w:pStyle w:val="BodyText"/>
        <w:spacing w:after="220" w:line="276" w:lineRule="auto"/>
        <w:ind w:firstLine="360"/>
      </w:pPr>
      <w:r>
        <w:rPr>
          <w:rFonts w:ascii="Times New Roman" w:eastAsia="Times New Roman" w:hAnsi="Times New Roman" w:cs="Times New Roman"/>
          <w:b/>
          <w:bCs/>
          <w:i/>
          <w:iCs/>
          <w:sz w:val="16"/>
          <w:szCs w:val="16"/>
        </w:rPr>
        <w:t>Profilaxia contra sarampión.</w:t>
      </w:r>
      <w:r>
        <w:t xml:space="preserve"> La administración de concentrado inmunoglobulínico a personas expuestas y susceptibles al sarampión evitará o modificará dicha infección, si se usa en término de seis días de haber ocurrido la exposición (véase “Sarampión”, sección 3).</w:t>
      </w:r>
    </w:p>
    <w:p w14:paraId="0D8FFC8C" w14:textId="77777777" w:rsidR="0072615D" w:rsidRDefault="0072615D">
      <w:pPr>
        <w:pStyle w:val="BodyText"/>
        <w:spacing w:after="220"/>
        <w:ind w:firstLine="0"/>
      </w:pPr>
      <w:r>
        <w:t>REACCIONES ADVERSAS AL CONCENTRADO INMUNOGLOBULÍNICO</w:t>
      </w:r>
    </w:p>
    <w:p w14:paraId="67D8334A" w14:textId="77777777" w:rsidR="0072615D" w:rsidRDefault="0072615D">
      <w:pPr>
        <w:pStyle w:val="BodyText"/>
        <w:numPr>
          <w:ilvl w:val="0"/>
          <w:numId w:val="31"/>
        </w:numPr>
        <w:tabs>
          <w:tab w:val="left" w:pos="341"/>
        </w:tabs>
        <w:ind w:left="360" w:hanging="360"/>
      </w:pPr>
      <w:bookmarkStart w:id="242" w:name="bookmark242"/>
      <w:bookmarkEnd w:id="242"/>
      <w:r>
        <w:t>La reacción adversa más frecuente que surge con el empleo de dicho preparado son las molestias y el dolor en el sitio de aplicación (que se aplaca si el preparado está a temperatura ambiente en el momento de ser inyectado). Otras reacciones menos frecuentes son hiperemia facial, cefalea, escalofríos y náusea.</w:t>
      </w:r>
    </w:p>
    <w:p w14:paraId="6C349311" w14:textId="77777777" w:rsidR="0072615D" w:rsidRDefault="0072615D">
      <w:pPr>
        <w:pStyle w:val="BodyText"/>
        <w:numPr>
          <w:ilvl w:val="0"/>
          <w:numId w:val="31"/>
        </w:numPr>
        <w:tabs>
          <w:tab w:val="left" w:pos="341"/>
        </w:tabs>
        <w:ind w:firstLine="0"/>
      </w:pPr>
      <w:bookmarkStart w:id="243" w:name="bookmark243"/>
      <w:bookmarkEnd w:id="243"/>
      <w:r>
        <w:t>Las reacciones graves son poco comunes y pueden incluir dolor retrosternal</w:t>
      </w:r>
    </w:p>
    <w:p w14:paraId="37FAF6AD" w14:textId="77777777" w:rsidR="0072615D" w:rsidRDefault="0072615D">
      <w:pPr>
        <w:pStyle w:val="BodyText"/>
        <w:ind w:left="360" w:firstLine="0"/>
      </w:pPr>
      <w:r>
        <w:t>y sensación constrictiva, disnea o anafilaxia y colapso general. La administración intravenosa inadvertida puede incrementar el peligro de una reacción sistémica. Las personas que han recibido dosis repetidas del concentrado han señalado sentir reacciones sistémicas como fiebre, escalofríos, sudación, sensaciones incómodas y choque.</w:t>
      </w:r>
    </w:p>
    <w:p w14:paraId="31D61C4C" w14:textId="77777777" w:rsidR="0072615D" w:rsidRDefault="0072615D">
      <w:pPr>
        <w:pStyle w:val="BodyText"/>
        <w:numPr>
          <w:ilvl w:val="0"/>
          <w:numId w:val="31"/>
        </w:numPr>
        <w:tabs>
          <w:tab w:val="left" w:pos="341"/>
        </w:tabs>
        <w:ind w:left="360" w:hanging="360"/>
      </w:pPr>
      <w:bookmarkStart w:id="244" w:name="bookmark244"/>
      <w:bookmarkEnd w:id="244"/>
      <w:r>
        <w:t>El concentrado inmunoglobulínico contiene rastros de IgA y por ello las personas que muestran una deficiencia selectiva de dicha inmunoglobulina sérica rara vez presentarán anticuerpos contra ella y reaccionarán a una dosis ulterior del concentrado, a la transfusión de sangre completa o a la venoclisis con plasma, con la aparición de síntomas sistémicos como escalofríos, fiebre y otros similares al choque. En casos raros en que han surgido las reacciones vinculadas con los anticuerpos contra IgA, el empleo de preparados IGIV sin dicha inmunoglobulina puede disminuir la posibilidad de futuras reacciones. Dada su poca frecuencia no se recomienda la detección sistemática de la deficiencia de inmunoglobulina A.</w:t>
      </w:r>
    </w:p>
    <w:p w14:paraId="7E085417" w14:textId="77777777" w:rsidR="0072615D" w:rsidRDefault="0072615D">
      <w:pPr>
        <w:pStyle w:val="BodyText"/>
        <w:numPr>
          <w:ilvl w:val="0"/>
          <w:numId w:val="31"/>
        </w:numPr>
        <w:tabs>
          <w:tab w:val="left" w:pos="341"/>
        </w:tabs>
        <w:ind w:left="360" w:hanging="360"/>
      </w:pPr>
      <w:bookmarkStart w:id="245" w:name="bookmark245"/>
      <w:bookmarkEnd w:id="245"/>
      <w:r>
        <w:t>Las personas sanas que reciben concentrado inmunoglobulínico pueden generar anticuerpos contra alotipos de IgG heterólogos. Por lo común, dicho fenómeno carece de importancia clínica; sin embargo, en raras ocasiones surge una reacción sistémica.</w:t>
      </w:r>
    </w:p>
    <w:p w14:paraId="208EF74F" w14:textId="77777777" w:rsidR="0072615D" w:rsidRDefault="0072615D">
      <w:pPr>
        <w:pStyle w:val="BodyText"/>
        <w:numPr>
          <w:ilvl w:val="0"/>
          <w:numId w:val="31"/>
        </w:numPr>
        <w:tabs>
          <w:tab w:val="left" w:pos="341"/>
        </w:tabs>
        <w:spacing w:after="220"/>
        <w:ind w:left="360" w:hanging="360"/>
      </w:pPr>
      <w:bookmarkStart w:id="246" w:name="bookmark246"/>
      <w:bookmarkEnd w:id="246"/>
      <w:r>
        <w:t>El concentrado de inmunoglobulina intravenosa, el de IG y los preparados específicos de este tipo, excepto el concentrado inmunoglobulínico de vacuna (vaccinia), no contienen timerosal (véase antes en esta sección “Contenido de timerosal de algunas vacunas y concentrados inmunoglobulínicos”).</w:t>
      </w:r>
    </w:p>
    <w:p w14:paraId="27B25C68" w14:textId="77777777" w:rsidR="0072615D" w:rsidRDefault="0072615D">
      <w:pPr>
        <w:pStyle w:val="BodyText"/>
        <w:spacing w:after="220"/>
        <w:ind w:firstLine="0"/>
      </w:pPr>
      <w:r>
        <w:t>PRECAUCIONES PARA USAR EL CONCENTRADO INMUNOGLOBULÍNICO</w:t>
      </w:r>
    </w:p>
    <w:p w14:paraId="008FB8EF" w14:textId="77777777" w:rsidR="0072615D" w:rsidRDefault="0072615D">
      <w:pPr>
        <w:pStyle w:val="BodyText"/>
        <w:numPr>
          <w:ilvl w:val="0"/>
          <w:numId w:val="31"/>
        </w:numPr>
        <w:tabs>
          <w:tab w:val="left" w:pos="340"/>
        </w:tabs>
        <w:ind w:left="360" w:hanging="360"/>
      </w:pPr>
      <w:bookmarkStart w:id="247" w:name="bookmark247"/>
      <w:bookmarkEnd w:id="247"/>
      <w:r>
        <w:t>Hay que tener gran cuidado cuando se administra el concentrado a una persona con el antecedente de reacciones adversas a dicha inmunoglobulina.</w:t>
      </w:r>
    </w:p>
    <w:p w14:paraId="24B65050" w14:textId="77777777" w:rsidR="0072615D" w:rsidRDefault="0072615D">
      <w:pPr>
        <w:pStyle w:val="BodyText"/>
        <w:numPr>
          <w:ilvl w:val="0"/>
          <w:numId w:val="31"/>
        </w:numPr>
        <w:tabs>
          <w:tab w:val="left" w:pos="340"/>
        </w:tabs>
        <w:ind w:left="360" w:hanging="360"/>
      </w:pPr>
      <w:bookmarkStart w:id="248" w:name="bookmark248"/>
      <w:bookmarkEnd w:id="248"/>
      <w:r>
        <w:t>Las reacciones sistémicas al concentrado son raras (véase antes en esta sección “Reacciones adversas al concentrado inmunoglobulínico”) pero es importante tener a la mano adrenalina y otros fármacos o equipo para tratar reacciones agudas</w:t>
      </w:r>
    </w:p>
    <w:p w14:paraId="0133DC58" w14:textId="77777777" w:rsidR="0072615D" w:rsidRDefault="0072615D">
      <w:pPr>
        <w:pStyle w:val="BodyText"/>
        <w:numPr>
          <w:ilvl w:val="0"/>
          <w:numId w:val="31"/>
        </w:numPr>
        <w:tabs>
          <w:tab w:val="left" w:pos="340"/>
        </w:tabs>
        <w:ind w:left="360" w:hanging="360"/>
      </w:pPr>
      <w:bookmarkStart w:id="249" w:name="bookmark249"/>
      <w:bookmarkEnd w:id="249"/>
      <w:r>
        <w:t>En Estados Unidos, la FDA no ha aprobado el uso de concentrado inmunoglobulínico para sujetos con trombocitopenia grave o cualquier coagulopatía que podría impedir la inyección intramuscular. En esos casos se recomienda usar inmunoglobulina intravenosa.</w:t>
      </w:r>
    </w:p>
    <w:p w14:paraId="3D98BB54" w14:textId="77777777" w:rsidR="0072615D" w:rsidRDefault="0072615D">
      <w:pPr>
        <w:pStyle w:val="BodyText"/>
        <w:numPr>
          <w:ilvl w:val="0"/>
          <w:numId w:val="31"/>
        </w:numPr>
        <w:tabs>
          <w:tab w:val="left" w:pos="340"/>
        </w:tabs>
        <w:spacing w:after="100"/>
        <w:ind w:left="360" w:hanging="360"/>
      </w:pPr>
      <w:bookmarkStart w:id="250" w:name="bookmark250"/>
      <w:bookmarkEnd w:id="250"/>
      <w:r>
        <w:t>No se recomienda la práctica sistemática de métodos de detección de deficiencia de IgA en posibles receptores del concentrado inmunoglobulínico (véase antes en esta sección “Reacciones adversas al concentrado inmunoglobulínico”).</w:t>
      </w:r>
    </w:p>
    <w:p w14:paraId="27574CD0" w14:textId="77777777" w:rsidR="0072615D" w:rsidRDefault="0072615D">
      <w:pPr>
        <w:pStyle w:val="Bodytext70"/>
        <w:spacing w:after="220"/>
      </w:pPr>
      <w:r>
        <w:t>Concentrados de inmunoglobulinas específicas</w:t>
      </w:r>
    </w:p>
    <w:p w14:paraId="5B2A933D" w14:textId="77777777" w:rsidR="0072615D" w:rsidRDefault="0072615D">
      <w:pPr>
        <w:pStyle w:val="BodyText"/>
        <w:spacing w:after="100"/>
        <w:ind w:firstLine="0"/>
      </w:pPr>
      <w:r>
        <w:t xml:space="preserve">Las inmunoglobulinas específicas, que han recibido el nombre de “hiperinmunitarias”, difieren de otras en cuanto a la selección de donantes y también al número de ellos cuyo plasma se incluye en el “fondo común” a partir del cual se prepara el concentrado. Se escoge a donantes que tienen probadamente títulos altos del anticuerpo buscado, adquirido naturalmente o estimulado por inmunización. Los concentrados de inmunoglobulinas específicas se preparan con la misma técnica que otros preparados similares. Entre los preparados específicos de este tipo para usar en enfermedades infecciosas están los concentrados inmunoglobulínicos contra hepatitis B, rabia, tétanos, varicela-zoster, (viruela), el elaborado contra virus citomegálico </w:t>
      </w:r>
      <w:r>
        <w:rPr>
          <w:i/>
          <w:iCs/>
        </w:rPr>
        <w:t>(</w:t>
      </w:r>
      <w:r>
        <w:rPr>
          <w:rFonts w:ascii="Times New Roman" w:eastAsia="Times New Roman" w:hAnsi="Times New Roman" w:cs="Times New Roman"/>
          <w:i/>
          <w:iCs/>
          <w:sz w:val="16"/>
          <w:szCs w:val="16"/>
        </w:rPr>
        <w:t>cytomegalovirus</w:t>
      </w:r>
      <w:r>
        <w:rPr>
          <w:i/>
          <w:iCs/>
        </w:rPr>
        <w:t>,</w:t>
      </w:r>
      <w:r>
        <w:t xml:space="preserve"> CMV) intravenoso, el correspondiente a Vaccinia e intravenoso contra el virus sincitial respiratorio. También se cuenta con un preparado de anticuerpos monoclonales por vía intramuscular para evitar el ataque del virus sincitial respiratorio. Las recomendaciones para utilizar dichos concentrados globulínicos se incluyen en los resúmenes de enfermedades específicas en la sección 3. Las precauciones y el señalamiento de reacciones adversas para los concentrados IG y IGIV son aplicables a inmunoglobulinas específicas.</w:t>
      </w:r>
    </w:p>
    <w:p w14:paraId="0B5F7689" w14:textId="77777777" w:rsidR="0072615D" w:rsidRDefault="0072615D">
      <w:pPr>
        <w:pStyle w:val="Bodytext70"/>
        <w:spacing w:after="220"/>
      </w:pPr>
      <w:r>
        <w:t>Concentrado inmunoglobulínico intravenoso</w:t>
      </w:r>
    </w:p>
    <w:p w14:paraId="68532468" w14:textId="77777777" w:rsidR="0072615D" w:rsidRDefault="0072615D">
      <w:pPr>
        <w:pStyle w:val="BodyText"/>
        <w:spacing w:after="220" w:line="276" w:lineRule="auto"/>
        <w:ind w:firstLine="0"/>
      </w:pPr>
      <w:r>
        <w:t xml:space="preserve">El concentrado en cuestión se obtiene del plasma reunido de adultos, por un método de fraccionamiento con alcohol, modificado por fabricantes individuales para obtener un producto idóneo para aplicar por vía IV. El conjunto de donantes es similar al que se usa para obtener concentrado IG. En Estados Unidos, la FDA especifica que todos los preparados deben contar con una concentración mínima de anticuerpos contra sarampión, difteria, virus poliomielítico y hepatitis B. De un producto a otro varían ampliamente las concentraciones de anticuerpos contra patógenos comunes, como </w:t>
      </w:r>
      <w:r>
        <w:rPr>
          <w:rFonts w:ascii="Times New Roman" w:eastAsia="Times New Roman" w:hAnsi="Times New Roman" w:cs="Times New Roman"/>
          <w:i/>
          <w:iCs/>
          <w:sz w:val="16"/>
          <w:szCs w:val="16"/>
        </w:rPr>
        <w:t>Streptococcus pneumoniae</w:t>
      </w:r>
      <w:r>
        <w:rPr>
          <w:i/>
          <w:iCs/>
        </w:rPr>
        <w:t>,</w:t>
      </w:r>
      <w:r>
        <w:t xml:space="preserve"> e incluso también hay variación entre los lotes del mismo producto. El concentrado inmunoglobulínico intravenoso consiste primordialmente en la fracción inmunoglobulínica (más de 95% de IgG y rastros de IgA e IgM). Su contenido proteínico varía con cada producto; se cuenta con presentaciones líquidas y en polvo. El concentrado intravenoso no contiene timerosal.</w:t>
      </w:r>
    </w:p>
    <w:p w14:paraId="58A8A44A" w14:textId="77777777" w:rsidR="0072615D" w:rsidRDefault="0072615D">
      <w:pPr>
        <w:pStyle w:val="BodyText"/>
        <w:spacing w:after="220"/>
        <w:ind w:firstLine="0"/>
      </w:pPr>
      <w:r>
        <w:t>PRECAUCIONES PARA USAR EL CONCENTRADO INMUNOGLOBULÍNICO</w:t>
      </w:r>
    </w:p>
    <w:p w14:paraId="58B3840C" w14:textId="77777777" w:rsidR="0072615D" w:rsidRDefault="0072615D">
      <w:pPr>
        <w:pStyle w:val="BodyText"/>
        <w:numPr>
          <w:ilvl w:val="0"/>
          <w:numId w:val="31"/>
        </w:numPr>
        <w:tabs>
          <w:tab w:val="left" w:pos="340"/>
        </w:tabs>
        <w:ind w:left="360" w:hanging="360"/>
      </w:pPr>
      <w:bookmarkStart w:id="251" w:name="bookmark251"/>
      <w:bookmarkEnd w:id="251"/>
      <w:r>
        <w:t>Hay que tener gran cuidado cuando se administra el concentrado a una persona con el antecedente de reacciones adversas a dicha inmunoglobulina.</w:t>
      </w:r>
    </w:p>
    <w:p w14:paraId="79DDA00A" w14:textId="77777777" w:rsidR="0072615D" w:rsidRDefault="0072615D">
      <w:pPr>
        <w:pStyle w:val="BodyText"/>
        <w:numPr>
          <w:ilvl w:val="0"/>
          <w:numId w:val="31"/>
        </w:numPr>
        <w:tabs>
          <w:tab w:val="left" w:pos="340"/>
        </w:tabs>
        <w:ind w:left="360" w:hanging="360"/>
      </w:pPr>
      <w:bookmarkStart w:id="252" w:name="bookmark252"/>
      <w:bookmarkEnd w:id="252"/>
      <w:r>
        <w:t>Las reacciones sistémicas al concentrado son raras (véase antes en esta sección “Reacciones adversas al concentrado inmunoglobulínico”) pero es importante tener a la mano adrenalina y otros fármacos o equipo para tratar reacciones agudas</w:t>
      </w:r>
    </w:p>
    <w:p w14:paraId="46519E1D" w14:textId="77777777" w:rsidR="0072615D" w:rsidRDefault="0072615D">
      <w:pPr>
        <w:pStyle w:val="BodyText"/>
        <w:numPr>
          <w:ilvl w:val="0"/>
          <w:numId w:val="31"/>
        </w:numPr>
        <w:tabs>
          <w:tab w:val="left" w:pos="340"/>
        </w:tabs>
        <w:ind w:left="360" w:hanging="360"/>
      </w:pPr>
      <w:bookmarkStart w:id="253" w:name="bookmark253"/>
      <w:bookmarkEnd w:id="253"/>
      <w:r>
        <w:t>En Estados Unidos, la FDA no ha aprobado el uso de concentrado inmunoglobulínico para sujetos con trombocitopenia grave o cualquier coagulopatía que podría impedir la inyección intramuscular. En esos casos se recomienda usar inmunoglobulina intravenosa.</w:t>
      </w:r>
    </w:p>
    <w:p w14:paraId="442B8963" w14:textId="77777777" w:rsidR="0072615D" w:rsidRDefault="0072615D">
      <w:pPr>
        <w:pStyle w:val="BodyText"/>
        <w:numPr>
          <w:ilvl w:val="0"/>
          <w:numId w:val="31"/>
        </w:numPr>
        <w:tabs>
          <w:tab w:val="left" w:pos="340"/>
        </w:tabs>
        <w:spacing w:after="100"/>
        <w:ind w:left="360" w:hanging="360"/>
      </w:pPr>
      <w:bookmarkStart w:id="254" w:name="bookmark254"/>
      <w:bookmarkEnd w:id="254"/>
      <w:r>
        <w:t>No se recomienda la práctica sistemática de métodos de detección de deficiencia de IgA en posibles receptores del concentrado inmunoglobulínico (véase antes en esta sección “Reacciones adversas al concentrado inmunoglobulínico”).</w:t>
      </w:r>
    </w:p>
    <w:p w14:paraId="55428669" w14:textId="77777777" w:rsidR="0072615D" w:rsidRDefault="0072615D">
      <w:pPr>
        <w:pStyle w:val="Bodytext70"/>
        <w:spacing w:after="220"/>
      </w:pPr>
      <w:r>
        <w:t>Concentrados de inmunoglobulinas específicas</w:t>
      </w:r>
    </w:p>
    <w:p w14:paraId="742B561D" w14:textId="77777777" w:rsidR="0072615D" w:rsidRDefault="0072615D">
      <w:pPr>
        <w:pStyle w:val="BodyText"/>
        <w:spacing w:after="100"/>
        <w:ind w:firstLine="0"/>
      </w:pPr>
      <w:r>
        <w:t xml:space="preserve">Las inmunoglobulinas específicas, que han recibido el nombre de “hiperinmunitarias”, difieren de otras en cuanto a la selección de donantes y también al número de ellos cuyo plasma se incluye en el “fondo común” a partir del cual se prepara el concentrado. Se escoge a donantes que tienen probadamente títulos altos del anticuerpo buscado, adquirido naturalmente o estimulado por inmunización. Los concentrados de inmunoglobulinas específicas se preparan con la misma técnica que otros preparados similares. Entre los preparados específicos de este tipo para usar en enfermedades infecciosas están los concentrados inmunoglobulínicos contra hepatitis B, rabia, tétanos, varicela-zoster, (viruela), el elaborado contra virus citomegálico </w:t>
      </w:r>
      <w:r>
        <w:rPr>
          <w:i/>
          <w:iCs/>
        </w:rPr>
        <w:t>(</w:t>
      </w:r>
      <w:r>
        <w:rPr>
          <w:rFonts w:ascii="Times New Roman" w:eastAsia="Times New Roman" w:hAnsi="Times New Roman" w:cs="Times New Roman"/>
          <w:i/>
          <w:iCs/>
          <w:sz w:val="16"/>
          <w:szCs w:val="16"/>
        </w:rPr>
        <w:t>cytomegalovirus</w:t>
      </w:r>
      <w:r>
        <w:rPr>
          <w:i/>
          <w:iCs/>
        </w:rPr>
        <w:t>,</w:t>
      </w:r>
      <w:r>
        <w:t xml:space="preserve"> CMV) intravenoso, el correspondiente a Vaccinia e intravenoso contra el virus sincitial respiratorio. También se cuenta con un preparado de anticuerpos monoclonales por vía intramuscular para evitar el ataque del virus sincitial respiratorio. Las recomendaciones para utilizar dichos concentrados globulínicos se incluyen en los resúmenes de enfermedades específicas en la sección 3. Las precauciones y el señalamiento de reacciones adversas para los concentrados IG y IGIV son aplicables a inmunoglobulinas específicas.</w:t>
      </w:r>
    </w:p>
    <w:p w14:paraId="3D938CEC" w14:textId="77777777" w:rsidR="0072615D" w:rsidRDefault="0072615D">
      <w:pPr>
        <w:pStyle w:val="Bodytext70"/>
        <w:spacing w:after="220"/>
      </w:pPr>
      <w:r>
        <w:t>Concentrado inmunoglobulínico intravenoso</w:t>
      </w:r>
    </w:p>
    <w:p w14:paraId="60921346" w14:textId="77777777" w:rsidR="0072615D" w:rsidRDefault="0072615D">
      <w:pPr>
        <w:pStyle w:val="BodyText"/>
        <w:spacing w:after="220" w:line="276" w:lineRule="auto"/>
        <w:ind w:firstLine="0"/>
        <w:sectPr w:rsidR="0072615D" w:rsidSect="0072615D">
          <w:headerReference w:type="even" r:id="rId190"/>
          <w:headerReference w:type="default" r:id="rId191"/>
          <w:footerReference w:type="even" r:id="rId192"/>
          <w:footerReference w:type="default" r:id="rId193"/>
          <w:headerReference w:type="first" r:id="rId194"/>
          <w:footerReference w:type="first" r:id="rId195"/>
          <w:pgSz w:w="8501" w:h="13022"/>
          <w:pgMar w:top="912" w:right="881" w:bottom="490" w:left="742" w:header="0" w:footer="3" w:gutter="0"/>
          <w:cols w:space="720"/>
          <w:noEndnote/>
          <w:titlePg/>
          <w:docGrid w:linePitch="360"/>
          <w15:footnoteColumns w:val="1"/>
        </w:sectPr>
      </w:pPr>
      <w:r>
        <w:t xml:space="preserve">El concentrado en cuestión se obtiene del plasma reunido de adultos, por un método de fraccionamiento con alcohol, modificado por fabricantes individuales para obtener un producto idóneo para aplicar por vía IV. El conjunto de donantes es similar al que se usa para obtener concentrado IG. En Estados Unidos, la FDA especifica que todos los preparados deben contar con una concentración mínima de anticuerpos contra sarampión, difteria, virus poliomielítico y hepatitis B. De un producto a otro varían ampliamente las concentraciones de anticuerpos contra patógenos comunes, como </w:t>
      </w:r>
      <w:r>
        <w:rPr>
          <w:rFonts w:ascii="Times New Roman" w:eastAsia="Times New Roman" w:hAnsi="Times New Roman" w:cs="Times New Roman"/>
          <w:i/>
          <w:iCs/>
          <w:sz w:val="16"/>
          <w:szCs w:val="16"/>
        </w:rPr>
        <w:t>Streptococcus pneumoniae</w:t>
      </w:r>
      <w:r>
        <w:rPr>
          <w:i/>
          <w:iCs/>
        </w:rPr>
        <w:t>,</w:t>
      </w:r>
      <w:r>
        <w:t xml:space="preserve"> e incluso también hay variación entre los lotes del mismo producto. El concentrado inmunoglobulínico intravenoso consiste primordialmente en la fracción inmunoglobulínica (más de 95% de IgG y rastros de IgA e IgM). Su contenido proteínico varía con cada producto; se cuenta con presentaciones líquidas y en polvo. El concentrado intravenoso no contiene timerosal.</w:t>
      </w:r>
    </w:p>
    <w:p w14:paraId="5EFA4097" w14:textId="77777777" w:rsidR="0072615D" w:rsidRDefault="0072615D">
      <w:pPr>
        <w:pStyle w:val="BodyText"/>
        <w:spacing w:after="220"/>
        <w:ind w:firstLine="0"/>
      </w:pPr>
      <w:r>
        <w:t>INDICACIONES PARA UTILIZAR CONCENTRADO IGIV</w:t>
      </w:r>
    </w:p>
    <w:p w14:paraId="418CCABB" w14:textId="77777777" w:rsidR="0072615D" w:rsidRDefault="0072615D">
      <w:pPr>
        <w:pStyle w:val="BodyText"/>
        <w:ind w:firstLine="0"/>
      </w:pPr>
      <w:r>
        <w:t xml:space="preserve">En el comienzo se obtuvo el concentrado como un producto para venoclisis, lo cual permitió a las personas con inmunodeficiencias primarias recibir suficiente inmunoglobulina cada mes para protegerlas de infección hasta la siguiente sesión. Más tarde, en Estados Unidos la FDA y los </w:t>
      </w:r>
      <w:r>
        <w:rPr>
          <w:rFonts w:ascii="Times New Roman" w:eastAsia="Times New Roman" w:hAnsi="Times New Roman" w:cs="Times New Roman"/>
          <w:i/>
          <w:iCs/>
          <w:sz w:val="16"/>
          <w:szCs w:val="16"/>
        </w:rPr>
        <w:t>National Institutes of Health</w:t>
      </w:r>
      <w:r>
        <w:t xml:space="preserve"> a través de una conferencia para alcanzar consensos ampliaron los usos recomendados de IGIV (cuadro 1-8). El concentrado en cuestión también puede ser útil en otros trastornos, aunque no en todos los casos se cuenta con datos de investigaciones con testigos en los que se haya probado su eficacia. Desde noviembre de 1997 en Estados Unidos se han sucedido periodos de escasez de la inmunoglobulina, por restricciones en su producción vinculados con el cumplimiento de órdenes terapéuticas y de recuperación del producto del mercado ante el riesgo teórico de contaminación con el agente de la enfermedad de Creutzfeldt- Jakob </w:t>
      </w:r>
      <w:r>
        <w:rPr>
          <w:i/>
          <w:iCs/>
        </w:rPr>
        <w:t>(</w:t>
      </w:r>
      <w:r>
        <w:rPr>
          <w:rFonts w:ascii="Times New Roman" w:eastAsia="Times New Roman" w:hAnsi="Times New Roman" w:cs="Times New Roman"/>
          <w:i/>
          <w:iCs/>
          <w:sz w:val="16"/>
          <w:szCs w:val="16"/>
        </w:rPr>
        <w:t>Creutzfeldt-Jakob disease</w:t>
      </w:r>
      <w:r>
        <w:rPr>
          <w:i/>
          <w:iCs/>
        </w:rPr>
        <w:t>,</w:t>
      </w:r>
      <w:r>
        <w:t xml:space="preserve"> CJD). Otros problemas que originaron la escasez del producto han sido la mayor administración para usos aprobados y no aprobados, desperdicio y exportaciones. En agosto de 1998 el Director de Sanidad de Estados Unidos recomendó retirar del mercado los derivados plasmáticos, incluido IGIV, sólo si el donante de sangre terminaba por mostrar CJD variante (véase “Aspectos de seguridad en el uso de sangre y hemoderivados: disminución del riesgo de infecciones transmitidas en transfusiones”, sección 2). La FDA utiliza algunos métodos para mejorar la distribución de IGIV a los pacientes. Los clínicos deben revisar su uso para asegurar que coincide con las recomendaciones actuales. Es importante limitar el empleo de IGIV para otras indicaciones mientras no haya pruebas científicas adecuadas de su eficacia.</w:t>
      </w:r>
    </w:p>
    <w:p w14:paraId="514A34A9" w14:textId="77777777" w:rsidR="0072615D" w:rsidRDefault="0072615D">
      <w:pPr>
        <w:pStyle w:val="BodyText"/>
        <w:spacing w:after="160"/>
        <w:ind w:firstLine="380"/>
      </w:pPr>
      <w:r>
        <w:t>La aprobación de indicaciones específicas para el IGIV del fabricante por parte de la FDA se basa en la disponibilidad de datos de uno o más estudios en seres humanos. Todos los productos de esta índole han sido aprobados para su uso en inmunodeficiencias primarias, y casi todos han recibido aprobación para usarse en la trombocitopenia mediada por mecanismos inmunitarios, pero no todos los productos que han recibido tal aprobación han sido aprobados para las demás indicaciones incluidas en el cuadro 1-8. En algunos casos sólo un producto aislado posee la indicación, según los datos administrados por el fabricante. Es posible que existan diferencias terapéuticas entre diversos productos IGIV de distintos fabricantes, pero no se han demostrado. Entre las</w:t>
      </w:r>
    </w:p>
    <w:p w14:paraId="26D3113C" w14:textId="77777777" w:rsidR="0072615D" w:rsidRDefault="0072615D">
      <w:pPr>
        <w:pStyle w:val="Heading31"/>
        <w:keepNext/>
        <w:keepLines/>
        <w:pBdr>
          <w:bottom w:val="single" w:sz="4" w:space="0" w:color="auto"/>
        </w:pBdr>
        <w:spacing w:after="400" w:line="216" w:lineRule="auto"/>
        <w:jc w:val="center"/>
      </w:pPr>
      <w:bookmarkStart w:id="255" w:name="bookmark255"/>
      <w:bookmarkStart w:id="256" w:name="bookmark256"/>
      <w:bookmarkStart w:id="257" w:name="bookmark257"/>
      <w:r>
        <w:rPr>
          <w:b w:val="0"/>
          <w:bCs w:val="0"/>
        </w:rPr>
        <w:t xml:space="preserve">Cuadro 1- 8. </w:t>
      </w:r>
      <w:r>
        <w:t xml:space="preserve">Recomendaciones de la </w:t>
      </w:r>
      <w:r>
        <w:rPr>
          <w:i/>
          <w:iCs/>
        </w:rPr>
        <w:t>Food and Drug Administration</w:t>
      </w:r>
      <w:r>
        <w:rPr>
          <w:i/>
          <w:iCs/>
        </w:rPr>
        <w:br/>
      </w:r>
      <w:r>
        <w:t xml:space="preserve">y los </w:t>
      </w:r>
      <w:r>
        <w:rPr>
          <w:i/>
          <w:iCs/>
        </w:rPr>
        <w:t>National Institutes of Health</w:t>
      </w:r>
      <w:r>
        <w:t xml:space="preserve"> (NIH) para utilizar el concentrado</w:t>
      </w:r>
      <w:r>
        <w:br/>
        <w:t>de inmunoglobulina intravenosa</w:t>
      </w:r>
      <w:r>
        <w:rPr>
          <w:vertAlign w:val="superscript"/>
        </w:rPr>
        <w:t>1</w:t>
      </w:r>
      <w:bookmarkEnd w:id="255"/>
      <w:bookmarkEnd w:id="256"/>
      <w:bookmarkEnd w:id="257"/>
    </w:p>
    <w:p w14:paraId="0A48FC79" w14:textId="77777777" w:rsidR="0072615D" w:rsidRDefault="0072615D">
      <w:pPr>
        <w:pStyle w:val="Bodytext20"/>
      </w:pPr>
      <w:r>
        <w:t>Inmunodeficiencias primarias</w:t>
      </w:r>
    </w:p>
    <w:p w14:paraId="2D0A60FC" w14:textId="77777777" w:rsidR="0072615D" w:rsidRDefault="0072615D">
      <w:pPr>
        <w:pStyle w:val="Bodytext20"/>
      </w:pPr>
      <w:r>
        <w:t>Síndrome de Kawasaki</w:t>
      </w:r>
    </w:p>
    <w:p w14:paraId="023771C7" w14:textId="77777777" w:rsidR="0072615D" w:rsidRDefault="0072615D">
      <w:pPr>
        <w:pStyle w:val="Bodytext20"/>
      </w:pPr>
      <w:r>
        <w:t>Infección por virus de inmunodeficiencia humana en niños</w:t>
      </w:r>
    </w:p>
    <w:p w14:paraId="241484AF" w14:textId="77777777" w:rsidR="0072615D" w:rsidRDefault="0072615D">
      <w:pPr>
        <w:pStyle w:val="Bodytext20"/>
      </w:pPr>
      <w:r>
        <w:t>Leucemia linfocítica crónica de células B</w:t>
      </w:r>
    </w:p>
    <w:p w14:paraId="4232F98E" w14:textId="77777777" w:rsidR="0072615D" w:rsidRDefault="0072615D">
      <w:pPr>
        <w:pStyle w:val="Bodytext20"/>
      </w:pPr>
      <w:r>
        <w:t>Trasplante reciente de médula ósea en adultos Trombocitopenia mediada por mecanismos inmunitarios</w:t>
      </w:r>
    </w:p>
    <w:p w14:paraId="389C8E1C" w14:textId="77777777" w:rsidR="0072615D" w:rsidRDefault="0072615D">
      <w:pPr>
        <w:pStyle w:val="Bodytext20"/>
        <w:pBdr>
          <w:bottom w:val="single" w:sz="4" w:space="0" w:color="auto"/>
        </w:pBdr>
        <w:rPr>
          <w:sz w:val="19"/>
          <w:szCs w:val="19"/>
        </w:rPr>
      </w:pPr>
      <w:r>
        <w:t>Polineuropatía desmielinizante inflamatoria crónica</w:t>
      </w:r>
      <w:r>
        <w:rPr>
          <w:vertAlign w:val="superscript"/>
        </w:rPr>
        <w:footnoteReference w:id="17"/>
      </w:r>
      <w:r>
        <w:rPr>
          <w:vertAlign w:val="superscript"/>
        </w:rPr>
        <w:t xml:space="preserve"> </w:t>
      </w:r>
      <w:r>
        <w:rPr>
          <w:vertAlign w:val="superscript"/>
        </w:rPr>
        <w:footnoteReference w:id="18"/>
      </w:r>
      <w:r>
        <w:t xml:space="preserve"> </w:t>
      </w:r>
      <w:r>
        <w:rPr>
          <w:rStyle w:val="BodyTextChar"/>
        </w:rPr>
        <w:t>indicaciones recomendadas en niños y adolescentes para evitar o combatir enfermedades infecciosas están:</w:t>
      </w:r>
    </w:p>
    <w:p w14:paraId="6904939F" w14:textId="77777777" w:rsidR="0072615D" w:rsidRDefault="0072615D">
      <w:pPr>
        <w:pStyle w:val="BodyText"/>
        <w:numPr>
          <w:ilvl w:val="0"/>
          <w:numId w:val="31"/>
        </w:numPr>
        <w:tabs>
          <w:tab w:val="left" w:pos="323"/>
        </w:tabs>
        <w:spacing w:line="276" w:lineRule="auto"/>
        <w:ind w:left="360" w:hanging="360"/>
      </w:pPr>
      <w:bookmarkStart w:id="258" w:name="bookmark258"/>
      <w:bookmarkEnd w:id="258"/>
      <w:r>
        <w:rPr>
          <w:rFonts w:ascii="Times New Roman" w:eastAsia="Times New Roman" w:hAnsi="Times New Roman" w:cs="Times New Roman"/>
          <w:b/>
          <w:bCs/>
          <w:i/>
          <w:iCs/>
          <w:sz w:val="16"/>
          <w:szCs w:val="16"/>
        </w:rPr>
        <w:t>Reposición en trastornos por deficiencia de anticuerpos.</w:t>
      </w:r>
      <w:r>
        <w:t xml:space="preserve"> La dosis usual de IGIV en síndromes de inmunodeficiencia es de 300 a 400 mg/kg administrados una vez por mes por goteo IV. Sin embargo, la dosis y la frecuencia de las venoclisis debe basarse en la eficacia en el paciente individual. Las dosis eficaces han variado de 200 a 800 mg/kg de peso mensualmente. Se ha corroborado que conservar la concentración mínima de IgG en nivel de 500 mg/100 ml (5 g/L) como mínimo guarda relación con una respuesta clínica.</w:t>
      </w:r>
    </w:p>
    <w:p w14:paraId="6FA03797" w14:textId="77777777" w:rsidR="0072615D" w:rsidRDefault="0072615D">
      <w:pPr>
        <w:pStyle w:val="BodyText"/>
        <w:numPr>
          <w:ilvl w:val="0"/>
          <w:numId w:val="31"/>
        </w:numPr>
        <w:tabs>
          <w:tab w:val="left" w:pos="323"/>
        </w:tabs>
        <w:spacing w:line="276" w:lineRule="auto"/>
        <w:ind w:left="360" w:hanging="360"/>
      </w:pPr>
      <w:bookmarkStart w:id="259" w:name="bookmark259"/>
      <w:bookmarkEnd w:id="259"/>
      <w:r>
        <w:rPr>
          <w:rFonts w:ascii="Times New Roman" w:eastAsia="Times New Roman" w:hAnsi="Times New Roman" w:cs="Times New Roman"/>
          <w:b/>
          <w:bCs/>
          <w:i/>
          <w:iCs/>
          <w:sz w:val="16"/>
          <w:szCs w:val="16"/>
        </w:rPr>
        <w:t>Síndrome de Kawasaki.</w:t>
      </w:r>
      <w:r>
        <w:t xml:space="preserve"> La administración de IGIV y aspirina en término de los primeros 10 días de haber comenzado la fiebre disminuye la frecuencia de anormalidades de arterias coronarias y acorta la duración de los síntomas (véase “Kawasaki, síndrome”, sección 3).</w:t>
      </w:r>
    </w:p>
    <w:p w14:paraId="70818D38" w14:textId="77777777" w:rsidR="0072615D" w:rsidRDefault="0072615D">
      <w:pPr>
        <w:pStyle w:val="BodyText"/>
        <w:numPr>
          <w:ilvl w:val="0"/>
          <w:numId w:val="31"/>
        </w:numPr>
        <w:tabs>
          <w:tab w:val="left" w:pos="323"/>
        </w:tabs>
        <w:spacing w:line="276" w:lineRule="auto"/>
        <w:ind w:left="360" w:hanging="360"/>
      </w:pPr>
      <w:bookmarkStart w:id="260" w:name="bookmark260"/>
      <w:bookmarkEnd w:id="260"/>
      <w:r>
        <w:rPr>
          <w:rFonts w:ascii="Times New Roman" w:eastAsia="Times New Roman" w:hAnsi="Times New Roman" w:cs="Times New Roman"/>
          <w:b/>
          <w:bCs/>
          <w:i/>
          <w:iCs/>
          <w:sz w:val="16"/>
          <w:szCs w:val="16"/>
        </w:rPr>
        <w:t>Infección por VIH en niños.</w:t>
      </w:r>
      <w:r>
        <w:t xml:space="preserve"> En niños con infección por VIH e hipogammaglobulinemia se recomienda usar IGIV para evitar infecciones bacterianas graves. También hay que pensar en el uso del concentrado inmunoglobulínico intravenoso en niños infectados por VIH que también tienen una infección bacteriana grave</w:t>
      </w:r>
      <w:r>
        <w:footnoteReference w:id="19"/>
      </w:r>
      <w:r>
        <w:t xml:space="preserve"> (véase “Humana, infección por virus de inmunodeficiencia”, sección 3).</w:t>
      </w:r>
    </w:p>
    <w:p w14:paraId="351396CE" w14:textId="77777777" w:rsidR="0072615D" w:rsidRDefault="0072615D">
      <w:pPr>
        <w:pStyle w:val="BodyText"/>
        <w:numPr>
          <w:ilvl w:val="0"/>
          <w:numId w:val="31"/>
        </w:numPr>
        <w:tabs>
          <w:tab w:val="left" w:pos="323"/>
        </w:tabs>
        <w:spacing w:line="276" w:lineRule="auto"/>
        <w:ind w:left="360" w:hanging="360"/>
      </w:pPr>
      <w:bookmarkStart w:id="261" w:name="bookmark261"/>
      <w:bookmarkEnd w:id="261"/>
      <w:r>
        <w:rPr>
          <w:rFonts w:ascii="Times New Roman" w:eastAsia="Times New Roman" w:hAnsi="Times New Roman" w:cs="Times New Roman"/>
          <w:b/>
          <w:bCs/>
          <w:i/>
          <w:iCs/>
          <w:sz w:val="16"/>
          <w:szCs w:val="16"/>
        </w:rPr>
        <w:t>Hipogammaglobulinemia en la leucemia linfocítica crónica de células B.</w:t>
      </w:r>
      <w:r>
        <w:t xml:space="preserve"> Según expertos, la administración de IGIV de adultos con la enfermedad mencionada disminuye la incidencia de infecciones uterinas graves, aunque se ha cuestionado su eficacia en proporción a su costo.</w:t>
      </w:r>
    </w:p>
    <w:p w14:paraId="4B8D213F" w14:textId="77777777" w:rsidR="0072615D" w:rsidRDefault="0072615D">
      <w:pPr>
        <w:pStyle w:val="BodyText"/>
        <w:numPr>
          <w:ilvl w:val="0"/>
          <w:numId w:val="31"/>
        </w:numPr>
        <w:tabs>
          <w:tab w:val="left" w:pos="323"/>
        </w:tabs>
        <w:spacing w:line="276" w:lineRule="auto"/>
        <w:ind w:left="360" w:hanging="360"/>
      </w:pPr>
      <w:bookmarkStart w:id="262" w:name="bookmark262"/>
      <w:bookmarkEnd w:id="262"/>
      <w:r>
        <w:rPr>
          <w:rFonts w:ascii="Times New Roman" w:eastAsia="Times New Roman" w:hAnsi="Times New Roman" w:cs="Times New Roman"/>
          <w:b/>
          <w:bCs/>
          <w:i/>
          <w:iCs/>
          <w:sz w:val="16"/>
          <w:szCs w:val="16"/>
        </w:rPr>
        <w:t>Trasplante de médula ósea.</w:t>
      </w:r>
      <w:r>
        <w:t xml:space="preserve"> El concentrado inmunoglobulínico intravenoso puede disminuir la incidencia de infección y muerte, pero no el rechazo inverso agudo del injerto contra huésped </w:t>
      </w:r>
      <w:r>
        <w:rPr>
          <w:i/>
          <w:iCs/>
        </w:rPr>
        <w:t>(</w:t>
      </w:r>
      <w:r>
        <w:rPr>
          <w:rFonts w:ascii="Times New Roman" w:eastAsia="Times New Roman" w:hAnsi="Times New Roman" w:cs="Times New Roman"/>
          <w:i/>
          <w:iCs/>
          <w:sz w:val="16"/>
          <w:szCs w:val="16"/>
        </w:rPr>
        <w:t>graft-versus-host disease</w:t>
      </w:r>
      <w:r>
        <w:rPr>
          <w:i/>
          <w:iCs/>
        </w:rPr>
        <w:t>,</w:t>
      </w:r>
      <w:r>
        <w:t xml:space="preserve"> GVHD) en niños que reciben médula ósea en trasplante. En adultos que los reciben, IGIV disminuye la incidencia de neumonía intersticial (posiblemente causada por el virus citomegálico), disminuye el riesgo de sepsis y otras infecciones bacterianas, aminora la incidencia de GVHD aguda (pero no la mortalidad global), y junto con el ganciclovir es eficaz para tratar algunos sujetos con neumonía con virus citomegálico.</w:t>
      </w:r>
    </w:p>
    <w:p w14:paraId="00414183" w14:textId="77777777" w:rsidR="0072615D" w:rsidRDefault="0072615D">
      <w:pPr>
        <w:pStyle w:val="BodyText"/>
        <w:ind w:firstLine="360"/>
      </w:pPr>
      <w:r>
        <w:t>El concentrado intravenoso también se ha utilizado contra otros trastornos, de los cuales se señalarán algunos.</w:t>
      </w:r>
    </w:p>
    <w:p w14:paraId="627AE6F9" w14:textId="77777777" w:rsidR="0072615D" w:rsidRDefault="0072615D">
      <w:pPr>
        <w:pStyle w:val="BodyText"/>
        <w:numPr>
          <w:ilvl w:val="0"/>
          <w:numId w:val="31"/>
        </w:numPr>
        <w:tabs>
          <w:tab w:val="left" w:pos="323"/>
        </w:tabs>
        <w:spacing w:line="276" w:lineRule="auto"/>
        <w:ind w:left="360" w:hanging="360"/>
      </w:pPr>
      <w:bookmarkStart w:id="263" w:name="bookmark263"/>
      <w:bookmarkEnd w:id="263"/>
      <w:r>
        <w:rPr>
          <w:rFonts w:ascii="Times New Roman" w:eastAsia="Times New Roman" w:hAnsi="Times New Roman" w:cs="Times New Roman"/>
          <w:b/>
          <w:bCs/>
          <w:i/>
          <w:iCs/>
          <w:sz w:val="16"/>
          <w:szCs w:val="16"/>
        </w:rPr>
        <w:t>Productos de bajo peso natal.</w:t>
      </w:r>
      <w:r>
        <w:t xml:space="preserve"> Los resultados de casi todos los estudios en seres humanos han indicado que IGIV no disminuye la incidencia ni la cifra de mortalidad e infecciones tardías en productos que pesan menos de 1 500 g al nacer. Las investigaciones han incluido variaciones en la dosis de IGIV, fecha y momento de administración y otros aspectos del diseño del estudio. En la actualidad, el concentrado intravenoso no se recomienda para uso sistemático en productos pretérminos para evitar infecciones tardías.</w:t>
      </w:r>
    </w:p>
    <w:p w14:paraId="1FFBDAFE" w14:textId="77777777" w:rsidR="0072615D" w:rsidRDefault="0072615D">
      <w:pPr>
        <w:pStyle w:val="BodyText"/>
        <w:numPr>
          <w:ilvl w:val="0"/>
          <w:numId w:val="31"/>
        </w:numPr>
        <w:tabs>
          <w:tab w:val="left" w:pos="323"/>
        </w:tabs>
        <w:spacing w:line="283" w:lineRule="auto"/>
        <w:ind w:left="360" w:hanging="360"/>
      </w:pPr>
      <w:bookmarkStart w:id="264" w:name="bookmark264"/>
      <w:bookmarkEnd w:id="264"/>
      <w:r>
        <w:rPr>
          <w:rFonts w:ascii="Times New Roman" w:eastAsia="Times New Roman" w:hAnsi="Times New Roman" w:cs="Times New Roman"/>
          <w:b/>
          <w:bCs/>
          <w:i/>
          <w:iCs/>
          <w:sz w:val="16"/>
          <w:szCs w:val="16"/>
        </w:rPr>
        <w:t>Síndrome de Guillain-Barré.</w:t>
      </w:r>
      <w:r>
        <w:t xml:space="preserve"> En el síndrome en cuestión y en la polineuropatía desmielinizante inflamatoria crónica se ha demostrado que la plasmaféresis tiene eficacia equivalente a la de la inmunoglobulina intravenosa.</w:t>
      </w:r>
    </w:p>
    <w:p w14:paraId="1C0CFFCB" w14:textId="77777777" w:rsidR="0072615D" w:rsidRDefault="0072615D">
      <w:pPr>
        <w:pStyle w:val="BodyText"/>
        <w:numPr>
          <w:ilvl w:val="0"/>
          <w:numId w:val="31"/>
        </w:numPr>
        <w:tabs>
          <w:tab w:val="left" w:pos="323"/>
        </w:tabs>
        <w:spacing w:line="290" w:lineRule="auto"/>
        <w:ind w:left="360" w:hanging="360"/>
      </w:pPr>
      <w:bookmarkStart w:id="265" w:name="bookmark265"/>
      <w:bookmarkEnd w:id="265"/>
      <w:r>
        <w:rPr>
          <w:rFonts w:ascii="Times New Roman" w:eastAsia="Times New Roman" w:hAnsi="Times New Roman" w:cs="Times New Roman"/>
          <w:b/>
          <w:bCs/>
          <w:i/>
          <w:iCs/>
          <w:sz w:val="16"/>
          <w:szCs w:val="16"/>
        </w:rPr>
        <w:t>Síndrome de choque tóxico.</w:t>
      </w:r>
      <w:r>
        <w:t xml:space="preserve"> El concentrado inmunoglobulínico intravenoso se ha utilizado en sujetos con síndrome de choque tóxico grave por estafilococos o estreptococos. Hay mayor posibilidad de obtener beneficios si se utiliza en el comienzo de la evolución de la enfermedad.</w:t>
      </w:r>
    </w:p>
    <w:p w14:paraId="39BDC718" w14:textId="77777777" w:rsidR="0072615D" w:rsidRDefault="0072615D">
      <w:pPr>
        <w:pStyle w:val="BodyText"/>
        <w:numPr>
          <w:ilvl w:val="0"/>
          <w:numId w:val="31"/>
        </w:numPr>
        <w:tabs>
          <w:tab w:val="left" w:pos="341"/>
        </w:tabs>
        <w:spacing w:after="220" w:line="276" w:lineRule="auto"/>
        <w:ind w:left="360" w:hanging="360"/>
      </w:pPr>
      <w:bookmarkStart w:id="266" w:name="bookmark266"/>
      <w:bookmarkEnd w:id="266"/>
      <w:r>
        <w:rPr>
          <w:rFonts w:ascii="Times New Roman" w:eastAsia="Times New Roman" w:hAnsi="Times New Roman" w:cs="Times New Roman"/>
          <w:b/>
          <w:bCs/>
          <w:i/>
          <w:iCs/>
          <w:sz w:val="16"/>
          <w:szCs w:val="16"/>
        </w:rPr>
        <w:t>Otros empleos posibles.</w:t>
      </w:r>
      <w:r>
        <w:t xml:space="preserve"> El concentrado inmunoglobulínico intravenoso puede ser útil en la anemia causada por infección por parvovirus B19, en sujetos con mieloma múltiple estable expuestos a un gran peligro de infecciones repetitivas, en receptores sin virus citomegálicos, que reciben órganos con dicho virus, en neonatos con hipogammaglobulinemia y un factor de riesgo de infección o morbilidad y en la epilepsia rebelde, síndromes vasculíticos sistémicos, anemia hemolítica, termoautoinmunitaria, trombocitopenia haloinmunitaria neonatal que no mejora con otros tratamientos, neutropenia y mediada por mecanismos inmunitarios, descompensación en la miastenia grave, dermatomiositis, polimiositis y trombocitopenia profunda que no mejora con otros tratamientos.</w:t>
      </w:r>
    </w:p>
    <w:p w14:paraId="408BADF9" w14:textId="77777777" w:rsidR="0072615D" w:rsidRDefault="0072615D">
      <w:pPr>
        <w:pStyle w:val="BodyText"/>
        <w:spacing w:after="220"/>
        <w:ind w:firstLine="0"/>
      </w:pPr>
      <w:r>
        <w:t>REACCIONES ADVERSAS A IGIV</w:t>
      </w:r>
    </w:p>
    <w:p w14:paraId="499E0385" w14:textId="77777777" w:rsidR="0072615D" w:rsidRDefault="0072615D">
      <w:pPr>
        <w:pStyle w:val="BodyText"/>
        <w:ind w:firstLine="0"/>
      </w:pPr>
      <w:r>
        <w:t>La incidencia publicada de reacciones adversas por la administración del concentrado IGIV varía de 1 a 15%. Su aparición puede disminuir si se cumplen cuidadosamente las instrucciones del fabricante respecto de cada producto en lo que toca a la velocidad de administración. Las reacciones como fiebre, cefalea, mialgias, escalofríos, náuseas y vómitos a menudo dependen de la velocidad de goteo de IGIV y por lo regular van de leves a moderadas y ceden por sí solas. Las reacciones mencionadas pueden provenir de la formación de agregados de IgG durante la elaboración o el almacenamiento. Entre las reacciones menos frecuentes y más graves están las de hipersensibilidad y anafilactoides caracterizadas por congestión facial, cambios en la presión arterial y taquicardias; trastornos tromboembólicos; meningitis aséptica e insuficiencia y disfunción renales. Se desconocen las causas de tales reacciones.</w:t>
      </w:r>
    </w:p>
    <w:p w14:paraId="4DF9EBE5" w14:textId="77777777" w:rsidR="0072615D" w:rsidRDefault="0072615D">
      <w:pPr>
        <w:pStyle w:val="BodyText"/>
        <w:ind w:firstLine="360"/>
      </w:pPr>
      <w:r>
        <w:t>Las reacciones anafilácticas inducidas por anticuerpos contra IgA surgen a veces en personas con deficiencias primarias de anticuerpos en quienes falta absolutamente IgA circulante y tienen inmunoglobulina G contra IgA. Las reacciones en cuestión son raras en personas con panhipogammaglobulinemia, y pueden ser más frecuentes en sujetos con deficiencia selectiva de IgA y deficiencia de otras subclases de IgG. En casos raros en que han surgido las reacciones vinculadas con la aparición de anticuerpos contra IgA, el empleo de concentrados IGIV sin IgA puede disminuir la posibilidad de que surjan nuevas reacciones. Sin embargo, para evitar las reacciones anafilácticas es necesario a veces utilizar concentrados globulínicos que no tengan IgA. Ante la rareza extraordinaria de tales reacciones no se recomienda la búsqueda sistemática de la deficiencia de inmunoglobulina A.</w:t>
      </w:r>
    </w:p>
    <w:p w14:paraId="07DB7D39" w14:textId="77777777" w:rsidR="0072615D" w:rsidRDefault="0072615D">
      <w:pPr>
        <w:pStyle w:val="BodyText"/>
        <w:spacing w:after="220"/>
        <w:ind w:firstLine="360"/>
      </w:pPr>
      <w:r>
        <w:t>En 1994 en Estados Unidos hubo un brote de infección por virus de hepatitis C (HCV) entre quienes recibieron lotes de concentrados de IGIV de un solo fabricante local. Se emprendieron cambios en la preparación de los nuevos lotes de dichos productos después de tal episodio para evitar la transmisión de HCV por el concentrado inmunoglobulínico en goteo.</w:t>
      </w:r>
    </w:p>
    <w:p w14:paraId="0A5F9CB2" w14:textId="77777777" w:rsidR="0072615D" w:rsidRDefault="0072615D">
      <w:pPr>
        <w:pStyle w:val="BodyText"/>
        <w:spacing w:after="220"/>
        <w:ind w:firstLine="0"/>
      </w:pPr>
      <w:r>
        <w:t>PRECAUCIONES PARA EL USO DE IGIV</w:t>
      </w:r>
    </w:p>
    <w:p w14:paraId="110B19DB" w14:textId="77777777" w:rsidR="0072615D" w:rsidRDefault="0072615D">
      <w:pPr>
        <w:pStyle w:val="BodyText"/>
        <w:numPr>
          <w:ilvl w:val="0"/>
          <w:numId w:val="31"/>
        </w:numPr>
        <w:tabs>
          <w:tab w:val="left" w:pos="341"/>
        </w:tabs>
        <w:spacing w:after="220"/>
        <w:ind w:left="360" w:hanging="360"/>
      </w:pPr>
      <w:bookmarkStart w:id="267" w:name="bookmark267"/>
      <w:bookmarkEnd w:id="267"/>
      <w:r>
        <w:t>Se necesita gran cuidado al administrar IGIV a una persona con el antecedente de reacciones adversas a inmunoglobulinas.</w:t>
      </w:r>
    </w:p>
    <w:p w14:paraId="71EB9B15" w14:textId="77777777" w:rsidR="0072615D" w:rsidRDefault="0072615D">
      <w:pPr>
        <w:pStyle w:val="BodyText"/>
        <w:numPr>
          <w:ilvl w:val="0"/>
          <w:numId w:val="31"/>
        </w:numPr>
        <w:tabs>
          <w:tab w:val="left" w:pos="335"/>
        </w:tabs>
        <w:ind w:left="320" w:hanging="320"/>
      </w:pPr>
      <w:bookmarkStart w:id="268" w:name="bookmark268"/>
      <w:bookmarkEnd w:id="268"/>
      <w:r>
        <w:t>Pueden surgir reacciones sistémicas al concentrado IGIV (véase antes en esta sección “Reacciones adversas a IGIV”), razón por la cual es importante contar a la mano con adrenalina y otros fármacos o medios de tratar reacciones agudas.</w:t>
      </w:r>
    </w:p>
    <w:p w14:paraId="76A95B21" w14:textId="77777777" w:rsidR="0072615D" w:rsidRDefault="0072615D">
      <w:pPr>
        <w:pStyle w:val="BodyText"/>
        <w:numPr>
          <w:ilvl w:val="0"/>
          <w:numId w:val="31"/>
        </w:numPr>
        <w:tabs>
          <w:tab w:val="left" w:pos="335"/>
        </w:tabs>
        <w:ind w:left="320" w:hanging="320"/>
      </w:pPr>
      <w:bookmarkStart w:id="269" w:name="bookmark269"/>
      <w:bookmarkEnd w:id="269"/>
      <w:r>
        <w:t>Las reacciones adversas se pueden aliviar si se lentifica la velocidad o se disminuye el volumen del goteo. En el caso de personas con reacciones intensas y repetitivas que no mejoran con las medidas anteriores se puede aplicar por vía intravenosa</w:t>
      </w:r>
    </w:p>
    <w:p w14:paraId="5A19ED69" w14:textId="77777777" w:rsidR="0072615D" w:rsidRDefault="0072615D">
      <w:pPr>
        <w:pStyle w:val="BodyText"/>
        <w:ind w:left="320" w:firstLine="40"/>
      </w:pPr>
      <w:r>
        <w:t>1 a 2 mg de hidrocortisona/kg de peso, 30 min antes de la venoclisis. También son útiles medidas como recurrir a un concentrado diferente de IGIV o el tratamiento previo con difenhidramina, acetaminofén o aspirina.</w:t>
      </w:r>
    </w:p>
    <w:p w14:paraId="2FB5A8B1" w14:textId="77777777" w:rsidR="0072615D" w:rsidRDefault="0072615D">
      <w:pPr>
        <w:pStyle w:val="BodyText"/>
        <w:numPr>
          <w:ilvl w:val="0"/>
          <w:numId w:val="31"/>
        </w:numPr>
        <w:tabs>
          <w:tab w:val="left" w:pos="335"/>
        </w:tabs>
        <w:ind w:left="320" w:hanging="320"/>
      </w:pPr>
      <w:bookmarkStart w:id="270" w:name="bookmark270"/>
      <w:bookmarkEnd w:id="270"/>
      <w:r>
        <w:t>Las personas muy graves con gran deterioro de la función cardiaca que reciben grandes volúmenes del concentrado IGIV pueden estar expuestas a un mayor peligro de complicaciones vasomotoras o cardiacas manifestadas por hipertensión arterial, insuficiencia cardiaca o ambos cuadros.</w:t>
      </w:r>
    </w:p>
    <w:p w14:paraId="67155614" w14:textId="77777777" w:rsidR="0072615D" w:rsidRDefault="0072615D">
      <w:pPr>
        <w:pStyle w:val="BodyText"/>
        <w:numPr>
          <w:ilvl w:val="0"/>
          <w:numId w:val="31"/>
        </w:numPr>
        <w:tabs>
          <w:tab w:val="left" w:pos="335"/>
        </w:tabs>
        <w:spacing w:after="100"/>
        <w:ind w:left="320" w:hanging="320"/>
      </w:pPr>
      <w:bookmarkStart w:id="271" w:name="bookmark271"/>
      <w:bookmarkEnd w:id="271"/>
      <w:r>
        <w:t>No se recomienda buscar sistemáticamente la deficiencia de IgA entre quienes puedan recibir en lo futuro IGIV (véase antes en esta sección “Reacciones adversas a IGIV”).</w:t>
      </w:r>
    </w:p>
    <w:p w14:paraId="38943DEB" w14:textId="77777777" w:rsidR="0072615D" w:rsidRDefault="0072615D">
      <w:pPr>
        <w:pStyle w:val="Bodytext70"/>
      </w:pPr>
      <w:r>
        <w:t>Plasma humano</w:t>
      </w:r>
    </w:p>
    <w:p w14:paraId="2A18357E" w14:textId="77777777" w:rsidR="0072615D" w:rsidRDefault="0072615D">
      <w:pPr>
        <w:pStyle w:val="BodyText"/>
        <w:spacing w:after="100"/>
        <w:ind w:firstLine="0"/>
      </w:pPr>
      <w:r>
        <w:t xml:space="preserve">El empleo de plasma humano para erradicar enfermedades infecciosas no goza de aceptación unánime y sus indicaciones son pocas. Se le ha administrado en sujetos con quemaduras en un intento de desterrar las infecciones por </w:t>
      </w:r>
      <w:r>
        <w:rPr>
          <w:rFonts w:ascii="Times New Roman" w:eastAsia="Times New Roman" w:hAnsi="Times New Roman" w:cs="Times New Roman"/>
          <w:i/>
          <w:iCs/>
          <w:sz w:val="16"/>
          <w:szCs w:val="16"/>
        </w:rPr>
        <w:t>Pseudomonas</w:t>
      </w:r>
      <w:r>
        <w:rPr>
          <w:i/>
          <w:iCs/>
        </w:rPr>
        <w:t>,</w:t>
      </w:r>
      <w:r>
        <w:t xml:space="preserve"> pero no son suficientes los datos como para sustentar su empleo. El plasma en venoclisis ha sido útil para tratar a los lactantes que tienen enteropatías con pérdida proteínica. En algunos pacientes con deficiencias de anticuerpos IgG se ha recurrido al plasma en goteo en vez de inmunoglobulinas, en caso de presentar reacciones adversas a IG o no reaccionar al tratamiento con tal inmunoglobulina; sin embargo, tales pacientes inmunodeficientes pueden ser tratados con IGIV (o con la administración subcutánea lenta de IG).</w:t>
      </w:r>
    </w:p>
    <w:p w14:paraId="7DC8E36F" w14:textId="77777777" w:rsidR="0072615D" w:rsidRDefault="0072615D">
      <w:pPr>
        <w:pStyle w:val="Bodytext70"/>
      </w:pPr>
      <w:r>
        <w:t>Anticuerpos de origen animal (antisueros animales)</w:t>
      </w:r>
    </w:p>
    <w:p w14:paraId="1ECA102A" w14:textId="77777777" w:rsidR="0072615D" w:rsidRDefault="0072615D">
      <w:pPr>
        <w:pStyle w:val="BodyText"/>
        <w:ind w:firstLine="0"/>
      </w:pPr>
      <w:r>
        <w:t>Los productos de origen animal utilizados para evitar enfermedades infecciosas se obtienen del suero equino. También se cuenta con preparados experimentales obtenidos de otras especies. Los productos en cuestión se obtienen al concentrar la fracción de globulina sérica, con sulfato de amonio. Algunos de los productos (no todos) son sometidos a digestión enzimática para disminuir las reacciones a proteínas heterólogas.</w:t>
      </w:r>
    </w:p>
    <w:p w14:paraId="48DAD208" w14:textId="77777777" w:rsidR="0072615D" w:rsidRDefault="0072615D">
      <w:pPr>
        <w:pStyle w:val="BodyText"/>
        <w:ind w:firstLine="360"/>
      </w:pPr>
      <w:r>
        <w:t>El empleo de los productos siguientes se expone en los resúmenes de la sección 3, dedicados a enfermedades específicas:</w:t>
      </w:r>
    </w:p>
    <w:p w14:paraId="0DB84E48" w14:textId="77777777" w:rsidR="0072615D" w:rsidRDefault="0072615D">
      <w:pPr>
        <w:pStyle w:val="BodyText"/>
        <w:numPr>
          <w:ilvl w:val="0"/>
          <w:numId w:val="31"/>
        </w:numPr>
        <w:tabs>
          <w:tab w:val="left" w:pos="335"/>
        </w:tabs>
        <w:spacing w:line="290" w:lineRule="auto"/>
        <w:ind w:left="320" w:hanging="320"/>
      </w:pPr>
      <w:bookmarkStart w:id="272" w:name="bookmark272"/>
      <w:bookmarkEnd w:id="272"/>
      <w:r>
        <w:t xml:space="preserve">Antitoxina botulínica (equina) que en Estados Unidos se obtiene de los </w:t>
      </w:r>
      <w:r>
        <w:rPr>
          <w:rFonts w:ascii="Times New Roman" w:eastAsia="Times New Roman" w:hAnsi="Times New Roman" w:cs="Times New Roman"/>
          <w:i/>
          <w:iCs/>
          <w:sz w:val="16"/>
          <w:szCs w:val="16"/>
        </w:rPr>
        <w:t>Center for Disease Control and Prevention</w:t>
      </w:r>
      <w:r>
        <w:t xml:space="preserve"> (CDC).</w:t>
      </w:r>
    </w:p>
    <w:p w14:paraId="729FDDAB" w14:textId="77777777" w:rsidR="0072615D" w:rsidRDefault="0072615D">
      <w:pPr>
        <w:pStyle w:val="BodyText"/>
        <w:numPr>
          <w:ilvl w:val="0"/>
          <w:numId w:val="31"/>
        </w:numPr>
        <w:tabs>
          <w:tab w:val="left" w:pos="335"/>
        </w:tabs>
        <w:spacing w:after="240"/>
        <w:ind w:left="320" w:hanging="320"/>
      </w:pPr>
      <w:bookmarkStart w:id="273" w:name="bookmark273"/>
      <w:bookmarkEnd w:id="273"/>
      <w:r>
        <w:t>Antitoxina diftérica (equina) distribuida también por los CDC. El único fabricante estadounidense ya no elabora dicho producto y el abasto actual terminará en noviembre de 2003. Se negocia la posibilidad de contar con otro fabricante.</w:t>
      </w:r>
    </w:p>
    <w:p w14:paraId="7A07EE31" w14:textId="77777777" w:rsidR="0072615D" w:rsidRDefault="0072615D">
      <w:pPr>
        <w:pStyle w:val="BodyText"/>
        <w:spacing w:after="240"/>
        <w:ind w:firstLine="0"/>
      </w:pPr>
      <w:r>
        <w:t>INDICACIONES PARA USAR ANTISUEROS DE ANIMALES</w:t>
      </w:r>
    </w:p>
    <w:p w14:paraId="1D49BE6C" w14:textId="77777777" w:rsidR="0072615D" w:rsidRDefault="0072615D">
      <w:pPr>
        <w:pStyle w:val="BodyText"/>
        <w:spacing w:after="240"/>
        <w:ind w:firstLine="0"/>
        <w:sectPr w:rsidR="0072615D" w:rsidSect="0072615D">
          <w:headerReference w:type="even" r:id="rId196"/>
          <w:headerReference w:type="default" r:id="rId197"/>
          <w:footerReference w:type="even" r:id="rId198"/>
          <w:footerReference w:type="default" r:id="rId199"/>
          <w:type w:val="continuous"/>
          <w:pgSz w:w="8501" w:h="13022"/>
          <w:pgMar w:top="912" w:right="881" w:bottom="490" w:left="742" w:header="0" w:footer="3" w:gutter="0"/>
          <w:cols w:space="720"/>
          <w:noEndnote/>
          <w:docGrid w:linePitch="360"/>
          <w15:footnoteColumns w:val="1"/>
        </w:sectPr>
      </w:pPr>
      <w:r>
        <w:t>Los productos que contienen anticuerpos preparados a base de sueros de animales conllevan un peligro especial para quien los recibe y su uso debe centrarse estrictamente</w:t>
      </w:r>
    </w:p>
    <w:p w14:paraId="311AE903" w14:textId="77777777" w:rsidR="0072615D" w:rsidRDefault="0072615D">
      <w:pPr>
        <w:pStyle w:val="BodyText"/>
        <w:numPr>
          <w:ilvl w:val="0"/>
          <w:numId w:val="31"/>
        </w:numPr>
        <w:tabs>
          <w:tab w:val="left" w:pos="335"/>
        </w:tabs>
        <w:ind w:left="320" w:hanging="320"/>
      </w:pPr>
      <w:bookmarkStart w:id="274" w:name="bookmark274"/>
      <w:bookmarkEnd w:id="274"/>
      <w:r>
        <w:t>Pueden surgir reacciones sistémicas al concentrado IGIV (véase antes en esta sección “Reacciones adversas a IGIV”), razón por la cual es importante contar a la mano con adrenalina y otros fármacos o medios de tratar reacciones agudas.</w:t>
      </w:r>
    </w:p>
    <w:p w14:paraId="7069DF45" w14:textId="77777777" w:rsidR="0072615D" w:rsidRDefault="0072615D">
      <w:pPr>
        <w:pStyle w:val="BodyText"/>
        <w:numPr>
          <w:ilvl w:val="0"/>
          <w:numId w:val="31"/>
        </w:numPr>
        <w:tabs>
          <w:tab w:val="left" w:pos="335"/>
        </w:tabs>
        <w:ind w:left="320" w:hanging="320"/>
      </w:pPr>
      <w:bookmarkStart w:id="275" w:name="bookmark275"/>
      <w:bookmarkEnd w:id="275"/>
      <w:r>
        <w:t>Las reacciones adversas se pueden aliviar si se lentifica la velocidad o se disminuye el volumen del goteo. En el caso de personas con reacciones intensas y repetitivas que no mejoran con las medidas anteriores se puede aplicar por vía intravenosa</w:t>
      </w:r>
    </w:p>
    <w:p w14:paraId="28A74956" w14:textId="77777777" w:rsidR="0072615D" w:rsidRDefault="0072615D">
      <w:pPr>
        <w:pStyle w:val="BodyText"/>
        <w:ind w:left="320" w:firstLine="40"/>
      </w:pPr>
      <w:r>
        <w:t>1 a 2 mg de hidrocortisona/kg de peso, 30 min antes de la venoclisis. También son útiles medidas como recurrir a un concentrado diferente de IGIV o el tratamiento previo con difenhidramina, acetaminofén o aspirina.</w:t>
      </w:r>
    </w:p>
    <w:p w14:paraId="34B5380B" w14:textId="77777777" w:rsidR="0072615D" w:rsidRDefault="0072615D">
      <w:pPr>
        <w:pStyle w:val="BodyText"/>
        <w:numPr>
          <w:ilvl w:val="0"/>
          <w:numId w:val="31"/>
        </w:numPr>
        <w:tabs>
          <w:tab w:val="left" w:pos="335"/>
        </w:tabs>
        <w:ind w:left="320" w:hanging="320"/>
      </w:pPr>
      <w:bookmarkStart w:id="276" w:name="bookmark276"/>
      <w:bookmarkEnd w:id="276"/>
      <w:r>
        <w:t>Las personas muy graves con gran deterioro de la función cardiaca que reciben grandes volúmenes del concentrado IGIV pueden estar expuestas a un mayor peligro de complicaciones vasomotoras o cardiacas manifestadas por hipertensión arterial, insuficiencia cardiaca o ambos cuadros.</w:t>
      </w:r>
    </w:p>
    <w:p w14:paraId="2733C2A2" w14:textId="77777777" w:rsidR="0072615D" w:rsidRDefault="0072615D">
      <w:pPr>
        <w:pStyle w:val="BodyText"/>
        <w:numPr>
          <w:ilvl w:val="0"/>
          <w:numId w:val="31"/>
        </w:numPr>
        <w:tabs>
          <w:tab w:val="left" w:pos="335"/>
        </w:tabs>
        <w:spacing w:after="100"/>
        <w:ind w:left="320" w:hanging="320"/>
      </w:pPr>
      <w:bookmarkStart w:id="277" w:name="bookmark277"/>
      <w:bookmarkEnd w:id="277"/>
      <w:r>
        <w:t>No se recomienda buscar sistemáticamente la deficiencia de IgA entre quienes puedan recibir en lo futuro IGIV (véase antes en esta sección “Reacciones adversas a IGIV”).</w:t>
      </w:r>
    </w:p>
    <w:p w14:paraId="07BE8304" w14:textId="77777777" w:rsidR="0072615D" w:rsidRDefault="0072615D">
      <w:pPr>
        <w:pStyle w:val="Bodytext70"/>
      </w:pPr>
      <w:r>
        <w:t>Plasma humano</w:t>
      </w:r>
    </w:p>
    <w:p w14:paraId="32B4F2D7" w14:textId="77777777" w:rsidR="0072615D" w:rsidRDefault="0072615D">
      <w:pPr>
        <w:pStyle w:val="BodyText"/>
        <w:spacing w:after="100"/>
        <w:ind w:firstLine="0"/>
      </w:pPr>
      <w:r>
        <w:t xml:space="preserve">El empleo de plasma humano para erradicar enfermedades infecciosas no goza de aceptación unánime y sus indicaciones son pocas. Se le ha administrado en sujetos con quemaduras en un intento de desterrar las infecciones por </w:t>
      </w:r>
      <w:r>
        <w:rPr>
          <w:rFonts w:ascii="Times New Roman" w:eastAsia="Times New Roman" w:hAnsi="Times New Roman" w:cs="Times New Roman"/>
          <w:i/>
          <w:iCs/>
          <w:sz w:val="16"/>
          <w:szCs w:val="16"/>
        </w:rPr>
        <w:t>Pseudomonas</w:t>
      </w:r>
      <w:r>
        <w:rPr>
          <w:i/>
          <w:iCs/>
        </w:rPr>
        <w:t>,</w:t>
      </w:r>
      <w:r>
        <w:t xml:space="preserve"> pero no son suficientes los datos como para sustentar su empleo. El plasma en venoclisis ha sido útil para tratar a los lactantes que tienen enteropatías con pérdida proteínica. En algunos pacientes con deficiencias de anticuerpos IgG se ha recurrido al plasma en goteo en vez de inmunoglobulinas, en caso de presentar reacciones adversas a IG o no reaccionar al tratamiento con tal inmunoglobulina; sin embargo, tales pacientes inmunodeficientes pueden ser tratados con IGIV (o con la administración subcutánea lenta de IG).</w:t>
      </w:r>
    </w:p>
    <w:p w14:paraId="62D4F965" w14:textId="77777777" w:rsidR="0072615D" w:rsidRDefault="0072615D">
      <w:pPr>
        <w:pStyle w:val="Bodytext70"/>
      </w:pPr>
      <w:r>
        <w:t>Anticuerpos de origen animal (antisueros animales)</w:t>
      </w:r>
    </w:p>
    <w:p w14:paraId="1F7088FC" w14:textId="77777777" w:rsidR="0072615D" w:rsidRDefault="0072615D">
      <w:pPr>
        <w:pStyle w:val="BodyText"/>
        <w:ind w:firstLine="0"/>
      </w:pPr>
      <w:r>
        <w:t>Los productos de origen animal utilizados para evitar enfermedades infecciosas se obtienen del suero equino. También se cuenta con preparados experimentales obtenidos de otras especies. Los productos en cuestión se obtienen al concentrar la fracción de globulina sérica, con sulfato de amonio. Algunos de los productos (no todos) son sometidos a digestión enzimática para disminuir las reacciones a proteínas heterólogas.</w:t>
      </w:r>
    </w:p>
    <w:p w14:paraId="3B43F79A" w14:textId="77777777" w:rsidR="0072615D" w:rsidRDefault="0072615D">
      <w:pPr>
        <w:pStyle w:val="BodyText"/>
        <w:ind w:firstLine="360"/>
      </w:pPr>
      <w:r>
        <w:t>El empleo de los productos siguientes se expone en los resúmenes de la sección 3, dedicados a enfermedades específicas:</w:t>
      </w:r>
    </w:p>
    <w:p w14:paraId="397E906F" w14:textId="77777777" w:rsidR="0072615D" w:rsidRDefault="0072615D">
      <w:pPr>
        <w:pStyle w:val="BodyText"/>
        <w:numPr>
          <w:ilvl w:val="0"/>
          <w:numId w:val="31"/>
        </w:numPr>
        <w:tabs>
          <w:tab w:val="left" w:pos="335"/>
        </w:tabs>
        <w:spacing w:line="290" w:lineRule="auto"/>
        <w:ind w:left="320" w:hanging="320"/>
      </w:pPr>
      <w:bookmarkStart w:id="278" w:name="bookmark278"/>
      <w:bookmarkEnd w:id="278"/>
      <w:r>
        <w:t xml:space="preserve">Antitoxina botulínica (equina) que en Estados Unidos se obtiene de los </w:t>
      </w:r>
      <w:r>
        <w:rPr>
          <w:rFonts w:ascii="Times New Roman" w:eastAsia="Times New Roman" w:hAnsi="Times New Roman" w:cs="Times New Roman"/>
          <w:i/>
          <w:iCs/>
          <w:sz w:val="16"/>
          <w:szCs w:val="16"/>
        </w:rPr>
        <w:t>Center for Disease Control and Prevention</w:t>
      </w:r>
      <w:r>
        <w:t xml:space="preserve"> (CDC).</w:t>
      </w:r>
    </w:p>
    <w:p w14:paraId="4777C2B9" w14:textId="77777777" w:rsidR="0072615D" w:rsidRDefault="0072615D">
      <w:pPr>
        <w:pStyle w:val="BodyText"/>
        <w:numPr>
          <w:ilvl w:val="0"/>
          <w:numId w:val="31"/>
        </w:numPr>
        <w:tabs>
          <w:tab w:val="left" w:pos="335"/>
        </w:tabs>
        <w:spacing w:after="240"/>
        <w:ind w:left="320" w:hanging="320"/>
      </w:pPr>
      <w:bookmarkStart w:id="279" w:name="bookmark279"/>
      <w:bookmarkEnd w:id="279"/>
      <w:r>
        <w:t>Antitoxina diftérica (equina) distribuida también por los CDC. El único fabricante estadounidense ya no elabora dicho producto y el abasto actual terminará en noviembre de 2003. Se negocia la posibilidad de contar con otro fabricante.</w:t>
      </w:r>
    </w:p>
    <w:p w14:paraId="58760939" w14:textId="77777777" w:rsidR="0072615D" w:rsidRDefault="0072615D">
      <w:pPr>
        <w:pStyle w:val="BodyText"/>
        <w:spacing w:after="240"/>
        <w:ind w:firstLine="0"/>
      </w:pPr>
      <w:r>
        <w:t>INDICACIONES PARA USAR ANTISUEROS DE ANIMALES</w:t>
      </w:r>
    </w:p>
    <w:p w14:paraId="434CBDA1" w14:textId="77777777" w:rsidR="0072615D" w:rsidRDefault="0072615D">
      <w:pPr>
        <w:pStyle w:val="BodyText"/>
        <w:spacing w:after="220"/>
        <w:ind w:firstLine="0"/>
      </w:pPr>
      <w:r>
        <w:t>Los productos que contienen anticuerpos preparados a base de sueros de animales conllevan un peligro especial para quien los recibe y su uso debe centrarse estrictamente sólo en algunas indicaciones para las cuales no se dispone de los preparados inmunoglobulínicos específicos de origen humano (como serían difteria y botulismo).</w:t>
      </w:r>
    </w:p>
    <w:p w14:paraId="72138EDF" w14:textId="77777777" w:rsidR="0072615D" w:rsidRDefault="0072615D">
      <w:pPr>
        <w:pStyle w:val="BodyText"/>
        <w:spacing w:after="220"/>
        <w:ind w:firstLine="0"/>
      </w:pPr>
      <w:r>
        <w:t>REACCIONES A SUEROS DE ANIMALES</w:t>
      </w:r>
    </w:p>
    <w:p w14:paraId="735CE27E" w14:textId="77777777" w:rsidR="0072615D" w:rsidRDefault="0072615D">
      <w:pPr>
        <w:pStyle w:val="BodyText"/>
        <w:spacing w:after="220"/>
        <w:ind w:firstLine="0"/>
      </w:pPr>
      <w:r>
        <w:t>Antes de inyectar cualquier suero de origen animal habrá que interrogar al paciente respecto de sus antecedentes de asma, rinitis alérgica y urticaria después de haber estado expuesto a animales o sueros animales inyectables. Los sujetos con el antecedente de asma o reacciones alérgicas, en particular la exposición a productos equinos, pueden ser muy sensibles a sueros de caballos y en caso de utilizar tales productos se seguirán las máximas precauciones. Los individuos que han recibido sueros de animales están expuestos a un mayor peligro de presentar reacciones alérgicas y enfermedad del suero después de recibir el suero de la misma especie animal.</w:t>
      </w:r>
    </w:p>
    <w:p w14:paraId="4D69E1C0" w14:textId="77777777" w:rsidR="0072615D" w:rsidRDefault="0072615D">
      <w:pPr>
        <w:pStyle w:val="BodyText"/>
        <w:ind w:firstLine="0"/>
      </w:pPr>
      <w:r>
        <w:t>PRUEBAS DE SENSIBILIDAD EN BUSCA DE REACCIONES</w:t>
      </w:r>
    </w:p>
    <w:p w14:paraId="720664D4" w14:textId="77777777" w:rsidR="0072615D" w:rsidRDefault="0072615D">
      <w:pPr>
        <w:pStyle w:val="BodyText"/>
        <w:spacing w:after="220"/>
        <w:ind w:firstLine="0"/>
      </w:pPr>
      <w:r>
        <w:t>A SUEROS DE ANIMALES</w:t>
      </w:r>
    </w:p>
    <w:p w14:paraId="7A57104C" w14:textId="77777777" w:rsidR="0072615D" w:rsidRDefault="0072615D">
      <w:pPr>
        <w:pStyle w:val="BodyText"/>
        <w:ind w:firstLine="0"/>
      </w:pPr>
      <w:r>
        <w:t>Se practicarán métodos cutáneos (cutirreacciones) en todo individuo que recibirá algún suero de animal, antes de aplicarlo. Las propias pruebas intradérmicas (ID) han originado algunos casos de muerte, pero la prueba de escarificación suele ser innocua. Por esa razón habrá que practicar dicha prueba antes de las que se hacen con ID. No obstante, personal experto se encargará de todas las pruebas de sensibilidad, pues conoce en detalle el tratamiento de cualquier caso de anafilaxia aguda; es importante contar a la mano con medicamentos y equipo idóneos (véase más adelante en esta sección “Tratamiento de reacciones anafilácticas”).</w:t>
      </w:r>
    </w:p>
    <w:p w14:paraId="79193A67"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Pruebas de escarificación, picadura y punción.</w:t>
      </w:r>
      <w:r>
        <w:rPr>
          <w:rFonts w:ascii="Times New Roman" w:eastAsia="Times New Roman" w:hAnsi="Times New Roman" w:cs="Times New Roman"/>
          <w:b/>
          <w:bCs/>
          <w:i/>
          <w:iCs/>
          <w:sz w:val="16"/>
          <w:szCs w:val="16"/>
        </w:rPr>
        <w:footnoteReference w:id="20"/>
      </w:r>
      <w:r>
        <w:t xml:space="preserve"> El operador aplicará una gota de una dilución de suero al 1:100 en una solución de cloruro de sodio isotónica, sin conservador, en el sitio de escarificación, picadura o punción superficiales en la cara palmar del antebrazo. También es necesario contar con una zona testigo positiva (con histamina) y otra negativa (solución salina fisiológica) para la prueba de escarificación. Se considera como positiva la prueba en que se forma una roncha con eritema periférico alrededor por lo menos 3 mm mayor que la zona negativa testigo y que se registra a los 15 a 20 min. El sitio testigo con histamina debe mostrar positividad para interpretación válida. Si la prueba de escarificación es negativa se practicará la prueba intradérmica (ID).</w:t>
      </w:r>
    </w:p>
    <w:p w14:paraId="57E278ED" w14:textId="77777777" w:rsidR="0072615D" w:rsidRDefault="0072615D">
      <w:pPr>
        <w:pStyle w:val="BodyText"/>
        <w:spacing w:after="220" w:line="276" w:lineRule="auto"/>
        <w:ind w:firstLine="360"/>
      </w:pPr>
      <w:r>
        <w:rPr>
          <w:rFonts w:ascii="Times New Roman" w:eastAsia="Times New Roman" w:hAnsi="Times New Roman" w:cs="Times New Roman"/>
          <w:b/>
          <w:bCs/>
          <w:i/>
          <w:iCs/>
          <w:sz w:val="16"/>
          <w:szCs w:val="16"/>
        </w:rPr>
        <w:t>Prueba intradèrmica* (ID).</w:t>
      </w:r>
      <w:r>
        <w:t xml:space="preserve"> Se aplica una dosis de 02 ml de una dilución al 1:1 000 de suero diluido en solución salina isotónica, sin conservador, (suficiente para que se forme una pequeña roncha). También hay que elaborar zonas testigo positivas y negativas como se describió en la prueba de escarificación. Si el resultado de la prueba es negativo se repetirá con una dilución al 1:100. En el caso de personas sin antecedentes de alergia a productos animales y una exposición previa al suero animal cabe utilizar como primera fase la dilución al 1:100 si las pruebas de escarificación, picadura y punción hechas con suero arrojaron resultados negativos. La interpretación es igual a la que se hace en la prueba de escarificación.</w:t>
      </w:r>
    </w:p>
    <w:p w14:paraId="26461183" w14:textId="77777777" w:rsidR="0072615D" w:rsidRDefault="0072615D">
      <w:pPr>
        <w:pStyle w:val="BodyText"/>
        <w:ind w:firstLine="360"/>
      </w:pPr>
      <w:r>
        <w:t>Los resultados positivos no atribuibles a una reacción irritativa denotan sensibilidad, si bien un resultado negativo no garantiza absolutamente que no haya tal sensibilidad. Por tal razón, habrá que aplicar con cautela el suero de animales, incluso a personas cuyos resultados son negativos. Las pruebas de hipersensibilidad inmediatas se realizan para identificar enfermedad mediada por IgE y no permiten predecir otras reacciones inmunitarias, como la enfermedad del suero.</w:t>
      </w:r>
    </w:p>
    <w:p w14:paraId="691A9A44" w14:textId="77777777" w:rsidR="0072615D" w:rsidRDefault="0072615D">
      <w:pPr>
        <w:pStyle w:val="BodyText"/>
        <w:ind w:firstLine="360"/>
      </w:pPr>
      <w:r>
        <w:t>Si el resultado de la prueba intradérmica es positivo o si el antecede de anafilaxia sistémica después de administración del suero en fechas pasadas sugieren fuertemente que existió tal problema en la persona en quien la necesidad del suero es incuestionable, se podrán emprender medidas de desensibilización (véase más adelante en esta sección “Desensibilización a sueros animales”).</w:t>
      </w:r>
    </w:p>
    <w:p w14:paraId="3C9D0E13" w14:textId="77777777" w:rsidR="0072615D" w:rsidRDefault="0072615D">
      <w:pPr>
        <w:pStyle w:val="BodyText"/>
        <w:spacing w:after="220"/>
        <w:ind w:firstLine="360"/>
      </w:pPr>
      <w:r>
        <w:t>Si los datos de la anamnesis y las pruebas de sensibilidad arrojan resultados negativos, puede aplicarse por vía intramuscular la dosis indicada de suero. Habrá que observar después al paciente durante 30 min, como mínimo. La administración intravenosa puede estar indicada si es indispensable lograr una concentración alta de anticuerpos séricos, como en el tratamiento de la difteria o del botulismo. En tales casos habrá que diluir el suero y administrarlo lentamente por vía endovenosa, siguiendo las instrucciones del fabricante. Habrá que vigilar con todo cuidado al paciente en busca de signos o síntomas de anafilaxia.</w:t>
      </w:r>
    </w:p>
    <w:p w14:paraId="7031D3E7" w14:textId="77777777" w:rsidR="0072615D" w:rsidRDefault="0072615D">
      <w:pPr>
        <w:pStyle w:val="BodyText"/>
        <w:spacing w:after="220"/>
        <w:ind w:firstLine="0"/>
      </w:pPr>
      <w:r>
        <w:t>DESENSIBILIZACION A SUEROS DE ANIMALES</w:t>
      </w:r>
    </w:p>
    <w:p w14:paraId="429B3F6D" w14:textId="77777777" w:rsidR="0072615D" w:rsidRDefault="0072615D">
      <w:pPr>
        <w:pStyle w:val="BodyText"/>
        <w:spacing w:after="340"/>
        <w:ind w:firstLine="0"/>
      </w:pPr>
      <w:r>
        <w:t>Los cuadros 1-9 y 1-10 sirven como guía para los métodos de desensibilización en el caso de la administración de suero de animales. Pueden escogerse regímenes intravenoso (cuadro 1-9), intradérmico, subcutáneo o intramuscular (IM) (cuadro 1-10). Se considera que la vía intravenosa (IV) es la más segura porque con ella se logra un mejor control. El método de desensibilización debe hacerlo personal experto en el tratamiento de la anafilaxia, con fármacos apropiados y equipo a la mano (véase más</w:t>
      </w:r>
    </w:p>
    <w:p w14:paraId="58DD11D6" w14:textId="77777777" w:rsidR="0072615D" w:rsidRDefault="0072615D">
      <w:pPr>
        <w:pStyle w:val="Heading31"/>
        <w:keepNext/>
        <w:keepLines/>
        <w:spacing w:after="120"/>
        <w:jc w:val="center"/>
      </w:pPr>
      <w:bookmarkStart w:id="280" w:name="bookmark280"/>
      <w:bookmarkStart w:id="281" w:name="bookmark281"/>
      <w:bookmarkStart w:id="282" w:name="bookmark282"/>
      <w:r>
        <w:rPr>
          <w:b w:val="0"/>
          <w:bCs w:val="0"/>
        </w:rPr>
        <w:t xml:space="preserve">Cuadro 1 - 9. </w:t>
      </w:r>
      <w:r>
        <w:t>Desensibilización al suero-vía intravenosa (IV)</w:t>
      </w:r>
      <w:bookmarkEnd w:id="280"/>
      <w:bookmarkEnd w:id="281"/>
      <w:bookmarkEnd w:id="282"/>
    </w:p>
    <w:tbl>
      <w:tblPr>
        <w:tblOverlap w:val="never"/>
        <w:tblW w:w="0" w:type="auto"/>
        <w:jc w:val="center"/>
        <w:tblLayout w:type="fixed"/>
        <w:tblCellMar>
          <w:left w:w="10" w:type="dxa"/>
          <w:right w:w="10" w:type="dxa"/>
        </w:tblCellMar>
        <w:tblLook w:val="04A0" w:firstRow="1" w:lastRow="0" w:firstColumn="1" w:lastColumn="0" w:noHBand="0" w:noVBand="1"/>
      </w:tblPr>
      <w:tblGrid>
        <w:gridCol w:w="1502"/>
        <w:gridCol w:w="2650"/>
        <w:gridCol w:w="2443"/>
      </w:tblGrid>
      <w:tr w:rsidR="0072615D" w14:paraId="7034B12E" w14:textId="77777777">
        <w:tblPrEx>
          <w:tblCellMar>
            <w:top w:w="0" w:type="dxa"/>
            <w:bottom w:w="0" w:type="dxa"/>
          </w:tblCellMar>
        </w:tblPrEx>
        <w:trPr>
          <w:trHeight w:hRule="exact" w:val="782"/>
          <w:jc w:val="center"/>
        </w:trPr>
        <w:tc>
          <w:tcPr>
            <w:tcW w:w="1502" w:type="dxa"/>
            <w:shd w:val="clear" w:color="auto" w:fill="231F20"/>
          </w:tcPr>
          <w:p w14:paraId="34022565"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8" w:lineRule="auto"/>
              <w:ind w:firstLine="0"/>
              <w:rPr>
                <w:sz w:val="8"/>
                <w:szCs w:val="8"/>
              </w:rPr>
            </w:pPr>
            <w:r>
              <w:rPr>
                <w:rFonts w:ascii="Arial" w:eastAsia="Arial" w:hAnsi="Arial" w:cs="Arial"/>
                <w:b/>
                <w:bCs/>
                <w:color w:val="FFFFFF"/>
                <w:w w:val="70"/>
                <w:sz w:val="24"/>
                <w:szCs w:val="24"/>
              </w:rPr>
              <w:t>Número de las dosis</w:t>
            </w:r>
            <w:r>
              <w:rPr>
                <w:rFonts w:ascii="Times New Roman" w:eastAsia="Times New Roman" w:hAnsi="Times New Roman" w:cs="Times New Roman"/>
                <w:color w:val="FFFFFF"/>
                <w:sz w:val="8"/>
                <w:szCs w:val="8"/>
                <w:vertAlign w:val="superscript"/>
              </w:rPr>
              <w:t>1</w:t>
            </w:r>
          </w:p>
        </w:tc>
        <w:tc>
          <w:tcPr>
            <w:tcW w:w="2650" w:type="dxa"/>
            <w:shd w:val="clear" w:color="auto" w:fill="231F20"/>
          </w:tcPr>
          <w:p w14:paraId="516167A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left="500" w:firstLine="0"/>
              <w:rPr>
                <w:sz w:val="24"/>
                <w:szCs w:val="24"/>
              </w:rPr>
            </w:pPr>
            <w:r>
              <w:rPr>
                <w:rFonts w:ascii="Arial" w:eastAsia="Arial" w:hAnsi="Arial" w:cs="Arial"/>
                <w:b/>
                <w:bCs/>
                <w:color w:val="FFFFFF"/>
                <w:w w:val="70"/>
                <w:sz w:val="24"/>
                <w:szCs w:val="24"/>
              </w:rPr>
              <w:t>Dilución del suero en solución isotónica de cloruro de sodio</w:t>
            </w:r>
          </w:p>
        </w:tc>
        <w:tc>
          <w:tcPr>
            <w:tcW w:w="2443" w:type="dxa"/>
            <w:shd w:val="clear" w:color="auto" w:fill="231F20"/>
          </w:tcPr>
          <w:p w14:paraId="20D3962B"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8" w:lineRule="auto"/>
              <w:ind w:left="400" w:firstLine="0"/>
              <w:rPr>
                <w:sz w:val="24"/>
                <w:szCs w:val="24"/>
              </w:rPr>
            </w:pPr>
            <w:r>
              <w:rPr>
                <w:rFonts w:ascii="Arial" w:eastAsia="Arial" w:hAnsi="Arial" w:cs="Arial"/>
                <w:b/>
                <w:bCs/>
                <w:color w:val="FFFFFF"/>
                <w:w w:val="70"/>
                <w:sz w:val="24"/>
                <w:szCs w:val="24"/>
              </w:rPr>
              <w:t>Volumen de la inyección IV en ml</w:t>
            </w:r>
          </w:p>
        </w:tc>
      </w:tr>
      <w:tr w:rsidR="0072615D" w14:paraId="6B378268" w14:textId="77777777">
        <w:tblPrEx>
          <w:tblCellMar>
            <w:top w:w="0" w:type="dxa"/>
            <w:bottom w:w="0" w:type="dxa"/>
          </w:tblCellMar>
        </w:tblPrEx>
        <w:trPr>
          <w:trHeight w:hRule="exact" w:val="278"/>
          <w:jc w:val="center"/>
        </w:trPr>
        <w:tc>
          <w:tcPr>
            <w:tcW w:w="1502" w:type="dxa"/>
            <w:shd w:val="clear" w:color="auto" w:fill="FFFFFF"/>
            <w:vAlign w:val="bottom"/>
          </w:tcPr>
          <w:p w14:paraId="307E2F71"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1</w:t>
            </w:r>
          </w:p>
        </w:tc>
        <w:tc>
          <w:tcPr>
            <w:tcW w:w="2650" w:type="dxa"/>
            <w:shd w:val="clear" w:color="auto" w:fill="FFFFFF"/>
            <w:vAlign w:val="bottom"/>
          </w:tcPr>
          <w:p w14:paraId="73EED418" w14:textId="77777777" w:rsidR="0072615D" w:rsidRDefault="0072615D">
            <w:pPr>
              <w:pStyle w:val="Other0"/>
              <w:spacing w:line="240" w:lineRule="auto"/>
              <w:ind w:firstLine="940"/>
              <w:rPr>
                <w:sz w:val="16"/>
                <w:szCs w:val="16"/>
              </w:rPr>
            </w:pPr>
            <w:r>
              <w:rPr>
                <w:rFonts w:ascii="Times New Roman" w:eastAsia="Times New Roman" w:hAnsi="Times New Roman" w:cs="Times New Roman"/>
                <w:sz w:val="16"/>
                <w:szCs w:val="16"/>
              </w:rPr>
              <w:t>1:1 000</w:t>
            </w:r>
          </w:p>
        </w:tc>
        <w:tc>
          <w:tcPr>
            <w:tcW w:w="2443" w:type="dxa"/>
            <w:shd w:val="clear" w:color="auto" w:fill="FFFFFF"/>
            <w:vAlign w:val="bottom"/>
          </w:tcPr>
          <w:p w14:paraId="2C4B98F4"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0.1</w:t>
            </w:r>
          </w:p>
        </w:tc>
      </w:tr>
      <w:tr w:rsidR="0072615D" w14:paraId="67A433F7" w14:textId="77777777">
        <w:tblPrEx>
          <w:tblCellMar>
            <w:top w:w="0" w:type="dxa"/>
            <w:bottom w:w="0" w:type="dxa"/>
          </w:tblCellMar>
        </w:tblPrEx>
        <w:trPr>
          <w:trHeight w:hRule="exact" w:val="216"/>
          <w:jc w:val="center"/>
        </w:trPr>
        <w:tc>
          <w:tcPr>
            <w:tcW w:w="1502" w:type="dxa"/>
            <w:shd w:val="clear" w:color="auto" w:fill="FFFFFF"/>
            <w:vAlign w:val="bottom"/>
          </w:tcPr>
          <w:p w14:paraId="4B92D1B5"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2</w:t>
            </w:r>
          </w:p>
        </w:tc>
        <w:tc>
          <w:tcPr>
            <w:tcW w:w="2650" w:type="dxa"/>
            <w:shd w:val="clear" w:color="auto" w:fill="FFFFFF"/>
            <w:vAlign w:val="bottom"/>
          </w:tcPr>
          <w:p w14:paraId="5A83E565" w14:textId="77777777" w:rsidR="0072615D" w:rsidRDefault="0072615D">
            <w:pPr>
              <w:pStyle w:val="Other0"/>
              <w:spacing w:line="240" w:lineRule="auto"/>
              <w:ind w:firstLine="940"/>
              <w:rPr>
                <w:sz w:val="16"/>
                <w:szCs w:val="16"/>
              </w:rPr>
            </w:pPr>
            <w:r>
              <w:rPr>
                <w:rFonts w:ascii="Times New Roman" w:eastAsia="Times New Roman" w:hAnsi="Times New Roman" w:cs="Times New Roman"/>
                <w:sz w:val="16"/>
                <w:szCs w:val="16"/>
              </w:rPr>
              <w:t>1:1 000</w:t>
            </w:r>
          </w:p>
        </w:tc>
        <w:tc>
          <w:tcPr>
            <w:tcW w:w="2443" w:type="dxa"/>
            <w:shd w:val="clear" w:color="auto" w:fill="FFFFFF"/>
            <w:vAlign w:val="bottom"/>
          </w:tcPr>
          <w:p w14:paraId="110428F7"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0.3</w:t>
            </w:r>
          </w:p>
        </w:tc>
      </w:tr>
      <w:tr w:rsidR="0072615D" w14:paraId="69BC0A9E" w14:textId="77777777">
        <w:tblPrEx>
          <w:tblCellMar>
            <w:top w:w="0" w:type="dxa"/>
            <w:bottom w:w="0" w:type="dxa"/>
          </w:tblCellMar>
        </w:tblPrEx>
        <w:trPr>
          <w:trHeight w:hRule="exact" w:val="216"/>
          <w:jc w:val="center"/>
        </w:trPr>
        <w:tc>
          <w:tcPr>
            <w:tcW w:w="1502" w:type="dxa"/>
            <w:shd w:val="clear" w:color="auto" w:fill="FFFFFF"/>
            <w:vAlign w:val="bottom"/>
          </w:tcPr>
          <w:p w14:paraId="216A7954"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3</w:t>
            </w:r>
          </w:p>
        </w:tc>
        <w:tc>
          <w:tcPr>
            <w:tcW w:w="2650" w:type="dxa"/>
            <w:shd w:val="clear" w:color="auto" w:fill="FFFFFF"/>
            <w:vAlign w:val="bottom"/>
          </w:tcPr>
          <w:p w14:paraId="0CBD42E4" w14:textId="77777777" w:rsidR="0072615D" w:rsidRDefault="0072615D">
            <w:pPr>
              <w:pStyle w:val="Other0"/>
              <w:spacing w:line="240" w:lineRule="auto"/>
              <w:ind w:firstLine="940"/>
              <w:rPr>
                <w:sz w:val="16"/>
                <w:szCs w:val="16"/>
              </w:rPr>
            </w:pPr>
            <w:r>
              <w:rPr>
                <w:rFonts w:ascii="Times New Roman" w:eastAsia="Times New Roman" w:hAnsi="Times New Roman" w:cs="Times New Roman"/>
                <w:sz w:val="16"/>
                <w:szCs w:val="16"/>
              </w:rPr>
              <w:t>1:1 000</w:t>
            </w:r>
          </w:p>
        </w:tc>
        <w:tc>
          <w:tcPr>
            <w:tcW w:w="2443" w:type="dxa"/>
            <w:shd w:val="clear" w:color="auto" w:fill="FFFFFF"/>
            <w:vAlign w:val="bottom"/>
          </w:tcPr>
          <w:p w14:paraId="53BBE138"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0.6</w:t>
            </w:r>
          </w:p>
        </w:tc>
      </w:tr>
      <w:tr w:rsidR="0072615D" w14:paraId="4FAC76F4" w14:textId="77777777">
        <w:tblPrEx>
          <w:tblCellMar>
            <w:top w:w="0" w:type="dxa"/>
            <w:bottom w:w="0" w:type="dxa"/>
          </w:tblCellMar>
        </w:tblPrEx>
        <w:trPr>
          <w:trHeight w:hRule="exact" w:val="216"/>
          <w:jc w:val="center"/>
        </w:trPr>
        <w:tc>
          <w:tcPr>
            <w:tcW w:w="1502" w:type="dxa"/>
            <w:shd w:val="clear" w:color="auto" w:fill="FFFFFF"/>
          </w:tcPr>
          <w:p w14:paraId="6DF0311A"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4</w:t>
            </w:r>
          </w:p>
        </w:tc>
        <w:tc>
          <w:tcPr>
            <w:tcW w:w="2650" w:type="dxa"/>
            <w:shd w:val="clear" w:color="auto" w:fill="FFFFFF"/>
          </w:tcPr>
          <w:p w14:paraId="3298AD41" w14:textId="77777777" w:rsidR="0072615D" w:rsidRDefault="0072615D">
            <w:pPr>
              <w:pStyle w:val="Other0"/>
              <w:spacing w:line="240" w:lineRule="auto"/>
              <w:ind w:firstLine="940"/>
              <w:rPr>
                <w:sz w:val="16"/>
                <w:szCs w:val="16"/>
              </w:rPr>
            </w:pPr>
            <w:r>
              <w:rPr>
                <w:rFonts w:ascii="Times New Roman" w:eastAsia="Times New Roman" w:hAnsi="Times New Roman" w:cs="Times New Roman"/>
                <w:sz w:val="16"/>
                <w:szCs w:val="16"/>
              </w:rPr>
              <w:t>1:100</w:t>
            </w:r>
          </w:p>
        </w:tc>
        <w:tc>
          <w:tcPr>
            <w:tcW w:w="2443" w:type="dxa"/>
            <w:shd w:val="clear" w:color="auto" w:fill="FFFFFF"/>
          </w:tcPr>
          <w:p w14:paraId="263B655D"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0.1</w:t>
            </w:r>
          </w:p>
        </w:tc>
      </w:tr>
      <w:tr w:rsidR="0072615D" w14:paraId="70B1923D" w14:textId="77777777">
        <w:tblPrEx>
          <w:tblCellMar>
            <w:top w:w="0" w:type="dxa"/>
            <w:bottom w:w="0" w:type="dxa"/>
          </w:tblCellMar>
        </w:tblPrEx>
        <w:trPr>
          <w:trHeight w:hRule="exact" w:val="216"/>
          <w:jc w:val="center"/>
        </w:trPr>
        <w:tc>
          <w:tcPr>
            <w:tcW w:w="1502" w:type="dxa"/>
            <w:shd w:val="clear" w:color="auto" w:fill="FFFFFF"/>
            <w:vAlign w:val="bottom"/>
          </w:tcPr>
          <w:p w14:paraId="265C4423"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5</w:t>
            </w:r>
          </w:p>
        </w:tc>
        <w:tc>
          <w:tcPr>
            <w:tcW w:w="2650" w:type="dxa"/>
            <w:shd w:val="clear" w:color="auto" w:fill="FFFFFF"/>
            <w:vAlign w:val="bottom"/>
          </w:tcPr>
          <w:p w14:paraId="3CAEAFDB" w14:textId="77777777" w:rsidR="0072615D" w:rsidRDefault="0072615D">
            <w:pPr>
              <w:pStyle w:val="Other0"/>
              <w:spacing w:line="240" w:lineRule="auto"/>
              <w:ind w:firstLine="940"/>
              <w:rPr>
                <w:sz w:val="16"/>
                <w:szCs w:val="16"/>
              </w:rPr>
            </w:pPr>
            <w:r>
              <w:rPr>
                <w:rFonts w:ascii="Times New Roman" w:eastAsia="Times New Roman" w:hAnsi="Times New Roman" w:cs="Times New Roman"/>
                <w:sz w:val="16"/>
                <w:szCs w:val="16"/>
              </w:rPr>
              <w:t>1:100</w:t>
            </w:r>
          </w:p>
        </w:tc>
        <w:tc>
          <w:tcPr>
            <w:tcW w:w="2443" w:type="dxa"/>
            <w:shd w:val="clear" w:color="auto" w:fill="FFFFFF"/>
            <w:vAlign w:val="bottom"/>
          </w:tcPr>
          <w:p w14:paraId="149D46CB"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0.3</w:t>
            </w:r>
          </w:p>
        </w:tc>
      </w:tr>
      <w:tr w:rsidR="0072615D" w14:paraId="571950D8" w14:textId="77777777">
        <w:tblPrEx>
          <w:tblCellMar>
            <w:top w:w="0" w:type="dxa"/>
            <w:bottom w:w="0" w:type="dxa"/>
          </w:tblCellMar>
        </w:tblPrEx>
        <w:trPr>
          <w:trHeight w:hRule="exact" w:val="216"/>
          <w:jc w:val="center"/>
        </w:trPr>
        <w:tc>
          <w:tcPr>
            <w:tcW w:w="1502" w:type="dxa"/>
            <w:shd w:val="clear" w:color="auto" w:fill="FFFFFF"/>
          </w:tcPr>
          <w:p w14:paraId="67442CB6"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6</w:t>
            </w:r>
          </w:p>
        </w:tc>
        <w:tc>
          <w:tcPr>
            <w:tcW w:w="2650" w:type="dxa"/>
            <w:shd w:val="clear" w:color="auto" w:fill="FFFFFF"/>
          </w:tcPr>
          <w:p w14:paraId="3D743A61" w14:textId="77777777" w:rsidR="0072615D" w:rsidRDefault="0072615D">
            <w:pPr>
              <w:pStyle w:val="Other0"/>
              <w:spacing w:line="240" w:lineRule="auto"/>
              <w:ind w:firstLine="940"/>
              <w:rPr>
                <w:sz w:val="16"/>
                <w:szCs w:val="16"/>
              </w:rPr>
            </w:pPr>
            <w:r>
              <w:rPr>
                <w:rFonts w:ascii="Times New Roman" w:eastAsia="Times New Roman" w:hAnsi="Times New Roman" w:cs="Times New Roman"/>
                <w:sz w:val="16"/>
                <w:szCs w:val="16"/>
              </w:rPr>
              <w:t>1:100</w:t>
            </w:r>
          </w:p>
        </w:tc>
        <w:tc>
          <w:tcPr>
            <w:tcW w:w="2443" w:type="dxa"/>
            <w:shd w:val="clear" w:color="auto" w:fill="FFFFFF"/>
          </w:tcPr>
          <w:p w14:paraId="2EF0632C"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0.6</w:t>
            </w:r>
          </w:p>
        </w:tc>
      </w:tr>
      <w:tr w:rsidR="0072615D" w14:paraId="78129D6B" w14:textId="77777777">
        <w:tblPrEx>
          <w:tblCellMar>
            <w:top w:w="0" w:type="dxa"/>
            <w:bottom w:w="0" w:type="dxa"/>
          </w:tblCellMar>
        </w:tblPrEx>
        <w:trPr>
          <w:trHeight w:hRule="exact" w:val="216"/>
          <w:jc w:val="center"/>
        </w:trPr>
        <w:tc>
          <w:tcPr>
            <w:tcW w:w="1502" w:type="dxa"/>
            <w:shd w:val="clear" w:color="auto" w:fill="FFFFFF"/>
            <w:vAlign w:val="bottom"/>
          </w:tcPr>
          <w:p w14:paraId="013F61B6"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7</w:t>
            </w:r>
          </w:p>
        </w:tc>
        <w:tc>
          <w:tcPr>
            <w:tcW w:w="2650" w:type="dxa"/>
            <w:shd w:val="clear" w:color="auto" w:fill="FFFFFF"/>
            <w:vAlign w:val="bottom"/>
          </w:tcPr>
          <w:p w14:paraId="77944487" w14:textId="77777777" w:rsidR="0072615D" w:rsidRDefault="0072615D">
            <w:pPr>
              <w:pStyle w:val="Other0"/>
              <w:spacing w:line="240" w:lineRule="auto"/>
              <w:ind w:firstLine="940"/>
              <w:rPr>
                <w:sz w:val="16"/>
                <w:szCs w:val="16"/>
              </w:rPr>
            </w:pPr>
            <w:r>
              <w:rPr>
                <w:rFonts w:ascii="Times New Roman" w:eastAsia="Times New Roman" w:hAnsi="Times New Roman" w:cs="Times New Roman"/>
                <w:sz w:val="16"/>
                <w:szCs w:val="16"/>
              </w:rPr>
              <w:t>1:10</w:t>
            </w:r>
          </w:p>
        </w:tc>
        <w:tc>
          <w:tcPr>
            <w:tcW w:w="2443" w:type="dxa"/>
            <w:shd w:val="clear" w:color="auto" w:fill="FFFFFF"/>
            <w:vAlign w:val="bottom"/>
          </w:tcPr>
          <w:p w14:paraId="0E15DED7"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0.1</w:t>
            </w:r>
          </w:p>
        </w:tc>
      </w:tr>
      <w:tr w:rsidR="0072615D" w14:paraId="2C77E884" w14:textId="77777777">
        <w:tblPrEx>
          <w:tblCellMar>
            <w:top w:w="0" w:type="dxa"/>
            <w:bottom w:w="0" w:type="dxa"/>
          </w:tblCellMar>
        </w:tblPrEx>
        <w:trPr>
          <w:trHeight w:hRule="exact" w:val="216"/>
          <w:jc w:val="center"/>
        </w:trPr>
        <w:tc>
          <w:tcPr>
            <w:tcW w:w="1502" w:type="dxa"/>
            <w:shd w:val="clear" w:color="auto" w:fill="FFFFFF"/>
            <w:vAlign w:val="bottom"/>
          </w:tcPr>
          <w:p w14:paraId="7D2DFE5D"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8</w:t>
            </w:r>
          </w:p>
        </w:tc>
        <w:tc>
          <w:tcPr>
            <w:tcW w:w="2650" w:type="dxa"/>
            <w:shd w:val="clear" w:color="auto" w:fill="FFFFFF"/>
            <w:vAlign w:val="bottom"/>
          </w:tcPr>
          <w:p w14:paraId="68843696" w14:textId="77777777" w:rsidR="0072615D" w:rsidRDefault="0072615D">
            <w:pPr>
              <w:pStyle w:val="Other0"/>
              <w:spacing w:line="240" w:lineRule="auto"/>
              <w:ind w:firstLine="940"/>
              <w:rPr>
                <w:sz w:val="16"/>
                <w:szCs w:val="16"/>
              </w:rPr>
            </w:pPr>
            <w:r>
              <w:rPr>
                <w:rFonts w:ascii="Times New Roman" w:eastAsia="Times New Roman" w:hAnsi="Times New Roman" w:cs="Times New Roman"/>
                <w:sz w:val="16"/>
                <w:szCs w:val="16"/>
              </w:rPr>
              <w:t>1:10</w:t>
            </w:r>
          </w:p>
        </w:tc>
        <w:tc>
          <w:tcPr>
            <w:tcW w:w="2443" w:type="dxa"/>
            <w:shd w:val="clear" w:color="auto" w:fill="FFFFFF"/>
            <w:vAlign w:val="bottom"/>
          </w:tcPr>
          <w:p w14:paraId="332EFBA0"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0.3</w:t>
            </w:r>
          </w:p>
        </w:tc>
      </w:tr>
      <w:tr w:rsidR="0072615D" w14:paraId="16172219" w14:textId="77777777">
        <w:tblPrEx>
          <w:tblCellMar>
            <w:top w:w="0" w:type="dxa"/>
            <w:bottom w:w="0" w:type="dxa"/>
          </w:tblCellMar>
        </w:tblPrEx>
        <w:trPr>
          <w:trHeight w:hRule="exact" w:val="216"/>
          <w:jc w:val="center"/>
        </w:trPr>
        <w:tc>
          <w:tcPr>
            <w:tcW w:w="1502" w:type="dxa"/>
            <w:shd w:val="clear" w:color="auto" w:fill="FFFFFF"/>
            <w:vAlign w:val="bottom"/>
          </w:tcPr>
          <w:p w14:paraId="0F1FDD0F"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9</w:t>
            </w:r>
          </w:p>
        </w:tc>
        <w:tc>
          <w:tcPr>
            <w:tcW w:w="2650" w:type="dxa"/>
            <w:shd w:val="clear" w:color="auto" w:fill="FFFFFF"/>
            <w:vAlign w:val="bottom"/>
          </w:tcPr>
          <w:p w14:paraId="54703867" w14:textId="77777777" w:rsidR="0072615D" w:rsidRDefault="0072615D">
            <w:pPr>
              <w:pStyle w:val="Other0"/>
              <w:spacing w:line="240" w:lineRule="auto"/>
              <w:ind w:firstLine="940"/>
              <w:rPr>
                <w:sz w:val="16"/>
                <w:szCs w:val="16"/>
              </w:rPr>
            </w:pPr>
            <w:r>
              <w:rPr>
                <w:rFonts w:ascii="Times New Roman" w:eastAsia="Times New Roman" w:hAnsi="Times New Roman" w:cs="Times New Roman"/>
                <w:sz w:val="16"/>
                <w:szCs w:val="16"/>
              </w:rPr>
              <w:t>1:10</w:t>
            </w:r>
          </w:p>
        </w:tc>
        <w:tc>
          <w:tcPr>
            <w:tcW w:w="2443" w:type="dxa"/>
            <w:shd w:val="clear" w:color="auto" w:fill="FFFFFF"/>
            <w:vAlign w:val="bottom"/>
          </w:tcPr>
          <w:p w14:paraId="7030AAD8"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0.6</w:t>
            </w:r>
          </w:p>
        </w:tc>
      </w:tr>
      <w:tr w:rsidR="0072615D" w14:paraId="0763CB8A" w14:textId="77777777">
        <w:tblPrEx>
          <w:tblCellMar>
            <w:top w:w="0" w:type="dxa"/>
            <w:bottom w:w="0" w:type="dxa"/>
          </w:tblCellMar>
        </w:tblPrEx>
        <w:trPr>
          <w:trHeight w:hRule="exact" w:val="216"/>
          <w:jc w:val="center"/>
        </w:trPr>
        <w:tc>
          <w:tcPr>
            <w:tcW w:w="1502" w:type="dxa"/>
            <w:shd w:val="clear" w:color="auto" w:fill="FFFFFF"/>
          </w:tcPr>
          <w:p w14:paraId="1083D5DA"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10</w:t>
            </w:r>
          </w:p>
        </w:tc>
        <w:tc>
          <w:tcPr>
            <w:tcW w:w="2650" w:type="dxa"/>
            <w:shd w:val="clear" w:color="auto" w:fill="FFFFFF"/>
          </w:tcPr>
          <w:p w14:paraId="2CAFCB96" w14:textId="77777777" w:rsidR="0072615D" w:rsidRDefault="0072615D">
            <w:pPr>
              <w:pStyle w:val="Other0"/>
              <w:spacing w:line="240" w:lineRule="auto"/>
              <w:ind w:firstLine="740"/>
              <w:rPr>
                <w:sz w:val="16"/>
                <w:szCs w:val="16"/>
              </w:rPr>
            </w:pPr>
            <w:r>
              <w:rPr>
                <w:rFonts w:ascii="Times New Roman" w:eastAsia="Times New Roman" w:hAnsi="Times New Roman" w:cs="Times New Roman"/>
                <w:sz w:val="16"/>
                <w:szCs w:val="16"/>
              </w:rPr>
              <w:t>Suero sin diluir</w:t>
            </w:r>
          </w:p>
        </w:tc>
        <w:tc>
          <w:tcPr>
            <w:tcW w:w="2443" w:type="dxa"/>
            <w:shd w:val="clear" w:color="auto" w:fill="FFFFFF"/>
          </w:tcPr>
          <w:p w14:paraId="6F220697"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0.1</w:t>
            </w:r>
          </w:p>
        </w:tc>
      </w:tr>
      <w:tr w:rsidR="0072615D" w14:paraId="6AF7D899" w14:textId="77777777">
        <w:tblPrEx>
          <w:tblCellMar>
            <w:top w:w="0" w:type="dxa"/>
            <w:bottom w:w="0" w:type="dxa"/>
          </w:tblCellMar>
        </w:tblPrEx>
        <w:trPr>
          <w:trHeight w:hRule="exact" w:val="216"/>
          <w:jc w:val="center"/>
        </w:trPr>
        <w:tc>
          <w:tcPr>
            <w:tcW w:w="1502" w:type="dxa"/>
            <w:shd w:val="clear" w:color="auto" w:fill="FFFFFF"/>
            <w:vAlign w:val="bottom"/>
          </w:tcPr>
          <w:p w14:paraId="1A842A34"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11</w:t>
            </w:r>
          </w:p>
        </w:tc>
        <w:tc>
          <w:tcPr>
            <w:tcW w:w="2650" w:type="dxa"/>
            <w:shd w:val="clear" w:color="auto" w:fill="FFFFFF"/>
            <w:vAlign w:val="bottom"/>
          </w:tcPr>
          <w:p w14:paraId="5B53C1CA" w14:textId="77777777" w:rsidR="0072615D" w:rsidRDefault="0072615D">
            <w:pPr>
              <w:pStyle w:val="Other0"/>
              <w:spacing w:line="240" w:lineRule="auto"/>
              <w:ind w:firstLine="740"/>
              <w:rPr>
                <w:sz w:val="16"/>
                <w:szCs w:val="16"/>
              </w:rPr>
            </w:pPr>
            <w:r>
              <w:rPr>
                <w:rFonts w:ascii="Times New Roman" w:eastAsia="Times New Roman" w:hAnsi="Times New Roman" w:cs="Times New Roman"/>
                <w:sz w:val="16"/>
                <w:szCs w:val="16"/>
              </w:rPr>
              <w:t>Suero sin diluir</w:t>
            </w:r>
          </w:p>
        </w:tc>
        <w:tc>
          <w:tcPr>
            <w:tcW w:w="2443" w:type="dxa"/>
            <w:shd w:val="clear" w:color="auto" w:fill="FFFFFF"/>
            <w:vAlign w:val="bottom"/>
          </w:tcPr>
          <w:p w14:paraId="373E455D"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0.3</w:t>
            </w:r>
          </w:p>
        </w:tc>
      </w:tr>
      <w:tr w:rsidR="0072615D" w14:paraId="0CF3DE67" w14:textId="77777777">
        <w:tblPrEx>
          <w:tblCellMar>
            <w:top w:w="0" w:type="dxa"/>
            <w:bottom w:w="0" w:type="dxa"/>
          </w:tblCellMar>
        </w:tblPrEx>
        <w:trPr>
          <w:trHeight w:hRule="exact" w:val="216"/>
          <w:jc w:val="center"/>
        </w:trPr>
        <w:tc>
          <w:tcPr>
            <w:tcW w:w="1502" w:type="dxa"/>
            <w:shd w:val="clear" w:color="auto" w:fill="FFFFFF"/>
          </w:tcPr>
          <w:p w14:paraId="413D614A"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12</w:t>
            </w:r>
          </w:p>
        </w:tc>
        <w:tc>
          <w:tcPr>
            <w:tcW w:w="2650" w:type="dxa"/>
            <w:shd w:val="clear" w:color="auto" w:fill="FFFFFF"/>
          </w:tcPr>
          <w:p w14:paraId="6ACA2986" w14:textId="77777777" w:rsidR="0072615D" w:rsidRDefault="0072615D">
            <w:pPr>
              <w:pStyle w:val="Other0"/>
              <w:spacing w:line="240" w:lineRule="auto"/>
              <w:ind w:firstLine="740"/>
              <w:rPr>
                <w:sz w:val="16"/>
                <w:szCs w:val="16"/>
              </w:rPr>
            </w:pPr>
            <w:r>
              <w:rPr>
                <w:rFonts w:ascii="Times New Roman" w:eastAsia="Times New Roman" w:hAnsi="Times New Roman" w:cs="Times New Roman"/>
                <w:sz w:val="16"/>
                <w:szCs w:val="16"/>
              </w:rPr>
              <w:t>Suero sin diluir</w:t>
            </w:r>
          </w:p>
        </w:tc>
        <w:tc>
          <w:tcPr>
            <w:tcW w:w="2443" w:type="dxa"/>
            <w:shd w:val="clear" w:color="auto" w:fill="FFFFFF"/>
          </w:tcPr>
          <w:p w14:paraId="68A7EB1E"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0.6</w:t>
            </w:r>
          </w:p>
        </w:tc>
      </w:tr>
      <w:tr w:rsidR="0072615D" w14:paraId="2C8C8C7B" w14:textId="77777777">
        <w:tblPrEx>
          <w:tblCellMar>
            <w:top w:w="0" w:type="dxa"/>
            <w:bottom w:w="0" w:type="dxa"/>
          </w:tblCellMar>
        </w:tblPrEx>
        <w:trPr>
          <w:trHeight w:hRule="exact" w:val="206"/>
          <w:jc w:val="center"/>
        </w:trPr>
        <w:tc>
          <w:tcPr>
            <w:tcW w:w="1502" w:type="dxa"/>
            <w:tcBorders>
              <w:bottom w:val="single" w:sz="4" w:space="0" w:color="auto"/>
            </w:tcBorders>
            <w:shd w:val="clear" w:color="auto" w:fill="FFFFFF"/>
            <w:vAlign w:val="bottom"/>
          </w:tcPr>
          <w:p w14:paraId="02A7DC9B"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13</w:t>
            </w:r>
          </w:p>
        </w:tc>
        <w:tc>
          <w:tcPr>
            <w:tcW w:w="2650" w:type="dxa"/>
            <w:tcBorders>
              <w:bottom w:val="single" w:sz="4" w:space="0" w:color="auto"/>
            </w:tcBorders>
            <w:shd w:val="clear" w:color="auto" w:fill="FFFFFF"/>
            <w:vAlign w:val="bottom"/>
          </w:tcPr>
          <w:p w14:paraId="7CC6C8D9" w14:textId="77777777" w:rsidR="0072615D" w:rsidRDefault="0072615D">
            <w:pPr>
              <w:pStyle w:val="Other0"/>
              <w:spacing w:line="240" w:lineRule="auto"/>
              <w:ind w:firstLine="740"/>
              <w:rPr>
                <w:sz w:val="16"/>
                <w:szCs w:val="16"/>
              </w:rPr>
            </w:pPr>
            <w:r>
              <w:rPr>
                <w:rFonts w:ascii="Times New Roman" w:eastAsia="Times New Roman" w:hAnsi="Times New Roman" w:cs="Times New Roman"/>
                <w:sz w:val="16"/>
                <w:szCs w:val="16"/>
              </w:rPr>
              <w:t>Suero sin diluir</w:t>
            </w:r>
          </w:p>
        </w:tc>
        <w:tc>
          <w:tcPr>
            <w:tcW w:w="2443" w:type="dxa"/>
            <w:tcBorders>
              <w:bottom w:val="single" w:sz="4" w:space="0" w:color="auto"/>
            </w:tcBorders>
            <w:shd w:val="clear" w:color="auto" w:fill="FFFFFF"/>
            <w:vAlign w:val="bottom"/>
          </w:tcPr>
          <w:p w14:paraId="711422EB" w14:textId="77777777" w:rsidR="0072615D" w:rsidRDefault="0072615D">
            <w:pPr>
              <w:pStyle w:val="Other0"/>
              <w:spacing w:line="240" w:lineRule="auto"/>
              <w:ind w:left="1200" w:firstLine="0"/>
              <w:rPr>
                <w:sz w:val="16"/>
                <w:szCs w:val="16"/>
              </w:rPr>
            </w:pPr>
            <w:r>
              <w:rPr>
                <w:rFonts w:ascii="Times New Roman" w:eastAsia="Times New Roman" w:hAnsi="Times New Roman" w:cs="Times New Roman"/>
                <w:sz w:val="16"/>
                <w:szCs w:val="16"/>
              </w:rPr>
              <w:t>1.0</w:t>
            </w:r>
          </w:p>
        </w:tc>
      </w:tr>
    </w:tbl>
    <w:p w14:paraId="26F60EF2" w14:textId="77777777" w:rsidR="0072615D" w:rsidRDefault="0072615D">
      <w:pPr>
        <w:pStyle w:val="Tablecaption0"/>
        <w:spacing w:line="240" w:lineRule="auto"/>
        <w:ind w:left="24"/>
      </w:pPr>
      <w:r>
        <w:rPr>
          <w:sz w:val="8"/>
          <w:szCs w:val="8"/>
          <w:vertAlign w:val="superscript"/>
        </w:rPr>
        <w:t>1</w:t>
      </w:r>
      <w:r>
        <w:rPr>
          <w:sz w:val="8"/>
          <w:szCs w:val="8"/>
        </w:rPr>
        <w:t xml:space="preserve"> </w:t>
      </w:r>
      <w:r>
        <w:t>Administrar en forma constante a intervalos de 15 minutos.</w:t>
      </w:r>
    </w:p>
    <w:p w14:paraId="48A81F99" w14:textId="77777777" w:rsidR="0072615D" w:rsidRDefault="0072615D">
      <w:pPr>
        <w:pStyle w:val="Heading31"/>
        <w:keepNext/>
        <w:keepLines/>
        <w:spacing w:after="120" w:line="211" w:lineRule="auto"/>
        <w:jc w:val="center"/>
      </w:pPr>
      <w:bookmarkStart w:id="283" w:name="bookmark283"/>
      <w:bookmarkStart w:id="284" w:name="bookmark284"/>
      <w:bookmarkStart w:id="285" w:name="bookmark285"/>
      <w:r>
        <w:rPr>
          <w:b w:val="0"/>
          <w:bCs w:val="0"/>
        </w:rPr>
        <w:t xml:space="preserve">Cuadro 1 - 10. </w:t>
      </w:r>
      <w:r>
        <w:t>Desensibilización al suero: vías intradèrmica (ID),</w:t>
      </w:r>
      <w:r>
        <w:br/>
        <w:t>subcutánea (SC) e intramuscular (IM)</w:t>
      </w:r>
      <w:bookmarkEnd w:id="283"/>
      <w:bookmarkEnd w:id="284"/>
      <w:bookmarkEnd w:id="285"/>
    </w:p>
    <w:tbl>
      <w:tblPr>
        <w:tblOverlap w:val="never"/>
        <w:tblW w:w="0" w:type="auto"/>
        <w:jc w:val="center"/>
        <w:tblLayout w:type="fixed"/>
        <w:tblCellMar>
          <w:left w:w="10" w:type="dxa"/>
          <w:right w:w="10" w:type="dxa"/>
        </w:tblCellMar>
        <w:tblLook w:val="04A0" w:firstRow="1" w:lastRow="0" w:firstColumn="1" w:lastColumn="0" w:noHBand="0" w:noVBand="1"/>
      </w:tblPr>
      <w:tblGrid>
        <w:gridCol w:w="1114"/>
        <w:gridCol w:w="1637"/>
        <w:gridCol w:w="2155"/>
        <w:gridCol w:w="1584"/>
      </w:tblGrid>
      <w:tr w:rsidR="0072615D" w14:paraId="41CF4CD9" w14:textId="77777777">
        <w:tblPrEx>
          <w:tblCellMar>
            <w:top w:w="0" w:type="dxa"/>
            <w:bottom w:w="0" w:type="dxa"/>
          </w:tblCellMar>
        </w:tblPrEx>
        <w:trPr>
          <w:trHeight w:hRule="exact" w:val="782"/>
          <w:jc w:val="center"/>
        </w:trPr>
        <w:tc>
          <w:tcPr>
            <w:tcW w:w="1114" w:type="dxa"/>
            <w:shd w:val="clear" w:color="auto" w:fill="231F20"/>
          </w:tcPr>
          <w:p w14:paraId="74D10792"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8"/>
                <w:szCs w:val="8"/>
              </w:rPr>
            </w:pPr>
            <w:r>
              <w:rPr>
                <w:rFonts w:ascii="Arial" w:eastAsia="Arial" w:hAnsi="Arial" w:cs="Arial"/>
                <w:b/>
                <w:bCs/>
                <w:color w:val="FFFFFF"/>
                <w:w w:val="70"/>
                <w:sz w:val="24"/>
                <w:szCs w:val="24"/>
              </w:rPr>
              <w:t>Número de la dosis</w:t>
            </w:r>
            <w:r>
              <w:rPr>
                <w:rFonts w:ascii="Times New Roman" w:eastAsia="Times New Roman" w:hAnsi="Times New Roman" w:cs="Times New Roman"/>
                <w:color w:val="FFFFFF"/>
                <w:sz w:val="8"/>
                <w:szCs w:val="8"/>
                <w:vertAlign w:val="superscript"/>
              </w:rPr>
              <w:t>1</w:t>
            </w:r>
          </w:p>
        </w:tc>
        <w:tc>
          <w:tcPr>
            <w:tcW w:w="1637" w:type="dxa"/>
            <w:shd w:val="clear" w:color="auto" w:fill="231F20"/>
          </w:tcPr>
          <w:p w14:paraId="121C67D3"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00" w:firstLine="0"/>
              <w:rPr>
                <w:sz w:val="24"/>
                <w:szCs w:val="24"/>
              </w:rPr>
            </w:pPr>
            <w:r>
              <w:rPr>
                <w:rFonts w:ascii="Arial" w:eastAsia="Arial" w:hAnsi="Arial" w:cs="Arial"/>
                <w:b/>
                <w:bCs/>
                <w:color w:val="FFFFFF"/>
                <w:w w:val="70"/>
                <w:sz w:val="24"/>
                <w:szCs w:val="24"/>
              </w:rPr>
              <w:t>Vía de administración</w:t>
            </w:r>
          </w:p>
        </w:tc>
        <w:tc>
          <w:tcPr>
            <w:tcW w:w="2155" w:type="dxa"/>
            <w:shd w:val="clear" w:color="auto" w:fill="231F20"/>
          </w:tcPr>
          <w:p w14:paraId="66C7BFD3"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1" w:lineRule="auto"/>
              <w:ind w:left="200" w:firstLine="0"/>
              <w:rPr>
                <w:sz w:val="24"/>
                <w:szCs w:val="24"/>
              </w:rPr>
            </w:pPr>
            <w:r>
              <w:rPr>
                <w:rFonts w:ascii="Arial" w:eastAsia="Arial" w:hAnsi="Arial" w:cs="Arial"/>
                <w:b/>
                <w:bCs/>
                <w:color w:val="FFFFFF"/>
                <w:w w:val="70"/>
                <w:sz w:val="24"/>
                <w:szCs w:val="24"/>
              </w:rPr>
              <w:t>Dilución del suero en solución isotónica de cloruro de sodio</w:t>
            </w:r>
          </w:p>
        </w:tc>
        <w:tc>
          <w:tcPr>
            <w:tcW w:w="1584" w:type="dxa"/>
            <w:shd w:val="clear" w:color="auto" w:fill="231F20"/>
          </w:tcPr>
          <w:p w14:paraId="1816E802"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1" w:lineRule="auto"/>
              <w:ind w:left="200" w:firstLine="0"/>
              <w:rPr>
                <w:sz w:val="24"/>
                <w:szCs w:val="24"/>
              </w:rPr>
            </w:pPr>
            <w:r>
              <w:rPr>
                <w:rFonts w:ascii="Arial" w:eastAsia="Arial" w:hAnsi="Arial" w:cs="Arial"/>
                <w:b/>
                <w:bCs/>
                <w:color w:val="FFFFFF"/>
                <w:w w:val="70"/>
                <w:sz w:val="24"/>
                <w:szCs w:val="24"/>
              </w:rPr>
              <w:t>Volumen de la inyección ID, SC o IM en ml</w:t>
            </w:r>
          </w:p>
        </w:tc>
      </w:tr>
      <w:tr w:rsidR="0072615D" w14:paraId="53643158" w14:textId="77777777">
        <w:tblPrEx>
          <w:tblCellMar>
            <w:top w:w="0" w:type="dxa"/>
            <w:bottom w:w="0" w:type="dxa"/>
          </w:tblCellMar>
        </w:tblPrEx>
        <w:trPr>
          <w:trHeight w:hRule="exact" w:val="274"/>
          <w:jc w:val="center"/>
        </w:trPr>
        <w:tc>
          <w:tcPr>
            <w:tcW w:w="1114" w:type="dxa"/>
            <w:shd w:val="clear" w:color="auto" w:fill="FFFFFF"/>
            <w:vAlign w:val="bottom"/>
          </w:tcPr>
          <w:p w14:paraId="48C3FC8B"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1</w:t>
            </w:r>
          </w:p>
        </w:tc>
        <w:tc>
          <w:tcPr>
            <w:tcW w:w="1637" w:type="dxa"/>
            <w:shd w:val="clear" w:color="auto" w:fill="FFFFFF"/>
            <w:vAlign w:val="bottom"/>
          </w:tcPr>
          <w:p w14:paraId="21BC46ED"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ID</w:t>
            </w:r>
          </w:p>
        </w:tc>
        <w:tc>
          <w:tcPr>
            <w:tcW w:w="2155" w:type="dxa"/>
            <w:shd w:val="clear" w:color="auto" w:fill="FFFFFF"/>
            <w:vAlign w:val="bottom"/>
          </w:tcPr>
          <w:p w14:paraId="4EF9B130" w14:textId="77777777" w:rsidR="0072615D" w:rsidRDefault="0072615D">
            <w:pPr>
              <w:pStyle w:val="Other0"/>
              <w:spacing w:line="240" w:lineRule="auto"/>
              <w:ind w:firstLine="0"/>
              <w:jc w:val="center"/>
              <w:rPr>
                <w:sz w:val="16"/>
                <w:szCs w:val="16"/>
              </w:rPr>
            </w:pPr>
            <w:r>
              <w:rPr>
                <w:rFonts w:ascii="Times New Roman" w:eastAsia="Times New Roman" w:hAnsi="Times New Roman" w:cs="Times New Roman"/>
                <w:sz w:val="16"/>
                <w:szCs w:val="16"/>
              </w:rPr>
              <w:t>1:1 000</w:t>
            </w:r>
          </w:p>
        </w:tc>
        <w:tc>
          <w:tcPr>
            <w:tcW w:w="1584" w:type="dxa"/>
            <w:shd w:val="clear" w:color="auto" w:fill="FFFFFF"/>
            <w:vAlign w:val="bottom"/>
          </w:tcPr>
          <w:p w14:paraId="5C0F5607"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0.1</w:t>
            </w:r>
          </w:p>
        </w:tc>
      </w:tr>
      <w:tr w:rsidR="0072615D" w14:paraId="2580D28D" w14:textId="77777777">
        <w:tblPrEx>
          <w:tblCellMar>
            <w:top w:w="0" w:type="dxa"/>
            <w:bottom w:w="0" w:type="dxa"/>
          </w:tblCellMar>
        </w:tblPrEx>
        <w:trPr>
          <w:trHeight w:hRule="exact" w:val="216"/>
          <w:jc w:val="center"/>
        </w:trPr>
        <w:tc>
          <w:tcPr>
            <w:tcW w:w="1114" w:type="dxa"/>
            <w:shd w:val="clear" w:color="auto" w:fill="FFFFFF"/>
            <w:vAlign w:val="bottom"/>
          </w:tcPr>
          <w:p w14:paraId="45C5DEE6"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2</w:t>
            </w:r>
          </w:p>
        </w:tc>
        <w:tc>
          <w:tcPr>
            <w:tcW w:w="1637" w:type="dxa"/>
            <w:shd w:val="clear" w:color="auto" w:fill="FFFFFF"/>
            <w:vAlign w:val="bottom"/>
          </w:tcPr>
          <w:p w14:paraId="530506E7"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ID</w:t>
            </w:r>
          </w:p>
        </w:tc>
        <w:tc>
          <w:tcPr>
            <w:tcW w:w="2155" w:type="dxa"/>
            <w:shd w:val="clear" w:color="auto" w:fill="FFFFFF"/>
            <w:vAlign w:val="bottom"/>
          </w:tcPr>
          <w:p w14:paraId="02E6B499" w14:textId="77777777" w:rsidR="0072615D" w:rsidRDefault="0072615D">
            <w:pPr>
              <w:pStyle w:val="Other0"/>
              <w:spacing w:line="240" w:lineRule="auto"/>
              <w:ind w:firstLine="0"/>
              <w:jc w:val="center"/>
              <w:rPr>
                <w:sz w:val="16"/>
                <w:szCs w:val="16"/>
              </w:rPr>
            </w:pPr>
            <w:r>
              <w:rPr>
                <w:rFonts w:ascii="Times New Roman" w:eastAsia="Times New Roman" w:hAnsi="Times New Roman" w:cs="Times New Roman"/>
                <w:sz w:val="16"/>
                <w:szCs w:val="16"/>
              </w:rPr>
              <w:t>1:1 000</w:t>
            </w:r>
          </w:p>
        </w:tc>
        <w:tc>
          <w:tcPr>
            <w:tcW w:w="1584" w:type="dxa"/>
            <w:shd w:val="clear" w:color="auto" w:fill="FFFFFF"/>
            <w:vAlign w:val="bottom"/>
          </w:tcPr>
          <w:p w14:paraId="67AAFB8A"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0.3</w:t>
            </w:r>
          </w:p>
        </w:tc>
      </w:tr>
      <w:tr w:rsidR="0072615D" w14:paraId="3804A960" w14:textId="77777777">
        <w:tblPrEx>
          <w:tblCellMar>
            <w:top w:w="0" w:type="dxa"/>
            <w:bottom w:w="0" w:type="dxa"/>
          </w:tblCellMar>
        </w:tblPrEx>
        <w:trPr>
          <w:trHeight w:hRule="exact" w:val="216"/>
          <w:jc w:val="center"/>
        </w:trPr>
        <w:tc>
          <w:tcPr>
            <w:tcW w:w="1114" w:type="dxa"/>
            <w:shd w:val="clear" w:color="auto" w:fill="FFFFFF"/>
            <w:vAlign w:val="bottom"/>
          </w:tcPr>
          <w:p w14:paraId="5A1A278A"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3</w:t>
            </w:r>
          </w:p>
        </w:tc>
        <w:tc>
          <w:tcPr>
            <w:tcW w:w="1637" w:type="dxa"/>
            <w:shd w:val="clear" w:color="auto" w:fill="FFFFFF"/>
            <w:vAlign w:val="bottom"/>
          </w:tcPr>
          <w:p w14:paraId="386BBB71"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SC</w:t>
            </w:r>
          </w:p>
        </w:tc>
        <w:tc>
          <w:tcPr>
            <w:tcW w:w="2155" w:type="dxa"/>
            <w:shd w:val="clear" w:color="auto" w:fill="FFFFFF"/>
            <w:vAlign w:val="bottom"/>
          </w:tcPr>
          <w:p w14:paraId="18029D85" w14:textId="77777777" w:rsidR="0072615D" w:rsidRDefault="0072615D">
            <w:pPr>
              <w:pStyle w:val="Other0"/>
              <w:spacing w:line="240" w:lineRule="auto"/>
              <w:ind w:firstLine="0"/>
              <w:jc w:val="center"/>
              <w:rPr>
                <w:sz w:val="16"/>
                <w:szCs w:val="16"/>
              </w:rPr>
            </w:pPr>
            <w:r>
              <w:rPr>
                <w:rFonts w:ascii="Times New Roman" w:eastAsia="Times New Roman" w:hAnsi="Times New Roman" w:cs="Times New Roman"/>
                <w:sz w:val="16"/>
                <w:szCs w:val="16"/>
              </w:rPr>
              <w:t>1:1 000</w:t>
            </w:r>
          </w:p>
        </w:tc>
        <w:tc>
          <w:tcPr>
            <w:tcW w:w="1584" w:type="dxa"/>
            <w:shd w:val="clear" w:color="auto" w:fill="FFFFFF"/>
            <w:vAlign w:val="bottom"/>
          </w:tcPr>
          <w:p w14:paraId="3761A506"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0.6</w:t>
            </w:r>
          </w:p>
        </w:tc>
      </w:tr>
      <w:tr w:rsidR="0072615D" w14:paraId="695ADA40" w14:textId="77777777">
        <w:tblPrEx>
          <w:tblCellMar>
            <w:top w:w="0" w:type="dxa"/>
            <w:bottom w:w="0" w:type="dxa"/>
          </w:tblCellMar>
        </w:tblPrEx>
        <w:trPr>
          <w:trHeight w:hRule="exact" w:val="216"/>
          <w:jc w:val="center"/>
        </w:trPr>
        <w:tc>
          <w:tcPr>
            <w:tcW w:w="1114" w:type="dxa"/>
            <w:shd w:val="clear" w:color="auto" w:fill="FFFFFF"/>
          </w:tcPr>
          <w:p w14:paraId="25E2ABAE"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4</w:t>
            </w:r>
          </w:p>
        </w:tc>
        <w:tc>
          <w:tcPr>
            <w:tcW w:w="1637" w:type="dxa"/>
            <w:shd w:val="clear" w:color="auto" w:fill="FFFFFF"/>
          </w:tcPr>
          <w:p w14:paraId="03E109F5"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SC</w:t>
            </w:r>
          </w:p>
        </w:tc>
        <w:tc>
          <w:tcPr>
            <w:tcW w:w="2155" w:type="dxa"/>
            <w:shd w:val="clear" w:color="auto" w:fill="FFFFFF"/>
          </w:tcPr>
          <w:p w14:paraId="6B47A403" w14:textId="77777777" w:rsidR="0072615D" w:rsidRDefault="0072615D">
            <w:pPr>
              <w:pStyle w:val="Other0"/>
              <w:spacing w:line="240" w:lineRule="auto"/>
              <w:ind w:firstLine="820"/>
              <w:rPr>
                <w:sz w:val="16"/>
                <w:szCs w:val="16"/>
              </w:rPr>
            </w:pPr>
            <w:r>
              <w:rPr>
                <w:rFonts w:ascii="Times New Roman" w:eastAsia="Times New Roman" w:hAnsi="Times New Roman" w:cs="Times New Roman"/>
                <w:sz w:val="16"/>
                <w:szCs w:val="16"/>
              </w:rPr>
              <w:t>1:100</w:t>
            </w:r>
          </w:p>
        </w:tc>
        <w:tc>
          <w:tcPr>
            <w:tcW w:w="1584" w:type="dxa"/>
            <w:shd w:val="clear" w:color="auto" w:fill="FFFFFF"/>
          </w:tcPr>
          <w:p w14:paraId="366C0725"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0.1</w:t>
            </w:r>
          </w:p>
        </w:tc>
      </w:tr>
      <w:tr w:rsidR="0072615D" w14:paraId="2280712B" w14:textId="77777777">
        <w:tblPrEx>
          <w:tblCellMar>
            <w:top w:w="0" w:type="dxa"/>
            <w:bottom w:w="0" w:type="dxa"/>
          </w:tblCellMar>
        </w:tblPrEx>
        <w:trPr>
          <w:trHeight w:hRule="exact" w:val="216"/>
          <w:jc w:val="center"/>
        </w:trPr>
        <w:tc>
          <w:tcPr>
            <w:tcW w:w="1114" w:type="dxa"/>
            <w:shd w:val="clear" w:color="auto" w:fill="FFFFFF"/>
            <w:vAlign w:val="bottom"/>
          </w:tcPr>
          <w:p w14:paraId="5D73B1D9"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5</w:t>
            </w:r>
          </w:p>
        </w:tc>
        <w:tc>
          <w:tcPr>
            <w:tcW w:w="1637" w:type="dxa"/>
            <w:shd w:val="clear" w:color="auto" w:fill="FFFFFF"/>
            <w:vAlign w:val="bottom"/>
          </w:tcPr>
          <w:p w14:paraId="3A7AC18D"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SC</w:t>
            </w:r>
          </w:p>
        </w:tc>
        <w:tc>
          <w:tcPr>
            <w:tcW w:w="2155" w:type="dxa"/>
            <w:shd w:val="clear" w:color="auto" w:fill="FFFFFF"/>
            <w:vAlign w:val="bottom"/>
          </w:tcPr>
          <w:p w14:paraId="12601165" w14:textId="77777777" w:rsidR="0072615D" w:rsidRDefault="0072615D">
            <w:pPr>
              <w:pStyle w:val="Other0"/>
              <w:spacing w:line="240" w:lineRule="auto"/>
              <w:ind w:firstLine="820"/>
              <w:rPr>
                <w:sz w:val="16"/>
                <w:szCs w:val="16"/>
              </w:rPr>
            </w:pPr>
            <w:r>
              <w:rPr>
                <w:rFonts w:ascii="Times New Roman" w:eastAsia="Times New Roman" w:hAnsi="Times New Roman" w:cs="Times New Roman"/>
                <w:sz w:val="16"/>
                <w:szCs w:val="16"/>
              </w:rPr>
              <w:t>1:100</w:t>
            </w:r>
          </w:p>
        </w:tc>
        <w:tc>
          <w:tcPr>
            <w:tcW w:w="1584" w:type="dxa"/>
            <w:shd w:val="clear" w:color="auto" w:fill="FFFFFF"/>
            <w:vAlign w:val="bottom"/>
          </w:tcPr>
          <w:p w14:paraId="0A881AFF"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0.3</w:t>
            </w:r>
          </w:p>
        </w:tc>
      </w:tr>
      <w:tr w:rsidR="0072615D" w14:paraId="02CBF891" w14:textId="77777777">
        <w:tblPrEx>
          <w:tblCellMar>
            <w:top w:w="0" w:type="dxa"/>
            <w:bottom w:w="0" w:type="dxa"/>
          </w:tblCellMar>
        </w:tblPrEx>
        <w:trPr>
          <w:trHeight w:hRule="exact" w:val="216"/>
          <w:jc w:val="center"/>
        </w:trPr>
        <w:tc>
          <w:tcPr>
            <w:tcW w:w="1114" w:type="dxa"/>
            <w:shd w:val="clear" w:color="auto" w:fill="FFFFFF"/>
          </w:tcPr>
          <w:p w14:paraId="348251DE"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6</w:t>
            </w:r>
          </w:p>
        </w:tc>
        <w:tc>
          <w:tcPr>
            <w:tcW w:w="1637" w:type="dxa"/>
            <w:shd w:val="clear" w:color="auto" w:fill="FFFFFF"/>
          </w:tcPr>
          <w:p w14:paraId="068B83EC"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SC</w:t>
            </w:r>
          </w:p>
        </w:tc>
        <w:tc>
          <w:tcPr>
            <w:tcW w:w="2155" w:type="dxa"/>
            <w:shd w:val="clear" w:color="auto" w:fill="FFFFFF"/>
          </w:tcPr>
          <w:p w14:paraId="3150B925" w14:textId="77777777" w:rsidR="0072615D" w:rsidRDefault="0072615D">
            <w:pPr>
              <w:pStyle w:val="Other0"/>
              <w:spacing w:line="240" w:lineRule="auto"/>
              <w:ind w:firstLine="820"/>
              <w:rPr>
                <w:sz w:val="16"/>
                <w:szCs w:val="16"/>
              </w:rPr>
            </w:pPr>
            <w:r>
              <w:rPr>
                <w:rFonts w:ascii="Times New Roman" w:eastAsia="Times New Roman" w:hAnsi="Times New Roman" w:cs="Times New Roman"/>
                <w:sz w:val="16"/>
                <w:szCs w:val="16"/>
              </w:rPr>
              <w:t>1:100</w:t>
            </w:r>
          </w:p>
        </w:tc>
        <w:tc>
          <w:tcPr>
            <w:tcW w:w="1584" w:type="dxa"/>
            <w:shd w:val="clear" w:color="auto" w:fill="FFFFFF"/>
          </w:tcPr>
          <w:p w14:paraId="00DB9411"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0.6</w:t>
            </w:r>
          </w:p>
        </w:tc>
      </w:tr>
      <w:tr w:rsidR="0072615D" w14:paraId="01419C19" w14:textId="77777777">
        <w:tblPrEx>
          <w:tblCellMar>
            <w:top w:w="0" w:type="dxa"/>
            <w:bottom w:w="0" w:type="dxa"/>
          </w:tblCellMar>
        </w:tblPrEx>
        <w:trPr>
          <w:trHeight w:hRule="exact" w:val="216"/>
          <w:jc w:val="center"/>
        </w:trPr>
        <w:tc>
          <w:tcPr>
            <w:tcW w:w="1114" w:type="dxa"/>
            <w:shd w:val="clear" w:color="auto" w:fill="FFFFFF"/>
            <w:vAlign w:val="bottom"/>
          </w:tcPr>
          <w:p w14:paraId="660B827B"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7</w:t>
            </w:r>
          </w:p>
        </w:tc>
        <w:tc>
          <w:tcPr>
            <w:tcW w:w="1637" w:type="dxa"/>
            <w:shd w:val="clear" w:color="auto" w:fill="FFFFFF"/>
            <w:vAlign w:val="bottom"/>
          </w:tcPr>
          <w:p w14:paraId="629989AD"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SC</w:t>
            </w:r>
          </w:p>
        </w:tc>
        <w:tc>
          <w:tcPr>
            <w:tcW w:w="2155" w:type="dxa"/>
            <w:shd w:val="clear" w:color="auto" w:fill="FFFFFF"/>
            <w:vAlign w:val="bottom"/>
          </w:tcPr>
          <w:p w14:paraId="37438D09" w14:textId="77777777" w:rsidR="0072615D" w:rsidRDefault="0072615D">
            <w:pPr>
              <w:pStyle w:val="Other0"/>
              <w:spacing w:line="240" w:lineRule="auto"/>
              <w:ind w:firstLine="820"/>
              <w:rPr>
                <w:sz w:val="16"/>
                <w:szCs w:val="16"/>
              </w:rPr>
            </w:pPr>
            <w:r>
              <w:rPr>
                <w:rFonts w:ascii="Times New Roman" w:eastAsia="Times New Roman" w:hAnsi="Times New Roman" w:cs="Times New Roman"/>
                <w:sz w:val="16"/>
                <w:szCs w:val="16"/>
              </w:rPr>
              <w:t>1:10</w:t>
            </w:r>
          </w:p>
        </w:tc>
        <w:tc>
          <w:tcPr>
            <w:tcW w:w="1584" w:type="dxa"/>
            <w:shd w:val="clear" w:color="auto" w:fill="FFFFFF"/>
            <w:vAlign w:val="bottom"/>
          </w:tcPr>
          <w:p w14:paraId="35866E48"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0.1</w:t>
            </w:r>
          </w:p>
        </w:tc>
      </w:tr>
      <w:tr w:rsidR="0072615D" w14:paraId="71C564BA" w14:textId="77777777">
        <w:tblPrEx>
          <w:tblCellMar>
            <w:top w:w="0" w:type="dxa"/>
            <w:bottom w:w="0" w:type="dxa"/>
          </w:tblCellMar>
        </w:tblPrEx>
        <w:trPr>
          <w:trHeight w:hRule="exact" w:val="216"/>
          <w:jc w:val="center"/>
        </w:trPr>
        <w:tc>
          <w:tcPr>
            <w:tcW w:w="1114" w:type="dxa"/>
            <w:shd w:val="clear" w:color="auto" w:fill="FFFFFF"/>
            <w:vAlign w:val="bottom"/>
          </w:tcPr>
          <w:p w14:paraId="4D0E19B0"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8</w:t>
            </w:r>
          </w:p>
        </w:tc>
        <w:tc>
          <w:tcPr>
            <w:tcW w:w="1637" w:type="dxa"/>
            <w:shd w:val="clear" w:color="auto" w:fill="FFFFFF"/>
            <w:vAlign w:val="bottom"/>
          </w:tcPr>
          <w:p w14:paraId="30FC4E08"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SC</w:t>
            </w:r>
          </w:p>
        </w:tc>
        <w:tc>
          <w:tcPr>
            <w:tcW w:w="2155" w:type="dxa"/>
            <w:shd w:val="clear" w:color="auto" w:fill="FFFFFF"/>
            <w:vAlign w:val="bottom"/>
          </w:tcPr>
          <w:p w14:paraId="5A4A46B9" w14:textId="77777777" w:rsidR="0072615D" w:rsidRDefault="0072615D">
            <w:pPr>
              <w:pStyle w:val="Other0"/>
              <w:spacing w:line="240" w:lineRule="auto"/>
              <w:ind w:firstLine="820"/>
              <w:rPr>
                <w:sz w:val="16"/>
                <w:szCs w:val="16"/>
              </w:rPr>
            </w:pPr>
            <w:r>
              <w:rPr>
                <w:rFonts w:ascii="Times New Roman" w:eastAsia="Times New Roman" w:hAnsi="Times New Roman" w:cs="Times New Roman"/>
                <w:sz w:val="16"/>
                <w:szCs w:val="16"/>
              </w:rPr>
              <w:t>1:10</w:t>
            </w:r>
          </w:p>
        </w:tc>
        <w:tc>
          <w:tcPr>
            <w:tcW w:w="1584" w:type="dxa"/>
            <w:shd w:val="clear" w:color="auto" w:fill="FFFFFF"/>
            <w:vAlign w:val="bottom"/>
          </w:tcPr>
          <w:p w14:paraId="6E87FB6D"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0.3</w:t>
            </w:r>
          </w:p>
        </w:tc>
      </w:tr>
      <w:tr w:rsidR="0072615D" w14:paraId="0E09BE69" w14:textId="77777777">
        <w:tblPrEx>
          <w:tblCellMar>
            <w:top w:w="0" w:type="dxa"/>
            <w:bottom w:w="0" w:type="dxa"/>
          </w:tblCellMar>
        </w:tblPrEx>
        <w:trPr>
          <w:trHeight w:hRule="exact" w:val="216"/>
          <w:jc w:val="center"/>
        </w:trPr>
        <w:tc>
          <w:tcPr>
            <w:tcW w:w="1114" w:type="dxa"/>
            <w:shd w:val="clear" w:color="auto" w:fill="FFFFFF"/>
            <w:vAlign w:val="bottom"/>
          </w:tcPr>
          <w:p w14:paraId="3CB63592" w14:textId="77777777" w:rsidR="0072615D" w:rsidRDefault="0072615D">
            <w:pPr>
              <w:pStyle w:val="Other0"/>
              <w:spacing w:line="240" w:lineRule="auto"/>
              <w:ind w:firstLine="460"/>
              <w:rPr>
                <w:sz w:val="16"/>
                <w:szCs w:val="16"/>
              </w:rPr>
            </w:pPr>
            <w:r>
              <w:rPr>
                <w:rFonts w:ascii="Times New Roman" w:eastAsia="Times New Roman" w:hAnsi="Times New Roman" w:cs="Times New Roman"/>
                <w:sz w:val="16"/>
                <w:szCs w:val="16"/>
              </w:rPr>
              <w:t>9</w:t>
            </w:r>
          </w:p>
        </w:tc>
        <w:tc>
          <w:tcPr>
            <w:tcW w:w="1637" w:type="dxa"/>
            <w:shd w:val="clear" w:color="auto" w:fill="FFFFFF"/>
            <w:vAlign w:val="bottom"/>
          </w:tcPr>
          <w:p w14:paraId="35320193"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SC</w:t>
            </w:r>
          </w:p>
        </w:tc>
        <w:tc>
          <w:tcPr>
            <w:tcW w:w="2155" w:type="dxa"/>
            <w:shd w:val="clear" w:color="auto" w:fill="FFFFFF"/>
            <w:vAlign w:val="bottom"/>
          </w:tcPr>
          <w:p w14:paraId="5A732E94" w14:textId="77777777" w:rsidR="0072615D" w:rsidRDefault="0072615D">
            <w:pPr>
              <w:pStyle w:val="Other0"/>
              <w:spacing w:line="240" w:lineRule="auto"/>
              <w:ind w:firstLine="820"/>
              <w:rPr>
                <w:sz w:val="16"/>
                <w:szCs w:val="16"/>
              </w:rPr>
            </w:pPr>
            <w:r>
              <w:rPr>
                <w:rFonts w:ascii="Times New Roman" w:eastAsia="Times New Roman" w:hAnsi="Times New Roman" w:cs="Times New Roman"/>
                <w:sz w:val="16"/>
                <w:szCs w:val="16"/>
              </w:rPr>
              <w:t>1:10</w:t>
            </w:r>
          </w:p>
        </w:tc>
        <w:tc>
          <w:tcPr>
            <w:tcW w:w="1584" w:type="dxa"/>
            <w:shd w:val="clear" w:color="auto" w:fill="FFFFFF"/>
            <w:vAlign w:val="bottom"/>
          </w:tcPr>
          <w:p w14:paraId="0FCEDD3A"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0.6</w:t>
            </w:r>
          </w:p>
        </w:tc>
      </w:tr>
      <w:tr w:rsidR="0072615D" w14:paraId="1ACD3D91" w14:textId="77777777">
        <w:tblPrEx>
          <w:tblCellMar>
            <w:top w:w="0" w:type="dxa"/>
            <w:bottom w:w="0" w:type="dxa"/>
          </w:tblCellMar>
        </w:tblPrEx>
        <w:trPr>
          <w:trHeight w:hRule="exact" w:val="216"/>
          <w:jc w:val="center"/>
        </w:trPr>
        <w:tc>
          <w:tcPr>
            <w:tcW w:w="1114" w:type="dxa"/>
            <w:shd w:val="clear" w:color="auto" w:fill="FFFFFF"/>
          </w:tcPr>
          <w:p w14:paraId="26DA686F"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10</w:t>
            </w:r>
          </w:p>
        </w:tc>
        <w:tc>
          <w:tcPr>
            <w:tcW w:w="1637" w:type="dxa"/>
            <w:shd w:val="clear" w:color="auto" w:fill="FFFFFF"/>
          </w:tcPr>
          <w:p w14:paraId="23E53D32"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SC</w:t>
            </w:r>
          </w:p>
        </w:tc>
        <w:tc>
          <w:tcPr>
            <w:tcW w:w="2155" w:type="dxa"/>
            <w:shd w:val="clear" w:color="auto" w:fill="FFFFFF"/>
          </w:tcPr>
          <w:p w14:paraId="2C697CF5" w14:textId="77777777" w:rsidR="0072615D" w:rsidRDefault="0072615D">
            <w:pPr>
              <w:pStyle w:val="Other0"/>
              <w:spacing w:line="240" w:lineRule="auto"/>
              <w:ind w:firstLine="0"/>
              <w:jc w:val="center"/>
              <w:rPr>
                <w:sz w:val="16"/>
                <w:szCs w:val="16"/>
              </w:rPr>
            </w:pPr>
            <w:r>
              <w:rPr>
                <w:rFonts w:ascii="Times New Roman" w:eastAsia="Times New Roman" w:hAnsi="Times New Roman" w:cs="Times New Roman"/>
                <w:sz w:val="16"/>
                <w:szCs w:val="16"/>
              </w:rPr>
              <w:t>Suero sin diluir</w:t>
            </w:r>
          </w:p>
        </w:tc>
        <w:tc>
          <w:tcPr>
            <w:tcW w:w="1584" w:type="dxa"/>
            <w:shd w:val="clear" w:color="auto" w:fill="FFFFFF"/>
          </w:tcPr>
          <w:p w14:paraId="65EB9C04"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0.1</w:t>
            </w:r>
          </w:p>
        </w:tc>
      </w:tr>
      <w:tr w:rsidR="0072615D" w14:paraId="619897A3" w14:textId="77777777">
        <w:tblPrEx>
          <w:tblCellMar>
            <w:top w:w="0" w:type="dxa"/>
            <w:bottom w:w="0" w:type="dxa"/>
          </w:tblCellMar>
        </w:tblPrEx>
        <w:trPr>
          <w:trHeight w:hRule="exact" w:val="216"/>
          <w:jc w:val="center"/>
        </w:trPr>
        <w:tc>
          <w:tcPr>
            <w:tcW w:w="1114" w:type="dxa"/>
            <w:shd w:val="clear" w:color="auto" w:fill="FFFFFF"/>
            <w:vAlign w:val="bottom"/>
          </w:tcPr>
          <w:p w14:paraId="4EBF9DAB"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11</w:t>
            </w:r>
          </w:p>
        </w:tc>
        <w:tc>
          <w:tcPr>
            <w:tcW w:w="1637" w:type="dxa"/>
            <w:shd w:val="clear" w:color="auto" w:fill="FFFFFF"/>
            <w:vAlign w:val="bottom"/>
          </w:tcPr>
          <w:p w14:paraId="28109997"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SC</w:t>
            </w:r>
          </w:p>
        </w:tc>
        <w:tc>
          <w:tcPr>
            <w:tcW w:w="2155" w:type="dxa"/>
            <w:shd w:val="clear" w:color="auto" w:fill="FFFFFF"/>
            <w:vAlign w:val="bottom"/>
          </w:tcPr>
          <w:p w14:paraId="1FE101FC" w14:textId="77777777" w:rsidR="0072615D" w:rsidRDefault="0072615D">
            <w:pPr>
              <w:pStyle w:val="Other0"/>
              <w:spacing w:line="240" w:lineRule="auto"/>
              <w:ind w:firstLine="0"/>
              <w:jc w:val="center"/>
              <w:rPr>
                <w:sz w:val="16"/>
                <w:szCs w:val="16"/>
              </w:rPr>
            </w:pPr>
            <w:r>
              <w:rPr>
                <w:rFonts w:ascii="Times New Roman" w:eastAsia="Times New Roman" w:hAnsi="Times New Roman" w:cs="Times New Roman"/>
                <w:sz w:val="16"/>
                <w:szCs w:val="16"/>
              </w:rPr>
              <w:t>Suero sin diluir</w:t>
            </w:r>
          </w:p>
        </w:tc>
        <w:tc>
          <w:tcPr>
            <w:tcW w:w="1584" w:type="dxa"/>
            <w:shd w:val="clear" w:color="auto" w:fill="FFFFFF"/>
            <w:vAlign w:val="bottom"/>
          </w:tcPr>
          <w:p w14:paraId="1615E901"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0.3</w:t>
            </w:r>
          </w:p>
        </w:tc>
      </w:tr>
      <w:tr w:rsidR="0072615D" w14:paraId="1E0CA7F4" w14:textId="77777777">
        <w:tblPrEx>
          <w:tblCellMar>
            <w:top w:w="0" w:type="dxa"/>
            <w:bottom w:w="0" w:type="dxa"/>
          </w:tblCellMar>
        </w:tblPrEx>
        <w:trPr>
          <w:trHeight w:hRule="exact" w:val="216"/>
          <w:jc w:val="center"/>
        </w:trPr>
        <w:tc>
          <w:tcPr>
            <w:tcW w:w="1114" w:type="dxa"/>
            <w:shd w:val="clear" w:color="auto" w:fill="FFFFFF"/>
          </w:tcPr>
          <w:p w14:paraId="35FE44F9"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12</w:t>
            </w:r>
          </w:p>
        </w:tc>
        <w:tc>
          <w:tcPr>
            <w:tcW w:w="1637" w:type="dxa"/>
            <w:shd w:val="clear" w:color="auto" w:fill="FFFFFF"/>
          </w:tcPr>
          <w:p w14:paraId="76A8C87D"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IM</w:t>
            </w:r>
          </w:p>
        </w:tc>
        <w:tc>
          <w:tcPr>
            <w:tcW w:w="2155" w:type="dxa"/>
            <w:shd w:val="clear" w:color="auto" w:fill="FFFFFF"/>
          </w:tcPr>
          <w:p w14:paraId="442060EA" w14:textId="77777777" w:rsidR="0072615D" w:rsidRDefault="0072615D">
            <w:pPr>
              <w:pStyle w:val="Other0"/>
              <w:spacing w:line="240" w:lineRule="auto"/>
              <w:ind w:firstLine="0"/>
              <w:jc w:val="center"/>
              <w:rPr>
                <w:sz w:val="16"/>
                <w:szCs w:val="16"/>
              </w:rPr>
            </w:pPr>
            <w:r>
              <w:rPr>
                <w:rFonts w:ascii="Times New Roman" w:eastAsia="Times New Roman" w:hAnsi="Times New Roman" w:cs="Times New Roman"/>
                <w:sz w:val="16"/>
                <w:szCs w:val="16"/>
              </w:rPr>
              <w:t>Suero sin diluir</w:t>
            </w:r>
          </w:p>
        </w:tc>
        <w:tc>
          <w:tcPr>
            <w:tcW w:w="1584" w:type="dxa"/>
            <w:shd w:val="clear" w:color="auto" w:fill="FFFFFF"/>
          </w:tcPr>
          <w:p w14:paraId="2932D470"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0.6</w:t>
            </w:r>
          </w:p>
        </w:tc>
      </w:tr>
      <w:tr w:rsidR="0072615D" w14:paraId="4FB63B35" w14:textId="77777777">
        <w:tblPrEx>
          <w:tblCellMar>
            <w:top w:w="0" w:type="dxa"/>
            <w:bottom w:w="0" w:type="dxa"/>
          </w:tblCellMar>
        </w:tblPrEx>
        <w:trPr>
          <w:trHeight w:hRule="exact" w:val="206"/>
          <w:jc w:val="center"/>
        </w:trPr>
        <w:tc>
          <w:tcPr>
            <w:tcW w:w="1114" w:type="dxa"/>
            <w:tcBorders>
              <w:bottom w:val="single" w:sz="4" w:space="0" w:color="auto"/>
            </w:tcBorders>
            <w:shd w:val="clear" w:color="auto" w:fill="FFFFFF"/>
            <w:vAlign w:val="bottom"/>
          </w:tcPr>
          <w:p w14:paraId="6693F841"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13</w:t>
            </w:r>
          </w:p>
        </w:tc>
        <w:tc>
          <w:tcPr>
            <w:tcW w:w="1637" w:type="dxa"/>
            <w:tcBorders>
              <w:bottom w:val="single" w:sz="4" w:space="0" w:color="auto"/>
            </w:tcBorders>
            <w:shd w:val="clear" w:color="auto" w:fill="FFFFFF"/>
            <w:vAlign w:val="bottom"/>
          </w:tcPr>
          <w:p w14:paraId="55A7D3CB"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IM</w:t>
            </w:r>
          </w:p>
        </w:tc>
        <w:tc>
          <w:tcPr>
            <w:tcW w:w="2155" w:type="dxa"/>
            <w:tcBorders>
              <w:bottom w:val="single" w:sz="4" w:space="0" w:color="auto"/>
            </w:tcBorders>
            <w:shd w:val="clear" w:color="auto" w:fill="FFFFFF"/>
            <w:vAlign w:val="bottom"/>
          </w:tcPr>
          <w:p w14:paraId="2274E817" w14:textId="77777777" w:rsidR="0072615D" w:rsidRDefault="0072615D">
            <w:pPr>
              <w:pStyle w:val="Other0"/>
              <w:spacing w:line="240" w:lineRule="auto"/>
              <w:ind w:firstLine="0"/>
              <w:jc w:val="center"/>
              <w:rPr>
                <w:sz w:val="16"/>
                <w:szCs w:val="16"/>
              </w:rPr>
            </w:pPr>
            <w:r>
              <w:rPr>
                <w:rFonts w:ascii="Times New Roman" w:eastAsia="Times New Roman" w:hAnsi="Times New Roman" w:cs="Times New Roman"/>
                <w:sz w:val="16"/>
                <w:szCs w:val="16"/>
              </w:rPr>
              <w:t>Suero sin diluir</w:t>
            </w:r>
          </w:p>
        </w:tc>
        <w:tc>
          <w:tcPr>
            <w:tcW w:w="1584" w:type="dxa"/>
            <w:tcBorders>
              <w:bottom w:val="single" w:sz="4" w:space="0" w:color="auto"/>
            </w:tcBorders>
            <w:shd w:val="clear" w:color="auto" w:fill="FFFFFF"/>
            <w:vAlign w:val="bottom"/>
          </w:tcPr>
          <w:p w14:paraId="79F88FEC" w14:textId="77777777" w:rsidR="0072615D" w:rsidRDefault="0072615D">
            <w:pPr>
              <w:pStyle w:val="Other0"/>
              <w:spacing w:line="240" w:lineRule="auto"/>
              <w:ind w:firstLine="760"/>
              <w:rPr>
                <w:sz w:val="16"/>
                <w:szCs w:val="16"/>
              </w:rPr>
            </w:pPr>
            <w:r>
              <w:rPr>
                <w:rFonts w:ascii="Times New Roman" w:eastAsia="Times New Roman" w:hAnsi="Times New Roman" w:cs="Times New Roman"/>
                <w:sz w:val="16"/>
                <w:szCs w:val="16"/>
              </w:rPr>
              <w:t>1.0</w:t>
            </w:r>
          </w:p>
        </w:tc>
      </w:tr>
    </w:tbl>
    <w:p w14:paraId="1D0A3E71" w14:textId="77777777" w:rsidR="0072615D" w:rsidRDefault="0072615D">
      <w:pPr>
        <w:pStyle w:val="Tablecaption0"/>
        <w:spacing w:line="240" w:lineRule="auto"/>
        <w:ind w:left="19"/>
      </w:pPr>
      <w:r>
        <w:rPr>
          <w:sz w:val="8"/>
          <w:szCs w:val="8"/>
          <w:vertAlign w:val="superscript"/>
        </w:rPr>
        <w:t>1</w:t>
      </w:r>
      <w:r>
        <w:rPr>
          <w:sz w:val="8"/>
          <w:szCs w:val="8"/>
        </w:rPr>
        <w:t xml:space="preserve"> </w:t>
      </w:r>
      <w:r>
        <w:t>Administrar en forma constante a intervalos de 15 minutos.</w:t>
      </w:r>
    </w:p>
    <w:p w14:paraId="2D0A34E4" w14:textId="77777777" w:rsidR="0072615D" w:rsidRDefault="0072615D">
      <w:pPr>
        <w:spacing w:after="379" w:line="1" w:lineRule="exact"/>
      </w:pPr>
    </w:p>
    <w:p w14:paraId="7B9BDF5F" w14:textId="77777777" w:rsidR="0072615D" w:rsidRDefault="0072615D">
      <w:pPr>
        <w:pStyle w:val="BodyText"/>
        <w:spacing w:after="220"/>
        <w:ind w:firstLine="0"/>
      </w:pPr>
      <w:r>
        <w:t>adelante en esta sección “Tratamiento de reacciones anafilácticas”). Algunos médicos recomiendan usar concomitantemente un antihistamínico ingerible o parenteral (como la difenhidramina) durante el método, con cortisona o metilprednisolona intravenosas o sin ellas. En caso de surgir signos de anafilaxia, habrá que aplicar inmediatamente una solución de adrenalina (véase más adelante en esta sección “Tratamiento de reacciones anafilácticas”). La administración de los sueros durante el método de desensibilización debe ser ininterrumpida porque si hay alguna interrupción se perderá la protección que se obtiene con la desensibilización.</w:t>
      </w:r>
    </w:p>
    <w:p w14:paraId="25D549D5" w14:textId="77777777" w:rsidR="0072615D" w:rsidRDefault="0072615D">
      <w:pPr>
        <w:pStyle w:val="BodyText"/>
        <w:spacing w:after="220"/>
        <w:ind w:firstLine="0"/>
      </w:pPr>
      <w:r>
        <w:t>TIPOS DE REACCIONES AL SUERO DE ANIMALES</w:t>
      </w:r>
    </w:p>
    <w:p w14:paraId="027E2FD9" w14:textId="77777777" w:rsidR="0072615D" w:rsidRDefault="0072615D">
      <w:pPr>
        <w:pStyle w:val="BodyText"/>
        <w:ind w:firstLine="0"/>
      </w:pPr>
      <w:r>
        <w:t>Como resultado de la administración de sueros de animales surgen a veces las reacciones siguientes. De ellas, sólo la anafilaxia es mediada por anticuerpos de tipo IgE, y por tal razón, su aparición se puede anticipar si se hacen previamente pruebas cutáneas.</w:t>
      </w:r>
    </w:p>
    <w:p w14:paraId="3DFE458A" w14:textId="77777777" w:rsidR="0072615D" w:rsidRDefault="0072615D">
      <w:pPr>
        <w:pStyle w:val="BodyText"/>
        <w:spacing w:line="283" w:lineRule="auto"/>
        <w:ind w:firstLine="360"/>
      </w:pPr>
      <w:r>
        <w:rPr>
          <w:rFonts w:ascii="Times New Roman" w:eastAsia="Times New Roman" w:hAnsi="Times New Roman" w:cs="Times New Roman"/>
          <w:b/>
          <w:bCs/>
          <w:i/>
          <w:iCs/>
          <w:sz w:val="16"/>
          <w:szCs w:val="16"/>
        </w:rPr>
        <w:t>Reacciones febriles agudas.</w:t>
      </w:r>
      <w:r>
        <w:t xml:space="preserve"> Las reacciones en cuestión suelen ser leves y se tratan con antipiréticos. Las reacciones graves deben ser combatidas con los antipiréticos u otros métodos seguros para disminuir por medios físicos la temperatura corporal.</w:t>
      </w:r>
    </w:p>
    <w:p w14:paraId="5EBE9154"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Enfermedad del suero.</w:t>
      </w:r>
      <w:r>
        <w:t xml:space="preserve"> Las manifestaciones que suelen comenzar siete a 10 días (a veces tres semanas) después de la exposición primaria a una proteína heteróloga, incluyen fiebre, urticaria o maculopápulas (90% de los casos); artritis o artralgias y linfadenopatía. En el sitio de inyección del suero a veces aparece edema local, unos días antes de que surjan signos y síntomas generalizados. También aparecen a veces trastornos como angioedema, glomerulonefritis, síndrome de Guillain-Barré, neuritis periférica y miocarditis. Sin embargo, la enfermedad del suero puede ser poco intensa y mostrar resolución espontánea en cuestión de días a dos semanas. Las personas que han recibido en fechas previas inyecciones de suero están expuestas a un mayor peligro cuando se repite la administración de tal producto; en ellos el cuadro puede aparecer a muy breve plazo (horas a tres días) después de haber administrado el suero. Los antihistamínicos ayudan a combatir la enfermedad del suero porque alivian el prurito, el edema y la urticaria. Con aspirina u otro antiinflamatorio no esteroideo se pueden controlar fiebre, malestar, artralgias y artritis. Los corticosteroides pueden contribuir a desterrar manifestaciones graves que no son anuladas del todo por otros agentes; un régimen apropiado sería el de prednisona o prednisolona en dosis terapéuticas (1.5 a 2 mg/kg de peso al día; máximo, 60 mg/día) durante cinco a siete días.</w:t>
      </w:r>
    </w:p>
    <w:p w14:paraId="4FDA3E53" w14:textId="77777777" w:rsidR="0072615D" w:rsidRDefault="0072615D">
      <w:pPr>
        <w:pStyle w:val="BodyText"/>
        <w:spacing w:after="100" w:line="276" w:lineRule="auto"/>
        <w:ind w:firstLine="360"/>
      </w:pPr>
      <w:r>
        <w:rPr>
          <w:rFonts w:ascii="Times New Roman" w:eastAsia="Times New Roman" w:hAnsi="Times New Roman" w:cs="Times New Roman"/>
          <w:b/>
          <w:bCs/>
          <w:i/>
          <w:iCs/>
          <w:sz w:val="16"/>
          <w:szCs w:val="16"/>
        </w:rPr>
        <w:t>Anafilaxia.</w:t>
      </w:r>
      <w:r>
        <w:t xml:space="preserve"> La rapidez del comienzo y la intensidad global de la anafilaxia varían considerablemente. Suele comenzar en término de minutos de la exposición al agente causal y en términos generales cuanto más rápido aparece más grave será la evolución global. Entre las manifestaciones más importantes están: 1) cutáneas: prurito, congestión facial, urticaria y angioedema; 2) respiratorias: ronquera y estridor, tos, sibilancias, disnea y cianosis; 3) cardiovasculares: pulso débil y acelerado, hipotensión y arritmias; y 4) vías gastrointestinales: cólicos, vómitos, diarrea y xerostomía (boca seca). La anafilaxia constituye un cuadro de urgencia médica.</w:t>
      </w:r>
    </w:p>
    <w:p w14:paraId="0295C4D5" w14:textId="77777777" w:rsidR="0072615D" w:rsidRDefault="0072615D">
      <w:pPr>
        <w:pStyle w:val="Bodytext70"/>
      </w:pPr>
      <w:r>
        <w:t>Tratamiento de las reacciones anafilácticas</w:t>
      </w:r>
    </w:p>
    <w:p w14:paraId="46ACC837" w14:textId="77777777" w:rsidR="0072615D" w:rsidRDefault="0072615D">
      <w:pPr>
        <w:pStyle w:val="BodyText"/>
        <w:ind w:firstLine="0"/>
      </w:pPr>
      <w:r>
        <w:t>El personal que administra productos biológicos o sueros debe estar preparado para identificar y combatir la anafilaxia sistémica. Es importante contar a la mano de manera inmediata con medicamentos, equipo y el personal competente necesario para conservar la ventilación libre y para combatir el colapso cardiovascular. A veces se necesita la transferencia apropiada y oportuna del paciente anafiláctico a la unidad de cuidado intensivo de niños o al departamento de urgencias de un hospital.</w:t>
      </w:r>
    </w:p>
    <w:p w14:paraId="6D89BF98" w14:textId="77777777" w:rsidR="0072615D" w:rsidRDefault="0072615D">
      <w:pPr>
        <w:pStyle w:val="BodyText"/>
        <w:ind w:firstLine="360"/>
      </w:pPr>
      <w:r>
        <w:t>El tratamiento de urgencia de las reacciones anafilácticas sistémicas se basa en el tipo de reacción. En todos los casos, la adrenalina es el fármaco fundamental. Habrá que administrarla por vía intramuscular para combatir los síntomas leves como prurito, eritema, urticaria y angioedema, y seguir después con difenhidramina, hidroxicina u otros antihistamínicos ingeridos o aplicados por vía parenteral (véanse cuadros 1-11 y 1-12). Después de la administración intramuscular se alcanzan concentraciones mayores y más rápidamente de adrenalina, razón por la cual ya no se recomienda la aplicación subcutánea. Si los síntomas persisten o reaparecen, cabe repetir la administración de dicha catecolamina cada 10 a 20 min en un total de tres dosis. Si mejora el paciente con tal esquema y su estado es estable, pueden administrarse durante 24 o 48 h más antihistamínicos ingeribles y quizá corticosteroides por vía oral (1.5 a 2.0 mg/kg de peso al día, de prednisona; máximo, 60 mg/día).</w:t>
      </w:r>
    </w:p>
    <w:p w14:paraId="5888245A" w14:textId="77777777" w:rsidR="0072615D" w:rsidRDefault="0072615D">
      <w:pPr>
        <w:pStyle w:val="BodyText"/>
        <w:spacing w:after="160"/>
        <w:ind w:firstLine="360"/>
        <w:sectPr w:rsidR="0072615D" w:rsidSect="0072615D">
          <w:headerReference w:type="even" r:id="rId200"/>
          <w:headerReference w:type="default" r:id="rId201"/>
          <w:footerReference w:type="even" r:id="rId202"/>
          <w:footerReference w:type="default" r:id="rId203"/>
          <w:type w:val="continuous"/>
          <w:pgSz w:w="8501" w:h="13022"/>
          <w:pgMar w:top="912" w:right="881" w:bottom="490" w:left="742" w:header="0" w:footer="3" w:gutter="0"/>
          <w:cols w:space="720"/>
          <w:noEndnote/>
          <w:docGrid w:linePitch="360"/>
          <w15:footnoteColumns w:val="1"/>
        </w:sectPr>
      </w:pPr>
      <w:r>
        <w:t>La anafilaxia sistémica más grave o que puede ser letal que incluye broncospasmo profundo, edema laríngeo, deterioro ventilatorio de otro tipo, choque y colapso cardiovascular obliga a emprender terapia adicional. Habrá que iniciar a brevísimo plazo medidas para conservar el libre tránsito de aire (ventilación) y administrar oxígeno. Puede estar indicada la adrenalina intravenosa y para usarla por esa vía habrá que diluir partiendo de una base acuosa al 1:1 000 hasta obtener una dilución de 1:10 000 con solución salina fisiológica (cuadro 1-11). Es preferible el goteo continuo lento para administración endovenosa rápida y repetida. Para combatir el broncospasmo conviene usar el albuterol nebulizado (cuadro 1-12). También habrá que recurrir a la venoclisis rápida con solución salina fisiológica, solución de Ringer con lactato u otras soluciones isotónicas para conservar la tensión arterial y así compensar la pérdida del volumen intravascular circulante.</w:t>
      </w:r>
    </w:p>
    <w:p w14:paraId="79E76D87" w14:textId="77777777" w:rsidR="0072615D" w:rsidRDefault="0072615D">
      <w:pPr>
        <w:pStyle w:val="BodyText"/>
        <w:ind w:firstLine="0"/>
      </w:pPr>
      <w:r>
        <w:t>muy breve plazo (horas a tres días) después de haber administrado el suero. Los antihistamínicos ayudan a combatir la enfermedad del suero porque alivian el prurito, el edema y la urticaria. Con aspirina u otro antiinflamatorio no esteroideo se pueden controlar fiebre, malestar, artralgias y artritis. Los corticosteroides pueden contribuir a desterrar manifestaciones graves que no son anuladas del todo por otros agentes; un régimen apropiado sería el de prednisona o prednisolona en dosis terapéuticas (1.5 a 2 mg/kg de peso al día; máximo, 60 mg/día) durante cinco a siete días.</w:t>
      </w:r>
    </w:p>
    <w:p w14:paraId="3E61D645" w14:textId="77777777" w:rsidR="0072615D" w:rsidRDefault="0072615D">
      <w:pPr>
        <w:pStyle w:val="BodyText"/>
        <w:spacing w:after="100" w:line="276" w:lineRule="auto"/>
        <w:ind w:firstLine="360"/>
      </w:pPr>
      <w:r>
        <w:rPr>
          <w:rFonts w:ascii="Times New Roman" w:eastAsia="Times New Roman" w:hAnsi="Times New Roman" w:cs="Times New Roman"/>
          <w:b/>
          <w:bCs/>
          <w:i/>
          <w:iCs/>
          <w:sz w:val="16"/>
          <w:szCs w:val="16"/>
        </w:rPr>
        <w:t>Anafilaxia.</w:t>
      </w:r>
      <w:r>
        <w:t xml:space="preserve"> La rapidez del comienzo y la intensidad global de la anafilaxia varían considerablemente. Suele comenzar en término de minutos de la exposición al agente causal y en términos generales cuanto más rápido aparece más grave será la evolución global. Entre las manifestaciones más importantes están: 1) cutáneas: prurito, congestión facial, urticaria y angioedema; 2) respiratorias: ronquera y estridor, tos, sibilancias, disnea y cianosis; 3) cardiovasculares: pulso débil y acelerado, hipotensión y arritmias; y 4) vías gastrointestinales: cólicos, vómitos, diarrea y xerostomía (boca seca). La anafilaxia constituye un cuadro de urgencia médica.</w:t>
      </w:r>
    </w:p>
    <w:p w14:paraId="4A65E337" w14:textId="77777777" w:rsidR="0072615D" w:rsidRDefault="0072615D">
      <w:pPr>
        <w:pStyle w:val="Bodytext70"/>
      </w:pPr>
      <w:r>
        <w:t>Tratamiento de las reacciones anafilácticas</w:t>
      </w:r>
    </w:p>
    <w:p w14:paraId="41CAA021" w14:textId="77777777" w:rsidR="0072615D" w:rsidRDefault="0072615D">
      <w:pPr>
        <w:pStyle w:val="BodyText"/>
        <w:ind w:firstLine="0"/>
      </w:pPr>
      <w:r>
        <w:t>El personal que administra productos biológicos o sueros debe estar preparado para identificar y combatir la anafilaxia sistémica. Es importante contar a la mano de manera inmediata con medicamentos, equipo y el personal competente necesario para conservar la ventilación libre y para combatir el colapso cardiovascular. A veces se necesita la transferencia apropiada y oportuna del paciente anafiláctico a la unidad de cuidado intensivo de niños o al departamento de urgencias de un hospital.</w:t>
      </w:r>
    </w:p>
    <w:p w14:paraId="156DE217" w14:textId="77777777" w:rsidR="0072615D" w:rsidRDefault="0072615D">
      <w:pPr>
        <w:pStyle w:val="BodyText"/>
        <w:ind w:firstLine="360"/>
      </w:pPr>
      <w:r>
        <w:t>El tratamiento de urgencia de las reacciones anafilácticas sistémicas se basa en el tipo de reacción. En todos los casos, la adrenalina es el fármaco fundamental. Habrá que administrarla por vía intramuscular para combatir los síntomas leves como prurito, eritema, urticaria y angioedema, y seguir después con difenhidramina, hidroxicina u otros antihistamínicos ingeridos o aplicados por vía parenteral (véanse cuadros 1-11 y 1-12). Después de la administración intramuscular se alcanzan concentraciones mayores y más rápidamente de adrenalina, razón por la cual ya no se recomienda la aplicación subcutánea. Si los síntomas persisten o reaparecen, cabe repetir la administración de dicha catecolamina cada 10 a 20 min en un total de tres dosis. Si mejora el paciente con tal esquema y su estado es estable, pueden administrarse durante 24 o 48 h más antihistamínicos ingeribles y quizá corticosteroides por vía oral (1.5 a 2.0 mg/kg de peso al día, de prednisona; máximo, 60 mg/día).</w:t>
      </w:r>
    </w:p>
    <w:p w14:paraId="33874680" w14:textId="77777777" w:rsidR="0072615D" w:rsidRDefault="0072615D">
      <w:pPr>
        <w:pStyle w:val="BodyText"/>
        <w:spacing w:after="160"/>
        <w:ind w:firstLine="360"/>
      </w:pPr>
      <w:r>
        <w:t>La anafilaxia sistémica más grave o que puede ser letal que incluye broncospasmo profundo, edema laríngeo, deterioro ventilatorio de otro tipo, choque y colapso cardiovascular obliga a emprender terapia adicional. Habrá que iniciar a brevísimo plazo medidas para conservar el libre tránsito de aire (ventilación) y administrar oxígeno. Puede estar indicada la adrenalina intravenosa y para usarla por esa vía habrá que diluir partiendo de una base acuosa al 1:1 000 hasta obtener una dilución de 1:10 000 con solución salina fisiológica (cuadro 1-11). Es preferible el goteo continuo lento para administración endovenosa rápida y repetida. Para combatir el broncospasmo conviene usar el albuterol nebulizado (cuadro 1-12). También habrá que recurrir a la venoclisis rápida con solución salina fisiológica, solución de Ringer con lactato u otras soluciones isotónicas para conservar la tensión arterial y así compensar la pérdida del volumen intravascular circulante.</w:t>
      </w:r>
    </w:p>
    <w:p w14:paraId="67A8748A" w14:textId="77777777" w:rsidR="0072615D" w:rsidRDefault="0072615D">
      <w:pPr>
        <w:pStyle w:val="BodyText"/>
        <w:spacing w:after="340"/>
        <w:ind w:firstLine="360"/>
      </w:pPr>
      <w:r>
        <w:t>En algunos casos, se necesitan los inotrópicos como la dopamina (cuadro 1-12) para conservar la tensión arterial. La combinación de agentes de bloqueo de receptores H</w:t>
      </w:r>
      <w:r>
        <w:rPr>
          <w:vertAlign w:val="subscript"/>
        </w:rPr>
        <w:t>1</w:t>
      </w:r>
      <w:r>
        <w:t xml:space="preserve"> y H</w:t>
      </w:r>
      <w:r>
        <w:rPr>
          <w:rFonts w:ascii="Times New Roman" w:eastAsia="Times New Roman" w:hAnsi="Times New Roman" w:cs="Times New Roman"/>
          <w:sz w:val="11"/>
          <w:szCs w:val="11"/>
        </w:rPr>
        <w:t xml:space="preserve">2 </w:t>
      </w:r>
      <w:r>
        <w:t>histamínicos (véase cuadro 1-12) puede tener efecto sinergico y conviene</w:t>
      </w:r>
    </w:p>
    <w:p w14:paraId="448BBC62" w14:textId="77777777" w:rsidR="0072615D" w:rsidRDefault="0072615D">
      <w:pPr>
        <w:pStyle w:val="Heading31"/>
        <w:keepNext/>
        <w:keepLines/>
        <w:pBdr>
          <w:bottom w:val="single" w:sz="4" w:space="0" w:color="auto"/>
        </w:pBdr>
        <w:spacing w:after="400"/>
        <w:ind w:firstLine="700"/>
      </w:pPr>
      <w:bookmarkStart w:id="286" w:name="bookmark286"/>
      <w:bookmarkStart w:id="287" w:name="bookmark287"/>
      <w:bookmarkStart w:id="288" w:name="bookmark288"/>
      <w:r>
        <w:rPr>
          <w:b w:val="0"/>
          <w:bCs w:val="0"/>
        </w:rPr>
        <w:t xml:space="preserve">Cuadro 1 - 11. </w:t>
      </w:r>
      <w:r>
        <w:t>Adrenalina en el tratamiento de la anafilaxia</w:t>
      </w:r>
      <w:r>
        <w:rPr>
          <w:vertAlign w:val="superscript"/>
        </w:rPr>
        <w:t>1</w:t>
      </w:r>
      <w:bookmarkEnd w:id="286"/>
      <w:bookmarkEnd w:id="287"/>
      <w:bookmarkEnd w:id="288"/>
    </w:p>
    <w:p w14:paraId="3FC6C4CF" w14:textId="77777777" w:rsidR="0072615D" w:rsidRDefault="0072615D">
      <w:pPr>
        <w:pStyle w:val="Bodytext20"/>
      </w:pPr>
      <w:r>
        <w:rPr>
          <w:b/>
          <w:bCs/>
        </w:rPr>
        <w:t>Administración intramuscular</w:t>
      </w:r>
    </w:p>
    <w:p w14:paraId="4778FE6F" w14:textId="77777777" w:rsidR="0072615D" w:rsidRDefault="0072615D">
      <w:pPr>
        <w:pStyle w:val="Bodytext20"/>
        <w:ind w:left="360" w:hanging="360"/>
      </w:pPr>
      <w:r>
        <w:t>Adrenalina 1:1 000 (solución acuosa): 0.01 ml/kg de peso por dosis hasta 0.5 ml y repetir cada 10-20 min en un total de tres dosis</w:t>
      </w:r>
      <w:r>
        <w:rPr>
          <w:vertAlign w:val="superscript"/>
        </w:rPr>
        <w:footnoteReference w:id="21"/>
      </w:r>
      <w:r>
        <w:rPr>
          <w:vertAlign w:val="superscript"/>
        </w:rPr>
        <w:t xml:space="preserve"> </w:t>
      </w:r>
      <w:r>
        <w:rPr>
          <w:vertAlign w:val="superscript"/>
        </w:rPr>
        <w:footnoteReference w:id="22"/>
      </w:r>
    </w:p>
    <w:p w14:paraId="07C5BBDF" w14:textId="77777777" w:rsidR="0072615D" w:rsidRDefault="0072615D">
      <w:pPr>
        <w:pStyle w:val="Bodytext20"/>
      </w:pPr>
      <w:r>
        <w:rPr>
          <w:b/>
          <w:bCs/>
        </w:rPr>
        <w:t>Administración intravenosa</w:t>
      </w:r>
    </w:p>
    <w:p w14:paraId="47C521CB" w14:textId="77777777" w:rsidR="0072615D" w:rsidRDefault="0072615D">
      <w:pPr>
        <w:pStyle w:val="Bodytext20"/>
        <w:pBdr>
          <w:bottom w:val="single" w:sz="4" w:space="0" w:color="auto"/>
        </w:pBdr>
        <w:spacing w:after="360"/>
        <w:ind w:left="360" w:hanging="360"/>
      </w:pPr>
      <w:r>
        <w:t>Se aplica una inyección inicial intravenosa rápida de adrenalina a personas que no mejoran con la adrenalina intramuscular, con dilución de 1:10 000 y no una dilución de 1:1 000. Esta última dilución se elabora con 1 ml de la dilución al 1:1 000 en 9 ml de solución salina fisiológica. La dosis es de 1 mg/kg de peso o 0.01 ml/kg de la dilución al 1:10 000. Conviene iniciar el goteo continuo si se necesitan dosis repetidas. Se introduce inicialmente 1 mg (1 ml) de la dilución al 1:1 000 de adrenalina adicionada a 250 ml de solución glucosada al 5%, con lo cual se obtiene una concentración de 4 pg/ml, inicialmente con un ritmo de 0.1 pg/kg/min que se aumenta poco a poco hasta 1.5 pg/kg de peso/min para conservar la tensión arterial.</w:t>
      </w:r>
      <w:r>
        <w:br w:type="page"/>
      </w:r>
    </w:p>
    <w:p w14:paraId="70AE4308" w14:textId="77777777" w:rsidR="0072615D" w:rsidRDefault="0072615D">
      <w:pPr>
        <w:pStyle w:val="Heading31"/>
        <w:keepNext/>
        <w:keepLines/>
        <w:spacing w:after="40" w:line="211" w:lineRule="auto"/>
        <w:jc w:val="center"/>
      </w:pPr>
      <w:bookmarkStart w:id="289" w:name="bookmark289"/>
      <w:bookmarkStart w:id="290" w:name="bookmark290"/>
      <w:bookmarkStart w:id="291" w:name="bookmark291"/>
      <w:r>
        <w:rPr>
          <w:b w:val="0"/>
          <w:bCs w:val="0"/>
        </w:rPr>
        <w:t xml:space="preserve">Cuadro 1.12. </w:t>
      </w:r>
      <w:r>
        <w:t>Dosis de los fármacos secundarios más usados</w:t>
      </w:r>
      <w:r>
        <w:br/>
        <w:t>para combatir la anafilaxia</w:t>
      </w:r>
      <w:bookmarkEnd w:id="289"/>
      <w:bookmarkEnd w:id="290"/>
      <w:bookmarkEnd w:id="291"/>
    </w:p>
    <w:p w14:paraId="684E8563" w14:textId="77777777" w:rsidR="0072615D" w:rsidRDefault="0072615D">
      <w:pPr>
        <w:pStyle w:val="Heading41"/>
        <w:keepNext/>
        <w:keepLines/>
        <w:pBdr>
          <w:top w:val="single" w:sz="0" w:space="0" w:color="231F20"/>
          <w:left w:val="single" w:sz="0" w:space="0" w:color="231F20"/>
          <w:bottom w:val="single" w:sz="0" w:space="3" w:color="231F20"/>
          <w:right w:val="single" w:sz="0" w:space="0" w:color="231F20"/>
        </w:pBdr>
        <w:shd w:val="clear" w:color="auto" w:fill="231F20"/>
        <w:tabs>
          <w:tab w:val="left" w:pos="3341"/>
        </w:tabs>
      </w:pPr>
      <w:bookmarkStart w:id="292" w:name="bookmark292"/>
      <w:bookmarkStart w:id="293" w:name="bookmark293"/>
      <w:bookmarkStart w:id="294" w:name="bookmark294"/>
      <w:r>
        <w:rPr>
          <w:color w:val="FFFFFF"/>
        </w:rPr>
        <w:t>Fármaco</w:t>
      </w:r>
      <w:r>
        <w:rPr>
          <w:color w:val="FFFFFF"/>
        </w:rPr>
        <w:tab/>
        <w:t>Dosis</w:t>
      </w:r>
      <w:bookmarkEnd w:id="292"/>
      <w:bookmarkEnd w:id="293"/>
      <w:bookmarkEnd w:id="294"/>
    </w:p>
    <w:p w14:paraId="27600DFE" w14:textId="77777777" w:rsidR="0072615D" w:rsidRDefault="0072615D">
      <w:pPr>
        <w:spacing w:line="1" w:lineRule="exact"/>
        <w:sectPr w:rsidR="0072615D" w:rsidSect="0072615D">
          <w:headerReference w:type="even" r:id="rId204"/>
          <w:headerReference w:type="default" r:id="rId205"/>
          <w:footerReference w:type="even" r:id="rId206"/>
          <w:footerReference w:type="default" r:id="rId207"/>
          <w:pgSz w:w="8501" w:h="13022"/>
          <w:pgMar w:top="912" w:right="881" w:bottom="490" w:left="742" w:header="0" w:footer="3" w:gutter="0"/>
          <w:pgNumType w:start="68"/>
          <w:cols w:space="720"/>
          <w:noEndnote/>
          <w:docGrid w:linePitch="360"/>
          <w15:footnoteColumns w:val="1"/>
        </w:sectPr>
      </w:pPr>
      <w:r>
        <w:rPr>
          <w:noProof/>
        </w:rPr>
        <mc:AlternateContent>
          <mc:Choice Requires="wps">
            <w:drawing>
              <wp:anchor distT="0" distB="411480" distL="0" distR="0" simplePos="0" relativeHeight="251671552" behindDoc="0" locked="0" layoutInCell="1" allowOverlap="1" wp14:anchorId="5153C957" wp14:editId="16600299">
                <wp:simplePos x="0" y="0"/>
                <wp:positionH relativeFrom="page">
                  <wp:posOffset>507365</wp:posOffset>
                </wp:positionH>
                <wp:positionV relativeFrom="paragraph">
                  <wp:posOffset>0</wp:posOffset>
                </wp:positionV>
                <wp:extent cx="1999615" cy="2538730"/>
                <wp:effectExtent l="0" t="0" r="0" b="0"/>
                <wp:wrapTopAndBottom/>
                <wp:docPr id="182" name="Shape 182"/>
                <wp:cNvGraphicFramePr/>
                <a:graphic xmlns:a="http://schemas.openxmlformats.org/drawingml/2006/main">
                  <a:graphicData uri="http://schemas.microsoft.com/office/word/2010/wordprocessingShape">
                    <wps:wsp>
                      <wps:cNvSpPr txBox="1"/>
                      <wps:spPr>
                        <a:xfrm>
                          <a:off x="0" y="0"/>
                          <a:ext cx="1999615" cy="2538730"/>
                        </a:xfrm>
                        <a:prstGeom prst="rect">
                          <a:avLst/>
                        </a:prstGeom>
                        <a:noFill/>
                      </wps:spPr>
                      <wps:txbx>
                        <w:txbxContent>
                          <w:p w14:paraId="1B5ECC87" w14:textId="77777777" w:rsidR="0072615D" w:rsidRDefault="0072615D">
                            <w:pPr>
                              <w:pStyle w:val="Bodytext20"/>
                            </w:pPr>
                            <w:r>
                              <w:rPr>
                                <w:b/>
                                <w:bCs/>
                              </w:rPr>
                              <w:t>Agentes de bloqueo H (antihistamínicos)</w:t>
                            </w:r>
                          </w:p>
                          <w:p w14:paraId="1ED913AA" w14:textId="77777777" w:rsidR="0072615D" w:rsidRDefault="0072615D">
                            <w:pPr>
                              <w:pStyle w:val="Bodytext20"/>
                              <w:spacing w:after="200"/>
                              <w:ind w:firstLine="300"/>
                              <w:jc w:val="both"/>
                            </w:pPr>
                            <w:r>
                              <w:t>Difenhidramina</w:t>
                            </w:r>
                          </w:p>
                          <w:p w14:paraId="08D41237" w14:textId="77777777" w:rsidR="0072615D" w:rsidRDefault="0072615D">
                            <w:pPr>
                              <w:pStyle w:val="Bodytext20"/>
                              <w:spacing w:after="420"/>
                              <w:ind w:firstLine="300"/>
                              <w:jc w:val="both"/>
                            </w:pPr>
                            <w:r>
                              <w:t>Hidroxicina</w:t>
                            </w:r>
                          </w:p>
                          <w:p w14:paraId="4ACB76F6" w14:textId="77777777" w:rsidR="0072615D" w:rsidRDefault="0072615D">
                            <w:pPr>
                              <w:pStyle w:val="Bodytext20"/>
                              <w:rPr>
                                <w:sz w:val="9"/>
                                <w:szCs w:val="9"/>
                              </w:rPr>
                            </w:pPr>
                            <w:r>
                              <w:rPr>
                                <w:b/>
                                <w:bCs/>
                              </w:rPr>
                              <w:t>Agentes de bloqueo H</w:t>
                            </w:r>
                            <w:r>
                              <w:rPr>
                                <w:b/>
                                <w:bCs/>
                                <w:sz w:val="9"/>
                                <w:szCs w:val="9"/>
                              </w:rPr>
                              <w:t>2</w:t>
                            </w:r>
                          </w:p>
                          <w:p w14:paraId="7A9F90EF" w14:textId="77777777" w:rsidR="0072615D" w:rsidRDefault="0072615D">
                            <w:pPr>
                              <w:pStyle w:val="Bodytext20"/>
                              <w:spacing w:after="200"/>
                              <w:ind w:left="300" w:hanging="300"/>
                            </w:pPr>
                            <w:r>
                              <w:rPr>
                                <w:b/>
                                <w:bCs/>
                              </w:rPr>
                              <w:t xml:space="preserve">(también antihistamínicos) </w:t>
                            </w:r>
                            <w:r>
                              <w:t>Cimetidina</w:t>
                            </w:r>
                          </w:p>
                          <w:p w14:paraId="56880B4C" w14:textId="77777777" w:rsidR="0072615D" w:rsidRDefault="0072615D">
                            <w:pPr>
                              <w:pStyle w:val="Bodytext20"/>
                              <w:spacing w:after="420"/>
                              <w:ind w:firstLine="300"/>
                              <w:jc w:val="both"/>
                            </w:pPr>
                            <w:r>
                              <w:t>Ranitidina</w:t>
                            </w:r>
                          </w:p>
                          <w:p w14:paraId="3C2640CB" w14:textId="77777777" w:rsidR="0072615D" w:rsidRDefault="0072615D">
                            <w:pPr>
                              <w:pStyle w:val="Bodytext20"/>
                            </w:pPr>
                            <w:r>
                              <w:rPr>
                                <w:b/>
                                <w:bCs/>
                              </w:rPr>
                              <w:t>Corticosteroides</w:t>
                            </w:r>
                          </w:p>
                          <w:p w14:paraId="229091F3" w14:textId="77777777" w:rsidR="0072615D" w:rsidRDefault="0072615D">
                            <w:pPr>
                              <w:pStyle w:val="Bodytext20"/>
                              <w:ind w:firstLine="300"/>
                              <w:jc w:val="both"/>
                            </w:pPr>
                            <w:r>
                              <w:t>Hidrocortisona</w:t>
                            </w:r>
                          </w:p>
                          <w:p w14:paraId="1F3BE7D4" w14:textId="77777777" w:rsidR="0072615D" w:rsidRDefault="0072615D">
                            <w:pPr>
                              <w:pStyle w:val="Bodytext20"/>
                              <w:spacing w:after="200"/>
                              <w:ind w:firstLine="300"/>
                              <w:jc w:val="both"/>
                            </w:pPr>
                            <w:r>
                              <w:t>Metilprednisolona</w:t>
                            </w:r>
                          </w:p>
                          <w:p w14:paraId="58396D9B" w14:textId="77777777" w:rsidR="0072615D" w:rsidRDefault="0072615D">
                            <w:pPr>
                              <w:pStyle w:val="Bodytext20"/>
                              <w:spacing w:after="200"/>
                              <w:ind w:firstLine="300"/>
                              <w:jc w:val="both"/>
                            </w:pPr>
                            <w:r>
                              <w:t>Prednisona</w:t>
                            </w:r>
                          </w:p>
                        </w:txbxContent>
                      </wps:txbx>
                      <wps:bodyPr lIns="0" tIns="0" rIns="0" bIns="0"/>
                    </wps:wsp>
                  </a:graphicData>
                </a:graphic>
              </wp:anchor>
            </w:drawing>
          </mc:Choice>
          <mc:Fallback>
            <w:pict>
              <v:shape w14:anchorId="5153C957" id="Shape 182" o:spid="_x0000_s1038" type="#_x0000_t202" style="position:absolute;margin-left:39.95pt;margin-top:0;width:157.45pt;height:199.9pt;z-index:251671552;visibility:visible;mso-wrap-style:square;mso-wrap-distance-left:0;mso-wrap-distance-top:0;mso-wrap-distance-right:0;mso-wrap-distance-bottom:32.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" filled="f" stroked="f">
                <v:textbox inset="0,0,0,0">
                  <w:txbxContent>
                    <w:p w14:paraId="1B5ECC87" w14:textId="77777777" w:rsidR="0072615D" w:rsidRDefault="0072615D">
                      <w:pPr>
                        <w:pStyle w:val="Bodytext20"/>
                      </w:pPr>
                      <w:r>
                        <w:rPr>
                          <w:b/>
                          <w:bCs/>
                        </w:rPr>
                        <w:t>Agentes de bloqueo H (antihistamínicos)</w:t>
                      </w:r>
                    </w:p>
                    <w:p w14:paraId="1ED913AA" w14:textId="77777777" w:rsidR="0072615D" w:rsidRDefault="0072615D">
                      <w:pPr>
                        <w:pStyle w:val="Bodytext20"/>
                        <w:spacing w:after="200"/>
                        <w:ind w:firstLine="300"/>
                        <w:jc w:val="both"/>
                      </w:pPr>
                      <w:r>
                        <w:t>Difenhidramina</w:t>
                      </w:r>
                    </w:p>
                    <w:p w14:paraId="08D41237" w14:textId="77777777" w:rsidR="0072615D" w:rsidRDefault="0072615D">
                      <w:pPr>
                        <w:pStyle w:val="Bodytext20"/>
                        <w:spacing w:after="420"/>
                        <w:ind w:firstLine="300"/>
                        <w:jc w:val="both"/>
                      </w:pPr>
                      <w:r>
                        <w:t>Hidroxicina</w:t>
                      </w:r>
                    </w:p>
                    <w:p w14:paraId="4ACB76F6" w14:textId="77777777" w:rsidR="0072615D" w:rsidRDefault="0072615D">
                      <w:pPr>
                        <w:pStyle w:val="Bodytext20"/>
                        <w:rPr>
                          <w:sz w:val="9"/>
                          <w:szCs w:val="9"/>
                        </w:rPr>
                      </w:pPr>
                      <w:r>
                        <w:rPr>
                          <w:b/>
                          <w:bCs/>
                        </w:rPr>
                        <w:t>Agentes de bloqueo H</w:t>
                      </w:r>
                      <w:r>
                        <w:rPr>
                          <w:b/>
                          <w:bCs/>
                          <w:sz w:val="9"/>
                          <w:szCs w:val="9"/>
                        </w:rPr>
                        <w:t>2</w:t>
                      </w:r>
                    </w:p>
                    <w:p w14:paraId="7A9F90EF" w14:textId="77777777" w:rsidR="0072615D" w:rsidRDefault="0072615D">
                      <w:pPr>
                        <w:pStyle w:val="Bodytext20"/>
                        <w:spacing w:after="200"/>
                        <w:ind w:left="300" w:hanging="300"/>
                      </w:pPr>
                      <w:r>
                        <w:rPr>
                          <w:b/>
                          <w:bCs/>
                        </w:rPr>
                        <w:t xml:space="preserve">(también antihistamínicos) </w:t>
                      </w:r>
                      <w:r>
                        <w:t>Cimetidina</w:t>
                      </w:r>
                    </w:p>
                    <w:p w14:paraId="56880B4C" w14:textId="77777777" w:rsidR="0072615D" w:rsidRDefault="0072615D">
                      <w:pPr>
                        <w:pStyle w:val="Bodytext20"/>
                        <w:spacing w:after="420"/>
                        <w:ind w:firstLine="300"/>
                        <w:jc w:val="both"/>
                      </w:pPr>
                      <w:r>
                        <w:t>Ranitidina</w:t>
                      </w:r>
                    </w:p>
                    <w:p w14:paraId="3C2640CB" w14:textId="77777777" w:rsidR="0072615D" w:rsidRDefault="0072615D">
                      <w:pPr>
                        <w:pStyle w:val="Bodytext20"/>
                      </w:pPr>
                      <w:r>
                        <w:rPr>
                          <w:b/>
                          <w:bCs/>
                        </w:rPr>
                        <w:t>Corticosteroides</w:t>
                      </w:r>
                    </w:p>
                    <w:p w14:paraId="229091F3" w14:textId="77777777" w:rsidR="0072615D" w:rsidRDefault="0072615D">
                      <w:pPr>
                        <w:pStyle w:val="Bodytext20"/>
                        <w:ind w:firstLine="300"/>
                        <w:jc w:val="both"/>
                      </w:pPr>
                      <w:r>
                        <w:t>Hidrocortisona</w:t>
                      </w:r>
                    </w:p>
                    <w:p w14:paraId="1F3BE7D4" w14:textId="77777777" w:rsidR="0072615D" w:rsidRDefault="0072615D">
                      <w:pPr>
                        <w:pStyle w:val="Bodytext20"/>
                        <w:spacing w:after="200"/>
                        <w:ind w:firstLine="300"/>
                        <w:jc w:val="both"/>
                      </w:pPr>
                      <w:r>
                        <w:t>Metilprednisolona</w:t>
                      </w:r>
                    </w:p>
                    <w:p w14:paraId="58396D9B" w14:textId="77777777" w:rsidR="0072615D" w:rsidRDefault="0072615D">
                      <w:pPr>
                        <w:pStyle w:val="Bodytext20"/>
                        <w:spacing w:after="200"/>
                        <w:ind w:firstLine="300"/>
                        <w:jc w:val="both"/>
                      </w:pPr>
                      <w:r>
                        <w:t>Prednisona</w:t>
                      </w:r>
                    </w:p>
                  </w:txbxContent>
                </v:textbox>
                <w10:wrap type="topAndBottom" anchorx="page"/>
              </v:shape>
            </w:pict>
          </mc:Fallback>
        </mc:AlternateContent>
      </w:r>
      <w:r>
        <w:rPr>
          <w:noProof/>
        </w:rPr>
        <mc:AlternateContent>
          <mc:Choice Requires="wps">
            <w:drawing>
              <wp:anchor distT="161290" distB="2221865" distL="0" distR="0" simplePos="0" relativeHeight="251672576" behindDoc="0" locked="0" layoutInCell="1" allowOverlap="1" wp14:anchorId="7C5061F3" wp14:editId="32CA9439">
                <wp:simplePos x="0" y="0"/>
                <wp:positionH relativeFrom="page">
                  <wp:posOffset>2640965</wp:posOffset>
                </wp:positionH>
                <wp:positionV relativeFrom="paragraph">
                  <wp:posOffset>161290</wp:posOffset>
                </wp:positionV>
                <wp:extent cx="1993265" cy="567055"/>
                <wp:effectExtent l="0" t="0" r="0" b="0"/>
                <wp:wrapTopAndBottom/>
                <wp:docPr id="184" name="Shape 184"/>
                <wp:cNvGraphicFramePr/>
                <a:graphic xmlns:a="http://schemas.openxmlformats.org/drawingml/2006/main">
                  <a:graphicData uri="http://schemas.microsoft.com/office/word/2010/wordprocessingShape">
                    <wps:wsp>
                      <wps:cNvSpPr txBox="1"/>
                      <wps:spPr>
                        <a:xfrm>
                          <a:off x="0" y="0"/>
                          <a:ext cx="1993265" cy="567055"/>
                        </a:xfrm>
                        <a:prstGeom prst="rect">
                          <a:avLst/>
                        </a:prstGeom>
                        <a:noFill/>
                      </wps:spPr>
                      <wps:txbx>
                        <w:txbxContent>
                          <w:p w14:paraId="517B880B" w14:textId="77777777" w:rsidR="0072615D" w:rsidRDefault="0072615D">
                            <w:pPr>
                              <w:pStyle w:val="Bodytext20"/>
                              <w:ind w:left="360" w:hanging="360"/>
                            </w:pPr>
                            <w:r>
                              <w:t>Oral, IM, IV: 1-2 mg/kg de peso cada 4-6 h (dosis única máxima, 100 mg)</w:t>
                            </w:r>
                          </w:p>
                          <w:p w14:paraId="0B1EE870" w14:textId="77777777" w:rsidR="0072615D" w:rsidRDefault="0072615D">
                            <w:pPr>
                              <w:pStyle w:val="Bodytext20"/>
                              <w:ind w:left="360" w:hanging="360"/>
                            </w:pPr>
                            <w:r>
                              <w:t>Oral, IM: 0.5-1 mg/kg de peso cada 4-6 h (dosis única máxima, 100 mg)</w:t>
                            </w:r>
                          </w:p>
                        </w:txbxContent>
                      </wps:txbx>
                      <wps:bodyPr lIns="0" tIns="0" rIns="0" bIns="0"/>
                    </wps:wsp>
                  </a:graphicData>
                </a:graphic>
              </wp:anchor>
            </w:drawing>
          </mc:Choice>
          <mc:Fallback>
            <w:pict>
              <v:shape w14:anchorId="7C5061F3" id="Shape 184" o:spid="_x0000_s1039" type="#_x0000_t202" style="position:absolute;margin-left:207.95pt;margin-top:12.7pt;width:156.95pt;height:44.65pt;z-index:251672576;visibility:visible;mso-wrap-style:square;mso-wrap-distance-left:0;mso-wrap-distance-top:12.7pt;mso-wrap-distance-right:0;mso-wrap-distance-bottom:174.9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" filled="f" stroked="f">
                <v:textbox inset="0,0,0,0">
                  <w:txbxContent>
                    <w:p w14:paraId="517B880B" w14:textId="77777777" w:rsidR="0072615D" w:rsidRDefault="0072615D">
                      <w:pPr>
                        <w:pStyle w:val="Bodytext20"/>
                        <w:ind w:left="360" w:hanging="360"/>
                      </w:pPr>
                      <w:r>
                        <w:t>Oral, IM, IV: 1-2 mg/kg de peso cada 4-6 h (dosis única máxima, 100 mg)</w:t>
                      </w:r>
                    </w:p>
                    <w:p w14:paraId="0B1EE870" w14:textId="77777777" w:rsidR="0072615D" w:rsidRDefault="0072615D">
                      <w:pPr>
                        <w:pStyle w:val="Bodytext20"/>
                        <w:ind w:left="360" w:hanging="360"/>
                      </w:pPr>
                      <w:r>
                        <w:t>Oral, IM: 0.5-1 mg/kg de peso cada 4-6 h (dosis única máxima, 100 mg)</w:t>
                      </w:r>
                    </w:p>
                  </w:txbxContent>
                </v:textbox>
                <w10:wrap type="topAndBottom" anchorx="page"/>
              </v:shape>
            </w:pict>
          </mc:Fallback>
        </mc:AlternateContent>
      </w:r>
      <w:r>
        <w:rPr>
          <w:noProof/>
        </w:rPr>
        <mc:AlternateContent>
          <mc:Choice Requires="wps">
            <w:drawing>
              <wp:anchor distT="1149350" distB="0" distL="0" distR="0" simplePos="0" relativeHeight="251673600" behindDoc="0" locked="0" layoutInCell="1" allowOverlap="1" wp14:anchorId="20A52CBF" wp14:editId="7BB24D49">
                <wp:simplePos x="0" y="0"/>
                <wp:positionH relativeFrom="page">
                  <wp:posOffset>2640965</wp:posOffset>
                </wp:positionH>
                <wp:positionV relativeFrom="paragraph">
                  <wp:posOffset>1149350</wp:posOffset>
                </wp:positionV>
                <wp:extent cx="2118360" cy="1801495"/>
                <wp:effectExtent l="0" t="0" r="0" b="0"/>
                <wp:wrapTopAndBottom/>
                <wp:docPr id="186" name="Shape 186"/>
                <wp:cNvGraphicFramePr/>
                <a:graphic xmlns:a="http://schemas.openxmlformats.org/drawingml/2006/main">
                  <a:graphicData uri="http://schemas.microsoft.com/office/word/2010/wordprocessingShape">
                    <wps:wsp>
                      <wps:cNvSpPr txBox="1"/>
                      <wps:spPr>
                        <a:xfrm>
                          <a:off x="0" y="0"/>
                          <a:ext cx="2118360" cy="1801495"/>
                        </a:xfrm>
                        <a:prstGeom prst="rect">
                          <a:avLst/>
                        </a:prstGeom>
                        <a:noFill/>
                      </wps:spPr>
                      <wps:txbx>
                        <w:txbxContent>
                          <w:p w14:paraId="7B1EE105" w14:textId="77777777" w:rsidR="0072615D" w:rsidRDefault="0072615D">
                            <w:pPr>
                              <w:pStyle w:val="Bodytext20"/>
                              <w:ind w:left="360" w:hanging="360"/>
                            </w:pPr>
                            <w:r>
                              <w:t>IV: 5 mg/kg de peso lentamente en 15 min, cada 6-8 h (dosis única máxima, 300 mg)</w:t>
                            </w:r>
                          </w:p>
                          <w:p w14:paraId="6AAB7466" w14:textId="77777777" w:rsidR="0072615D" w:rsidRDefault="0072615D">
                            <w:pPr>
                              <w:pStyle w:val="Bodytext20"/>
                              <w:spacing w:after="420"/>
                              <w:ind w:left="360" w:hanging="360"/>
                            </w:pPr>
                            <w:r>
                              <w:t>IV: 1 mg/kg de peso, lentamente en 15 min, cada 6-8 h (dosis única máxima, 50 mg)</w:t>
                            </w:r>
                          </w:p>
                          <w:p w14:paraId="4E9D695C" w14:textId="77777777" w:rsidR="0072615D" w:rsidRDefault="0072615D">
                            <w:pPr>
                              <w:pStyle w:val="Bodytext20"/>
                            </w:pPr>
                            <w:r>
                              <w:t>IV: 100-200 mg, cada 4-6 h</w:t>
                            </w:r>
                          </w:p>
                          <w:p w14:paraId="07DFD561" w14:textId="77777777" w:rsidR="0072615D" w:rsidRDefault="0072615D">
                            <w:pPr>
                              <w:pStyle w:val="Bodytext20"/>
                              <w:ind w:left="360" w:hanging="360"/>
                            </w:pPr>
                            <w:r>
                              <w:t>IV: 1.5-2 mg/kg cada 4-6 h (dosis única máxima, 60 mg)</w:t>
                            </w:r>
                          </w:p>
                          <w:p w14:paraId="31098D62" w14:textId="77777777" w:rsidR="0072615D" w:rsidRDefault="0072615D">
                            <w:pPr>
                              <w:pStyle w:val="Bodytext20"/>
                              <w:ind w:left="360" w:hanging="360"/>
                            </w:pPr>
                            <w:r>
                              <w:t>Oral: dosis matinal única, 1.5-2 mg/kg de peso (dosis única máxima, 60 mg); utilizar los corticosteroides todo el tiempo que sean necesarios</w:t>
                            </w:r>
                          </w:p>
                        </w:txbxContent>
                      </wps:txbx>
                      <wps:bodyPr lIns="0" tIns="0" rIns="0" bIns="0"/>
                    </wps:wsp>
                  </a:graphicData>
                </a:graphic>
              </wp:anchor>
            </w:drawing>
          </mc:Choice>
          <mc:Fallback>
            <w:pict>
              <v:shape w14:anchorId="20A52CBF" id="Shape 186" o:spid="_x0000_s1040" type="#_x0000_t202" style="position:absolute;margin-left:207.95pt;margin-top:90.5pt;width:166.8pt;height:141.85pt;z-index:251673600;visibility:visible;mso-wrap-style:square;mso-wrap-distance-left:0;mso-wrap-distance-top:90.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" filled="f" stroked="f">
                <v:textbox inset="0,0,0,0">
                  <w:txbxContent>
                    <w:p w14:paraId="7B1EE105" w14:textId="77777777" w:rsidR="0072615D" w:rsidRDefault="0072615D">
                      <w:pPr>
                        <w:pStyle w:val="Bodytext20"/>
                        <w:ind w:left="360" w:hanging="360"/>
                      </w:pPr>
                      <w:r>
                        <w:t>IV: 5 mg/kg de peso lentamente en 15 min, cada 6-8 h (dosis única máxima, 300 mg)</w:t>
                      </w:r>
                    </w:p>
                    <w:p w14:paraId="6AAB7466" w14:textId="77777777" w:rsidR="0072615D" w:rsidRDefault="0072615D">
                      <w:pPr>
                        <w:pStyle w:val="Bodytext20"/>
                        <w:spacing w:after="420"/>
                        <w:ind w:left="360" w:hanging="360"/>
                      </w:pPr>
                      <w:r>
                        <w:t>IV: 1 mg/kg de peso, lentamente en 15 min, cada 6-8 h (dosis única máxima, 50 mg)</w:t>
                      </w:r>
                    </w:p>
                    <w:p w14:paraId="4E9D695C" w14:textId="77777777" w:rsidR="0072615D" w:rsidRDefault="0072615D">
                      <w:pPr>
                        <w:pStyle w:val="Bodytext20"/>
                      </w:pPr>
                      <w:r>
                        <w:t>IV: 100-200 mg, cada 4-6 h</w:t>
                      </w:r>
                    </w:p>
                    <w:p w14:paraId="07DFD561" w14:textId="77777777" w:rsidR="0072615D" w:rsidRDefault="0072615D">
                      <w:pPr>
                        <w:pStyle w:val="Bodytext20"/>
                        <w:ind w:left="360" w:hanging="360"/>
                      </w:pPr>
                      <w:r>
                        <w:t>IV: 1.5-2 mg/kg cada 4-6 h (dosis única máxima, 60 mg)</w:t>
                      </w:r>
                    </w:p>
                    <w:p w14:paraId="31098D62" w14:textId="77777777" w:rsidR="0072615D" w:rsidRDefault="0072615D">
                      <w:pPr>
                        <w:pStyle w:val="Bodytext20"/>
                        <w:ind w:left="360" w:hanging="360"/>
                      </w:pPr>
                      <w:r>
                        <w:t>Oral: dosis matinal única, 1.5-2 mg/kg de peso (dosis única máxima, 60 mg); utilizar los corticosteroides todo el tiempo que sean necesarios</w:t>
                      </w:r>
                    </w:p>
                  </w:txbxContent>
                </v:textbox>
                <w10:wrap type="topAndBottom" anchorx="page"/>
              </v:shape>
            </w:pict>
          </mc:Fallback>
        </mc:AlternateContent>
      </w:r>
    </w:p>
    <w:p w14:paraId="2B0599BF" w14:textId="77777777" w:rsidR="0072615D" w:rsidRDefault="0072615D">
      <w:pPr>
        <w:spacing w:line="41" w:lineRule="exact"/>
        <w:rPr>
          <w:sz w:val="3"/>
          <w:szCs w:val="3"/>
        </w:rPr>
      </w:pPr>
    </w:p>
    <w:p w14:paraId="10E81160" w14:textId="77777777" w:rsidR="0072615D" w:rsidRDefault="0072615D">
      <w:pPr>
        <w:spacing w:line="1" w:lineRule="exact"/>
        <w:sectPr w:rsidR="0072615D" w:rsidSect="0072615D">
          <w:type w:val="continuous"/>
          <w:pgSz w:w="8501" w:h="13022"/>
          <w:pgMar w:top="912" w:right="0" w:bottom="528" w:left="0" w:header="0" w:footer="3" w:gutter="0"/>
          <w:cols w:space="720"/>
          <w:noEndnote/>
          <w:docGrid w:linePitch="360"/>
          <w15:footnoteColumns w:val="1"/>
        </w:sectPr>
      </w:pPr>
    </w:p>
    <w:p w14:paraId="31EF5350" w14:textId="77777777" w:rsidR="0072615D" w:rsidRDefault="0072615D">
      <w:pPr>
        <w:spacing w:line="1" w:lineRule="exact"/>
      </w:pPr>
      <w:r>
        <w:rPr>
          <w:noProof/>
        </w:rPr>
        <mc:AlternateContent>
          <mc:Choice Requires="wps">
            <w:drawing>
              <wp:anchor distT="0" distB="1240790" distL="114300" distR="114300" simplePos="0" relativeHeight="251674624" behindDoc="0" locked="0" layoutInCell="1" allowOverlap="1" wp14:anchorId="024BE8AD" wp14:editId="3529F1C4">
                <wp:simplePos x="0" y="0"/>
                <wp:positionH relativeFrom="page">
                  <wp:posOffset>507365</wp:posOffset>
                </wp:positionH>
                <wp:positionV relativeFrom="paragraph">
                  <wp:posOffset>12700</wp:posOffset>
                </wp:positionV>
                <wp:extent cx="753110" cy="304800"/>
                <wp:effectExtent l="0" t="0" r="0" b="0"/>
                <wp:wrapSquare wrapText="bothSides"/>
                <wp:docPr id="188" name="Shape 188"/>
                <wp:cNvGraphicFramePr/>
                <a:graphic xmlns:a="http://schemas.openxmlformats.org/drawingml/2006/main">
                  <a:graphicData uri="http://schemas.microsoft.com/office/word/2010/wordprocessingShape">
                    <wps:wsp>
                      <wps:cNvSpPr txBox="1"/>
                      <wps:spPr>
                        <a:xfrm>
                          <a:off x="0" y="0"/>
                          <a:ext cx="753110" cy="304800"/>
                        </a:xfrm>
                        <a:prstGeom prst="rect">
                          <a:avLst/>
                        </a:prstGeom>
                        <a:noFill/>
                      </wps:spPr>
                      <wps:txbx>
                        <w:txbxContent>
                          <w:p w14:paraId="46645065" w14:textId="77777777" w:rsidR="0072615D" w:rsidRDefault="0072615D">
                            <w:pPr>
                              <w:pStyle w:val="Bodytext20"/>
                              <w:spacing w:after="40" w:line="240" w:lineRule="auto"/>
                              <w:jc w:val="center"/>
                            </w:pPr>
                            <w:r>
                              <w:rPr>
                                <w:b/>
                                <w:bCs/>
                              </w:rPr>
                              <w:t>Agonistas beta</w:t>
                            </w:r>
                            <w:r>
                              <w:rPr>
                                <w:b/>
                                <w:bCs/>
                                <w:vertAlign w:val="subscript"/>
                              </w:rPr>
                              <w:t>2</w:t>
                            </w:r>
                          </w:p>
                          <w:p w14:paraId="116CFBF9" w14:textId="77777777" w:rsidR="0072615D" w:rsidRDefault="0072615D">
                            <w:pPr>
                              <w:pStyle w:val="Bodytext20"/>
                              <w:spacing w:line="240" w:lineRule="auto"/>
                              <w:jc w:val="center"/>
                            </w:pPr>
                            <w:r>
                              <w:t>Albuterol</w:t>
                            </w:r>
                          </w:p>
                        </w:txbxContent>
                      </wps:txbx>
                      <wps:bodyPr lIns="0" tIns="0" rIns="0" bIns="0"/>
                    </wps:wsp>
                  </a:graphicData>
                </a:graphic>
              </wp:anchor>
            </w:drawing>
          </mc:Choice>
          <mc:Fallback>
            <w:pict>
              <v:shape w14:anchorId="024BE8AD" id="Shape 188" o:spid="_x0000_s1041" type="#_x0000_t202" style="position:absolute;margin-left:39.95pt;margin-top:1pt;width:59.3pt;height:24pt;z-index:251674624;visibility:visible;mso-wrap-style:square;mso-wrap-distance-left:9pt;mso-wrap-distance-top:0;mso-wrap-distance-right:9pt;mso-wrap-distance-bottom:97.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" filled="f" stroked="f">
                <v:textbox inset="0,0,0,0">
                  <w:txbxContent>
                    <w:p w14:paraId="46645065" w14:textId="77777777" w:rsidR="0072615D" w:rsidRDefault="0072615D">
                      <w:pPr>
                        <w:pStyle w:val="Bodytext20"/>
                        <w:spacing w:after="40" w:line="240" w:lineRule="auto"/>
                        <w:jc w:val="center"/>
                      </w:pPr>
                      <w:r>
                        <w:rPr>
                          <w:b/>
                          <w:bCs/>
                        </w:rPr>
                        <w:t>Agonistas beta</w:t>
                      </w:r>
                      <w:r>
                        <w:rPr>
                          <w:b/>
                          <w:bCs/>
                          <w:vertAlign w:val="subscript"/>
                        </w:rPr>
                        <w:t>2</w:t>
                      </w:r>
                    </w:p>
                    <w:p w14:paraId="116CFBF9" w14:textId="77777777" w:rsidR="0072615D" w:rsidRDefault="0072615D">
                      <w:pPr>
                        <w:pStyle w:val="Bodytext20"/>
                        <w:spacing w:line="240" w:lineRule="auto"/>
                        <w:jc w:val="center"/>
                      </w:pPr>
                      <w:r>
                        <w:t>Albuterol</w:t>
                      </w:r>
                    </w:p>
                  </w:txbxContent>
                </v:textbox>
                <w10:wrap type="square" anchorx="page"/>
              </v:shape>
            </w:pict>
          </mc:Fallback>
        </mc:AlternateContent>
      </w:r>
      <w:r>
        <w:rPr>
          <w:noProof/>
        </w:rPr>
        <mc:AlternateContent>
          <mc:Choice Requires="wps">
            <w:drawing>
              <wp:anchor distT="1261745" distB="635" distL="123190" distR="175895" simplePos="0" relativeHeight="251675648" behindDoc="0" locked="0" layoutInCell="1" allowOverlap="1" wp14:anchorId="252CB989" wp14:editId="3FD67245">
                <wp:simplePos x="0" y="0"/>
                <wp:positionH relativeFrom="page">
                  <wp:posOffset>516255</wp:posOffset>
                </wp:positionH>
                <wp:positionV relativeFrom="paragraph">
                  <wp:posOffset>1274445</wp:posOffset>
                </wp:positionV>
                <wp:extent cx="682625" cy="283210"/>
                <wp:effectExtent l="0" t="0" r="0" b="0"/>
                <wp:wrapSquare wrapText="bothSides"/>
                <wp:docPr id="190" name="Shape 190"/>
                <wp:cNvGraphicFramePr/>
                <a:graphic xmlns:a="http://schemas.openxmlformats.org/drawingml/2006/main">
                  <a:graphicData uri="http://schemas.microsoft.com/office/word/2010/wordprocessingShape">
                    <wps:wsp>
                      <wps:cNvSpPr txBox="1"/>
                      <wps:spPr>
                        <a:xfrm>
                          <a:off x="0" y="0"/>
                          <a:ext cx="682625" cy="283210"/>
                        </a:xfrm>
                        <a:prstGeom prst="rect">
                          <a:avLst/>
                        </a:prstGeom>
                        <a:noFill/>
                      </wps:spPr>
                      <wps:txbx>
                        <w:txbxContent>
                          <w:p w14:paraId="556261D1" w14:textId="77777777" w:rsidR="0072615D" w:rsidRDefault="0072615D">
                            <w:pPr>
                              <w:pStyle w:val="Bodytext20"/>
                              <w:spacing w:line="240" w:lineRule="auto"/>
                            </w:pPr>
                            <w:r>
                              <w:rPr>
                                <w:b/>
                                <w:bCs/>
                              </w:rPr>
                              <w:t>Otros</w:t>
                            </w:r>
                          </w:p>
                          <w:p w14:paraId="3A4F7D72" w14:textId="77777777" w:rsidR="0072615D" w:rsidRDefault="0072615D">
                            <w:pPr>
                              <w:pStyle w:val="Bodytext20"/>
                              <w:spacing w:line="240" w:lineRule="auto"/>
                              <w:ind w:firstLine="300"/>
                              <w:jc w:val="both"/>
                            </w:pPr>
                            <w:r>
                              <w:t>Dopamina</w:t>
                            </w:r>
                          </w:p>
                        </w:txbxContent>
                      </wps:txbx>
                      <wps:bodyPr lIns="0" tIns="0" rIns="0" bIns="0"/>
                    </wps:wsp>
                  </a:graphicData>
                </a:graphic>
              </wp:anchor>
            </w:drawing>
          </mc:Choice>
          <mc:Fallback>
            <w:pict>
              <v:shape w14:anchorId="252CB989" id="Shape 190" o:spid="_x0000_s1042" type="#_x0000_t202" style="position:absolute;margin-left:40.65pt;margin-top:100.35pt;width:53.75pt;height:22.3pt;z-index:251675648;visibility:visible;mso-wrap-style:square;mso-wrap-distance-left:9.7pt;mso-wrap-distance-top:99.35pt;mso-wrap-distance-right:13.85pt;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" filled="f" stroked="f">
                <v:textbox inset="0,0,0,0">
                  <w:txbxContent>
                    <w:p w14:paraId="556261D1" w14:textId="77777777" w:rsidR="0072615D" w:rsidRDefault="0072615D">
                      <w:pPr>
                        <w:pStyle w:val="Bodytext20"/>
                        <w:spacing w:line="240" w:lineRule="auto"/>
                      </w:pPr>
                      <w:r>
                        <w:rPr>
                          <w:b/>
                          <w:bCs/>
                        </w:rPr>
                        <w:t>Otros</w:t>
                      </w:r>
                    </w:p>
                    <w:p w14:paraId="3A4F7D72" w14:textId="77777777" w:rsidR="0072615D" w:rsidRDefault="0072615D">
                      <w:pPr>
                        <w:pStyle w:val="Bodytext20"/>
                        <w:spacing w:line="240" w:lineRule="auto"/>
                        <w:ind w:firstLine="300"/>
                        <w:jc w:val="both"/>
                      </w:pPr>
                      <w:r>
                        <w:t>Dopamina</w:t>
                      </w:r>
                    </w:p>
                  </w:txbxContent>
                </v:textbox>
                <w10:wrap type="square" anchorx="page"/>
              </v:shape>
            </w:pict>
          </mc:Fallback>
        </mc:AlternateContent>
      </w:r>
    </w:p>
    <w:p w14:paraId="455BE9D2" w14:textId="77777777" w:rsidR="0072615D" w:rsidRDefault="0072615D">
      <w:pPr>
        <w:pStyle w:val="Bodytext20"/>
        <w:spacing w:after="420"/>
        <w:ind w:left="2340" w:hanging="340"/>
      </w:pPr>
      <w:r>
        <w:t>Solución de nebulizador: 0.5% (5 mg/ml), 0.05-0.15 mg/kg por dosis en 2 a 3 ml de solución isotónica de cloruro de sodio, hasta un máximo de 5.0 mg por dosis cada 20 min durante 1 a 2 h o 0.5 mg/kg/h por nebulización continua (15 mg/h, dosis máxima)</w:t>
      </w:r>
    </w:p>
    <w:p w14:paraId="7225FB3F" w14:textId="77777777" w:rsidR="0072615D" w:rsidRDefault="0072615D">
      <w:pPr>
        <w:pStyle w:val="Bodytext20"/>
        <w:pBdr>
          <w:bottom w:val="single" w:sz="4" w:space="0" w:color="auto"/>
        </w:pBdr>
        <w:spacing w:after="180"/>
        <w:ind w:left="2000"/>
      </w:pPr>
      <w:r>
        <w:t>IV: 5-20 pg/kg/min. La mezcla de 150 mg de dopamina con 250 ml de soluciones salina o glucosada al 5% en agua originará una solución que si se introduce con un ritmo de 1 ml/kg/h, hará que el paciente reciba 10 pg/kg/min. La solución no deberá contener bicarbonato, que puede inactivar la dopamina</w:t>
      </w:r>
    </w:p>
    <w:p w14:paraId="3624978C" w14:textId="77777777" w:rsidR="0072615D" w:rsidRDefault="0072615D">
      <w:pPr>
        <w:pStyle w:val="Bodytext20"/>
        <w:spacing w:after="300" w:line="240" w:lineRule="auto"/>
        <w:ind w:hanging="560"/>
        <w:rPr>
          <w:sz w:val="15"/>
          <w:szCs w:val="15"/>
        </w:rPr>
        <w:sectPr w:rsidR="0072615D" w:rsidSect="0072615D">
          <w:footnotePr>
            <w:numFmt w:val="chicago"/>
          </w:footnotePr>
          <w:type w:val="continuous"/>
          <w:pgSz w:w="8501" w:h="13022"/>
          <w:pgMar w:top="912" w:right="646" w:bottom="528" w:left="981" w:header="0" w:footer="3" w:gutter="0"/>
          <w:cols w:space="720"/>
          <w:noEndnote/>
          <w:docGrid w:linePitch="360"/>
          <w15:footnoteColumns w:val="1"/>
        </w:sectPr>
      </w:pPr>
      <w:r>
        <w:rPr>
          <w:sz w:val="15"/>
          <w:szCs w:val="15"/>
        </w:rPr>
        <w:t>Oral, por la boca; IM, intramuscular; IV, intravenosa.</w:t>
      </w:r>
    </w:p>
    <w:p w14:paraId="34D6B2D9" w14:textId="77777777" w:rsidR="0072615D" w:rsidRDefault="0072615D">
      <w:pPr>
        <w:pStyle w:val="Bodytext100"/>
        <w:spacing w:after="0" w:line="334" w:lineRule="auto"/>
      </w:pPr>
      <w:r>
        <w:rPr>
          <w:sz w:val="34"/>
          <w:szCs w:val="34"/>
          <w:shd w:val="clear" w:color="auto" w:fill="FFFFFF"/>
        </w:rPr>
        <w:t>V</w:t>
      </w:r>
      <w:r>
        <w:rPr>
          <w:shd w:val="clear" w:color="auto" w:fill="FFFFFF"/>
        </w:rPr>
        <w:t>acunaciones en circunstancias</w:t>
      </w:r>
    </w:p>
    <w:p w14:paraId="2B97F245" w14:textId="77777777" w:rsidR="0072615D" w:rsidRDefault="0072615D">
      <w:pPr>
        <w:pStyle w:val="Other0"/>
        <w:spacing w:line="334" w:lineRule="auto"/>
        <w:ind w:firstLine="0"/>
        <w:jc w:val="center"/>
        <w:rPr>
          <w:sz w:val="26"/>
          <w:szCs w:val="26"/>
        </w:rPr>
      </w:pPr>
      <w:r>
        <w:rPr>
          <w:rFonts w:ascii="Times New Roman" w:eastAsia="Times New Roman" w:hAnsi="Times New Roman" w:cs="Times New Roman"/>
          <w:sz w:val="26"/>
          <w:szCs w:val="26"/>
        </w:rPr>
        <w:t>CLÍNICAS ESPECIALES</w:t>
      </w:r>
    </w:p>
    <w:p w14:paraId="7F3606D2" w14:textId="77777777" w:rsidR="0072615D" w:rsidRDefault="0072615D">
      <w:pPr>
        <w:pStyle w:val="Bodytext70"/>
        <w:spacing w:after="120" w:line="314" w:lineRule="auto"/>
      </w:pPr>
      <w:r>
        <w:t>Productos pretérmino y de bajo peso neonatal</w:t>
      </w:r>
      <w:r>
        <w:footnoteReference w:id="23"/>
      </w:r>
    </w:p>
    <w:p w14:paraId="56B0AA9D" w14:textId="77777777" w:rsidR="0072615D" w:rsidRDefault="0072615D">
      <w:pPr>
        <w:pStyle w:val="BodyText"/>
        <w:ind w:firstLine="0"/>
      </w:pPr>
      <w:r>
        <w:t>Los productos que han nacido antes de las 37 semanas de gestación y los que tienen bajo peso (menos de 2 500 g), con unas cuantas excepciones, sistemáticamente deben recibir todas las vacunas en la misma edad cronológica que los productos a término. La edad gestacional y el peso natal no son factores limitantes cuando se decide si hay que aplicar con base en el calendario vacunas a un prematuro clínicamente estable. Los estudios han indicado disminución de las respuestas inmunitarias a algunas vacunas aplicadas a productos de bajísimo peso (&lt;1 500 g), peso extraordinariamente bajo (&lt;1 000 g) o edad gestacional muy temprana (&lt;29 semanas), pero casi todos los productos pretérmino generan suficientes anticuerpos inducidos por la vacuna como para evitar enfermedades. Es importante no disminuir la dosis ni fraccionar las vacunas que se aplican normalmente a los productos a término cuando se administren en productos pretérmino y de bajo peso neonatal.</w:t>
      </w:r>
    </w:p>
    <w:p w14:paraId="528E1A7B" w14:textId="77777777" w:rsidR="0072615D" w:rsidRDefault="0072615D">
      <w:pPr>
        <w:pStyle w:val="BodyText"/>
        <w:ind w:firstLine="360"/>
      </w:pPr>
      <w:r>
        <w:t xml:space="preserve">Los productos pretérmino y de bajo peso neonatal toleran casi todas las vacunas propias de la infancia, de la misma forma que lo hacen los productos a término. Después de utilizar vacunas contra tos ferina, con productos acelulares en un reducido número de recién nacidos de muy bajo peso neonatal no se ha informado de la aparición de apnea, que según algunos señalamientos surgía en tales pequeños es decir, que tenían menos de 31 semanas de gestación, después de utilizar la vacuna con toxoides de difteria y tétanos y microorganismos completos de tos ferina </w:t>
      </w:r>
      <w:r>
        <w:rPr>
          <w:i/>
          <w:iCs/>
        </w:rPr>
        <w:t>(</w:t>
      </w:r>
      <w:r>
        <w:rPr>
          <w:rFonts w:ascii="Times New Roman" w:eastAsia="Times New Roman" w:hAnsi="Times New Roman" w:cs="Times New Roman"/>
          <w:i/>
          <w:iCs/>
          <w:sz w:val="16"/>
          <w:szCs w:val="16"/>
        </w:rPr>
        <w:t>diphtheria and tetanus toxoids and whole-cell pertussis</w:t>
      </w:r>
      <w:r>
        <w:rPr>
          <w:i/>
          <w:iCs/>
        </w:rPr>
        <w:t>,</w:t>
      </w:r>
      <w:r>
        <w:t xml:space="preserve"> DTwP). Sin embargo, según algunos señalamientos los productos pretérmino que han recibido vacuna de conjugado neumocócico heptavalente </w:t>
      </w:r>
      <w:r>
        <w:rPr>
          <w:i/>
          <w:iCs/>
        </w:rPr>
        <w:t>(</w:t>
      </w:r>
      <w:r>
        <w:rPr>
          <w:rFonts w:ascii="Times New Roman" w:eastAsia="Times New Roman" w:hAnsi="Times New Roman" w:cs="Times New Roman"/>
          <w:i/>
          <w:iCs/>
          <w:sz w:val="16"/>
          <w:szCs w:val="16"/>
        </w:rPr>
        <w:t>heptavalentpneumococcal conjugate vaccine</w:t>
      </w:r>
      <w:r>
        <w:rPr>
          <w:i/>
          <w:iCs/>
        </w:rPr>
        <w:t>,</w:t>
      </w:r>
      <w:r>
        <w:t xml:space="preserve"> PCV7) junto con vacunas DTwP y la que se hace contra </w:t>
      </w:r>
      <w:r>
        <w:rPr>
          <w:rFonts w:ascii="Times New Roman" w:eastAsia="Times New Roman" w:hAnsi="Times New Roman" w:cs="Times New Roman"/>
          <w:i/>
          <w:iCs/>
          <w:sz w:val="16"/>
          <w:szCs w:val="16"/>
        </w:rPr>
        <w:t>Haemophilus influenzae</w:t>
      </w:r>
      <w:r>
        <w:t xml:space="preserve"> de tipo b (Hib) han experimentado convulsiones febriles benignas más a menudo que los productos a término que recibieron las mismas vacunas.</w:t>
      </w:r>
    </w:p>
    <w:p w14:paraId="309ACB88" w14:textId="77777777" w:rsidR="0072615D" w:rsidRDefault="0072615D">
      <w:pPr>
        <w:pStyle w:val="BodyText"/>
        <w:ind w:firstLine="360"/>
      </w:pPr>
      <w:r>
        <w:t>A todos los productos pretérmino médicamente estables que estén hospitalizados al cumplir dos meses de edad cronológica se aplicarán todas las vacunas recomendadas para esa edad (véase “Calendario de vacunaciones recomendadas en la niñez y la adolescencia”, fig. 1-1). Se define al pequeño médicamente estable como aquel que no necesita tratamiento ininterrumpido contra infecciones graves; que no tiene enfermedades metabólicas ni inestabilidad renal, cardiovascular o respiratoria o que tiene una evolución clínica de recuperación sostenida y crecimiento uniforme. Todas las vacunas exigidas a los dos meses de vida pueden aplicarse de manera simultánea a los productos pretérmino y de bajo peso neonatal. Sin embargo, los productos pretérmino hospitalizados que tienen pocos sitios para inyección pueden beneficiarse si se alargan los intervalos entre una y otra aplicaciones de sus vacunas primarias. La selección de la longitud de la aguja utilizada para la aplicación intramuscular de vacunas depende de la masa muscular “útil” del prematuro y quizá sea menor que la longitud estándar (2.1 cm) recomendadas en los productos a término.</w:t>
      </w:r>
    </w:p>
    <w:p w14:paraId="3D7EFAFF" w14:textId="77777777" w:rsidR="0072615D" w:rsidRDefault="0072615D">
      <w:pPr>
        <w:pStyle w:val="BodyText"/>
        <w:ind w:firstLine="360"/>
      </w:pPr>
      <w:r>
        <w:t xml:space="preserve">La vacuna contra hepatitis B aplicada a un producto pretérmino y los de bajo peso neonatal, que pesan 2 000 g al nacer, origina una respuesta inmunitaria similar a la obtenida en lactantes a término. Por tal razón, los pequeños pretérmino médicamente estables que pesan más de 2 000 g y cuya madre no tiene el antígeno de superficie de hepatitis B </w:t>
      </w:r>
      <w:r>
        <w:rPr>
          <w:i/>
          <w:iCs/>
        </w:rPr>
        <w:t>(</w:t>
      </w:r>
      <w:r>
        <w:rPr>
          <w:rFonts w:ascii="Times New Roman" w:eastAsia="Times New Roman" w:hAnsi="Times New Roman" w:cs="Times New Roman"/>
          <w:i/>
          <w:iCs/>
          <w:sz w:val="16"/>
          <w:szCs w:val="16"/>
        </w:rPr>
        <w:t>hepatitis B surface antigen</w:t>
      </w:r>
      <w:r>
        <w:rPr>
          <w:i/>
          <w:iCs/>
        </w:rPr>
        <w:t>,</w:t>
      </w:r>
      <w:r>
        <w:t xml:space="preserve"> HBsAg) pueden recibir la primera dosis de la vacuna contra dicha enfermedad al nacer o poco después. En el pequeño pretérmino médicamente inestable que pesa más de 2 000 g y cuya madre no tiene el antígeno mencionado se puede diferir la aplicación de la vacuna contra dicha forma de hepatitis hasta que se haya estabilizado su estado clínico. Las cifras de seroconversión y las concentraciones de anticuerpos en productos de muy bajo peso y extraordinariamente bajo peso, que han recibido vacuna contra hepatitis B poco después de nacer, por lo regular son menores que las observadas en productos a término vacunados al nacer y en pequeños pretérmino vacunados en etapa ulterior. Sin embargo, la vacuna contra hepatitis B al parecer protege a los pequeños pretérmino cuya madre muestra el antígeno de superficie comentado (HBsAg-positiva), contra las complicaciones que surgen con la exposición perinatal al virus y la infección por hepatitis B, sea cual sea su peso al nacer. Algunos estudios han confirmado que la edad cronológica de un pequeño pretérmino médicamente estable, para la fecha de recibir la primera dosis de vacuna contra hepatitis B, es el elemento que mejor predice el logro de la seroconversión, sean cuales sean el peso neonatal o la edad gestacional al nacer el pequeño. También un elemento que puede predecir la reactividad inmunitaria es el incremento ponderal constante por parte del prematuro después de recibir la primera dosis de vacuna contra hepatitis B. Los pequeños médicamente estables con crecimiento constante y que pesan menos de 2 000 g, muestran respuestas de anticuerpos predecibles, congruentes y suficientes al virus de hepatitis B de la vacuna cuando se le aplica este preparado, a los 30 días de edad, como primera aplicación. Los pequeños pretérmino que pesan menos de 2 000 g que tienen un estado lo suficientemente sano como para ser dados de alta antes de cumplir 30 días de edad cronológica pueden recibir en el momento del alta la vacuna contra hepatitis B (véase “Hepatitis B”, sección 3). Comenzar la serie de vacuna contra hepatitis B al mes de edad, sea cual sea el peso del pequeño pretérmino, brinda más opciones de cumplir el calendario de vacunaciones en la sala de cunas de asistencia especial, disminuye el número de inyecciones simultáneas a los dos meses de vida (cuando es necesario hacer las demás vacunaciones recomendadas en niños); brinda protección más temprana a pequeños pretérmino vulnerables que muy a menudo reciben múltiples hemoderivados y son sometidos a intervenciones quirúrgicas y aminora el peligro de transmisión horizontal de portadores crónicos ocultos de hepatitis B en miembros de la familia, visitantes del hospital y otros cuidadores. Los estudios también han señalado que cuanto más cercana se aplique la vacuna contra hepatitis B a la fecha del nacimiento, mayor será la posibilidad de completar puntualmente y en forma oportuna todas las vacunas para los niños.</w:t>
      </w:r>
    </w:p>
    <w:p w14:paraId="4B6FD344" w14:textId="77777777" w:rsidR="0072615D" w:rsidRDefault="0072615D">
      <w:pPr>
        <w:pStyle w:val="BodyText"/>
        <w:ind w:firstLine="360"/>
      </w:pPr>
      <w:r>
        <w:t xml:space="preserve">Todos los productos pretérmino y con bajo peso neonatal cuya madre muestra el antígeno de superficie (HBsAg-positiva) deben recibir el concentrado inmunoglobulínico contra hepatitis B </w:t>
      </w:r>
      <w:r>
        <w:rPr>
          <w:i/>
          <w:iCs/>
        </w:rPr>
        <w:t>(</w:t>
      </w:r>
      <w:r>
        <w:rPr>
          <w:rFonts w:ascii="Times New Roman" w:eastAsia="Times New Roman" w:hAnsi="Times New Roman" w:cs="Times New Roman"/>
          <w:i/>
          <w:iCs/>
          <w:sz w:val="16"/>
          <w:szCs w:val="16"/>
        </w:rPr>
        <w:t>hepatitis B immune globulin</w:t>
      </w:r>
      <w:r>
        <w:rPr>
          <w:i/>
          <w:iCs/>
        </w:rPr>
        <w:t>,</w:t>
      </w:r>
      <w:r>
        <w:t xml:space="preserve"> HBIG) en término de 12 h del nacimiento y también al mismo tiempo vacuna contra la hepatitis mencionada, en sitios diferentes (véase “Hepatitis B”, sección 3). Si al nacer el pequeño se desconoce el estado de la madre en cuanto al antígeno en cuestión, los productos pretérmino o de bajo peso deben recibir la vacuna contra la hepatitis B de acuerdo con las recomendaciones que se hacen para pequeños que son hijos de madres que tienen el antígeno de superficie comentado. En el caso de esquemas de inmunoprofilaxia contra hepatitis B en productos pretérmino y de bajo peso neonatal que son hijos de madres sin el antígeno en cuestión, que tienen el antígeno o aquellas de las que se desconoce el estado antigénico, conviene consultar el cuadro 3-26 y “Consideraciones especiales” en Hepatitis B, sección 3.</w:t>
      </w:r>
    </w:p>
    <w:p w14:paraId="1C08AE3F" w14:textId="77777777" w:rsidR="0072615D" w:rsidRDefault="0072615D">
      <w:pPr>
        <w:pStyle w:val="BodyText"/>
        <w:spacing w:after="100"/>
        <w:ind w:firstLine="360"/>
      </w:pPr>
      <w:r>
        <w:t>Se considera que todos los productos pretérmino están expuestos a un mayor peligro de complicaciones de la influenza, razón por la cual, habrá que aplicar dos dosis de vacuna con virus inactivado de dicha enfermedad con una diferencia de un mes, comenzando a los seis meses de edad cronológica, antes que comience la “estación de la influenza” (véase “Influenza”, sección 3). Los pequeños pretérmino que tienen menos de seis meses de vida y los lactantes con complicaciones crónicas de la premadurez, de cualquier edad, son extraordinariamente vulnerables si se exponen al virus de influenza, de forma que es prudente que reciban la vacuna con el virus inactivado de dicha enfermedad, cada año, los contactos dentro del hogar, los encargados de la atención de niños y el personal de salas de cuna del hospital que atienden a los productos pretérmino (véase “Influenza”, sección 3). Todos los productos pretérmino que tienen menos de 32 semanas de edad gestacional y los niños con neumopatía crónica y trastornos cardiovasculares específicos, hasta los dos años de edad, pueden beneficiarse de la inmunoprofilaxia mensual con palivizumab (anticuerpo monoclonal contra el virus sincitial respiratorio) durante la estación de ataque del virus sincitial mencionado. Algunos pequeños escogidos, que tienen 32 a 35 semanas de edad gestacional pueden beneficiarse también de dicha profilaxia (véase “Respiratorio, virus sincitial”, sección 3). El palivizumab no interfiere con la administración de las vacunaciones habituales infantiles a productos pretérmino o de bajo peso neonatal. El concentrado de inmunoglobulina intravenosa contra el virus sincitial respiratorio tiene escasa aplicación en los pequeños pretérmino con cuadros clínicos primarios específicos.</w:t>
      </w:r>
    </w:p>
    <w:p w14:paraId="141178DC" w14:textId="77777777" w:rsidR="0072615D" w:rsidRDefault="0072615D">
      <w:pPr>
        <w:pStyle w:val="Bodytext70"/>
      </w:pPr>
      <w:r>
        <w:t>Embarazo</w:t>
      </w:r>
    </w:p>
    <w:p w14:paraId="7D565ED1" w14:textId="77777777" w:rsidR="0072615D" w:rsidRDefault="0072615D">
      <w:pPr>
        <w:pStyle w:val="BodyText"/>
        <w:ind w:firstLine="0"/>
      </w:pPr>
      <w:r>
        <w:t>La vacunaciones en el embarazo imponen riesgos teóricos al feto. Ninguna prueba ha indicado que las vacunas actuales tengan efectos nocivos en el producto, pero las embarazadas deben ser vacunadas sólo si hay pocas posibilidades de que la vacuna origine daño, sea grande el peligro de exposición a la enfermedad y la infección imponga un riesgo significativo a la gestante o al feto. Si se piensa aplicar una vacuna en el embarazo, una precaución razonable para llevar al mínimo la preocupación en cuanto a la posible teratogenicidad sería administrarla hasta el segundo o tercer trimestre, en la medida de lo posible.</w:t>
      </w:r>
    </w:p>
    <w:p w14:paraId="75808264" w14:textId="77777777" w:rsidR="0072615D" w:rsidRDefault="0072615D">
      <w:pPr>
        <w:pStyle w:val="BodyText"/>
        <w:ind w:firstLine="360"/>
        <w:sectPr w:rsidR="0072615D" w:rsidSect="0072615D">
          <w:headerReference w:type="even" r:id="rId208"/>
          <w:headerReference w:type="default" r:id="rId209"/>
          <w:footerReference w:type="even" r:id="rId210"/>
          <w:footerReference w:type="default" r:id="rId211"/>
          <w:footnotePr>
            <w:numFmt w:val="chicago"/>
          </w:footnotePr>
          <w:type w:val="continuous"/>
          <w:pgSz w:w="8501" w:h="13022"/>
          <w:pgMar w:top="912" w:right="646" w:bottom="528" w:left="981" w:header="0" w:footer="3" w:gutter="0"/>
          <w:cols w:space="720"/>
          <w:noEndnote/>
          <w:docGrid w:linePitch="360"/>
          <w15:footnoteColumns w:val="1"/>
        </w:sectPr>
      </w:pPr>
      <w:r>
        <w:t xml:space="preserve">Las únicas vacunas recomendadas sistemáticamente para administrar durante el embarazo en Estados Unidos, a condición de que por lo demás estén indicadas (para vacunación primaria o refuerzo), son las del tétanos, la difteria y la influenza. La embarazada que no ha recibido la dosis de refuerzo del toxoide diftérico y tetánico (Td) en los últimos 10 años debe recibir tal refuerzo, y las mujeres no vacunadas o aquellas en que hubo vacunación incompleta deben completar la serie primaria. En países en desarrollo con una elevada incidencia de tétanos neonatal se administra sistemáticamente el toxoide de difteria y tétanos durante el embarazo, sin pruebas de efectos adversos y con disminución notable de la frecuencia de tétanos neonatal. </w:t>
      </w:r>
    </w:p>
    <w:p w14:paraId="5E1729F1" w14:textId="77777777" w:rsidR="0072615D" w:rsidRDefault="0072615D">
      <w:pPr>
        <w:pStyle w:val="BodyText"/>
        <w:ind w:firstLine="0"/>
      </w:pPr>
      <w:r>
        <w:t>bajo peso deben recibir la vacuna contra la hepatitis B de acuerdo con las recomendaciones que se hacen para pequeños que son hijos de madres que tienen el antígeno de superficie comentado. En el caso de esquemas de inmunoprofilaxia contra hepatitis B en productos pretérmino y de bajo peso neonatal que son hijos de madres sin el antígeno en cuestión, que tienen el antígeno o aquellas de las que se desconoce el estado antigénico, conviene consultar el cuadro 3-26 y “Consideraciones especiales” en Hepatitis B, sección 3.</w:t>
      </w:r>
    </w:p>
    <w:p w14:paraId="39B0E6E1" w14:textId="77777777" w:rsidR="0072615D" w:rsidRDefault="0072615D">
      <w:pPr>
        <w:pStyle w:val="BodyText"/>
        <w:spacing w:after="100"/>
        <w:ind w:firstLine="360"/>
      </w:pPr>
      <w:r>
        <w:t>Se considera que todos los productos pretérmino están expuestos a un mayor peligro de complicaciones de la influenza, razón por la cual, habrá que aplicar dos dosis de vacuna con virus inactivado de dicha enfermedad con una diferencia de un mes, comenzando a los seis meses de edad cronológica, antes que comience la “estación de la influenza” (véase “Influenza”, sección 3). Los pequeños pretérmino que tienen menos de seis meses de vida y los lactantes con complicaciones crónicas de la premadurez, de cualquier edad, son extraordinariamente vulnerables si se exponen al virus de influenza, de forma que es prudente que reciban la vacuna con el virus inactivado de dicha enfermedad, cada año, los contactos dentro del hogar, los encargados de la atención de niños y el personal de salas de cuna del hospital que atienden a los productos pretérmino (véase “Influenza”, sección 3). Todos los productos pretérmino que tienen menos de 32 semanas de edad gestacional y los niños con neumopatía crónica y trastornos cardiovasculares específicos, hasta los dos años de edad, pueden beneficiarse de la inmunoprofilaxia mensual con palivizumab (anticuerpo monoclonal contra el virus sincitial respiratorio) durante la estación de ataque del virus sincitial mencionado. Algunos pequeños escogidos, que tienen 32 a 35 semanas de edad gestacional pueden beneficiarse también de dicha profilaxia (véase “Respiratorio, virus sincitial”, sección 3). El palivizumab no interfiere con la administración de las vacunaciones habituales infantiles a productos pretérmino o de bajo peso neonatal. El concentrado de inmunoglobulina intravenosa contra el virus sincitial respiratorio tiene escasa aplicación en los pequeños pretérmino con cuadros clínicos primarios específicos.</w:t>
      </w:r>
    </w:p>
    <w:p w14:paraId="529627E5" w14:textId="77777777" w:rsidR="0072615D" w:rsidRDefault="0072615D">
      <w:pPr>
        <w:pStyle w:val="Bodytext70"/>
      </w:pPr>
      <w:r>
        <w:t>Embarazo</w:t>
      </w:r>
    </w:p>
    <w:p w14:paraId="65855415" w14:textId="77777777" w:rsidR="0072615D" w:rsidRDefault="0072615D">
      <w:pPr>
        <w:pStyle w:val="BodyText"/>
        <w:ind w:firstLine="0"/>
      </w:pPr>
      <w:r>
        <w:t>La vacunaciones en el embarazo imponen riesgos teóricos al feto. Ninguna prueba ha indicado que las vacunas actuales tengan efectos nocivos en el producto, pero las embarazadas deben ser vacunadas sólo si hay pocas posibilidades de que la vacuna origine daño, sea grande el peligro de exposición a la enfermedad y la infección imponga un riesgo significativo a la gestante o al feto. Si se piensa aplicar una vacuna en el embarazo, una precaución razonable para llevar al mínimo la preocupación en cuanto a la posible teratogenicidad sería administrarla hasta el segundo o tercer trimestre, en la medida de lo posible.</w:t>
      </w:r>
    </w:p>
    <w:p w14:paraId="46F785F1" w14:textId="77777777" w:rsidR="0072615D" w:rsidRDefault="0072615D">
      <w:pPr>
        <w:pStyle w:val="BodyText"/>
        <w:spacing w:after="160"/>
        <w:ind w:firstLine="360"/>
      </w:pPr>
      <w:r>
        <w:t>Las únicas vacunas recomendadas sistemáticamente para administrar durante el embarazo en Estados Unidos, a condición de que por lo demás estén indicadas (para vacunación primaria o refuerzo), son las del tétanos, la difteria y la influenza. La embarazada que no ha recibido la dosis de refuerzo del toxoide diftérico y tetánico (Td) en los últimos 10 años debe recibir tal refuerzo, y las mujeres no vacunadas o aquellas en que hubo vacunación incompleta deben completar la serie primaria. En países en desarrollo con una elevada incidencia de tétanos neonatal se administra sistemáticamente el toxoide de difteria y tétanos durante el embarazo, sin pruebas de efectos adversos y con disminución notable de la frecuencia de tétanos neonatal.</w:t>
      </w:r>
    </w:p>
    <w:p w14:paraId="20DA4000" w14:textId="77777777" w:rsidR="0072615D" w:rsidRDefault="0072615D">
      <w:pPr>
        <w:pStyle w:val="BodyText"/>
        <w:ind w:firstLine="380"/>
      </w:pPr>
      <w:r>
        <w:t xml:space="preserve">Los estudios indican que las mujeres en el segundo y tercer trimestres del embarazo y el puerperio temprano, que no tienen otros factores de riesgo subyacentes, están expuestas a un mayor peligro de complicaciones y hospitalización por la influenza. Por tal motivo, el </w:t>
      </w:r>
      <w:r>
        <w:rPr>
          <w:rFonts w:ascii="Times New Roman" w:eastAsia="Times New Roman" w:hAnsi="Times New Roman" w:cs="Times New Roman"/>
          <w:i/>
          <w:iCs/>
          <w:sz w:val="16"/>
          <w:szCs w:val="16"/>
        </w:rPr>
        <w:t>Advisory Committee on Immunization Practices</w:t>
      </w:r>
      <w:r>
        <w:t xml:space="preserve"> (ACIP) de los CDC recomienda aplicar la vacuna hecha de virus inactivado de influenza a toda mujer que ha rebasado las 14 semanas del embarazo, durante la temporada de influenza (véase “Influenza”, sección 3).</w:t>
      </w:r>
    </w:p>
    <w:p w14:paraId="6FD6047B" w14:textId="77777777" w:rsidR="0072615D" w:rsidRDefault="0072615D">
      <w:pPr>
        <w:pStyle w:val="BodyText"/>
        <w:spacing w:line="276" w:lineRule="auto"/>
        <w:ind w:firstLine="380"/>
      </w:pPr>
      <w:r>
        <w:t xml:space="preserve">Las vacunas antineumocócicas se pueden aplicar a la embarazada que está expuesta a un gran peligro de enfermedad grave o complicada por infección con </w:t>
      </w:r>
      <w:r>
        <w:rPr>
          <w:rFonts w:ascii="Times New Roman" w:eastAsia="Times New Roman" w:hAnsi="Times New Roman" w:cs="Times New Roman"/>
          <w:i/>
          <w:iCs/>
          <w:sz w:val="16"/>
          <w:szCs w:val="16"/>
        </w:rPr>
        <w:t>Streptococcus pneumoniae</w:t>
      </w:r>
      <w:r>
        <w:rPr>
          <w:i/>
          <w:iCs/>
        </w:rPr>
        <w:t>.</w:t>
      </w:r>
      <w:r>
        <w:t xml:space="preserve"> A las embarazadas también se aplicarán, si así conviene, las vacunas contra las hepatitis A o B. No se dispone de datos sobre la inocuidad de las vacunas en el feto, pero no cabría esperar riesgo alguno porque ellas contienen virus inactivado por formol (hepatitis A), o el antígeno infectante de superficie (hepatitis B). A diferencia de ello, la infección con cualquiera de los dos agentes en una embarazada originará enfermedad grave en ella y en el caso de la hepatitis B, infección crónica en el neonato.</w:t>
      </w:r>
    </w:p>
    <w:p w14:paraId="0076E3A4" w14:textId="77777777" w:rsidR="0072615D" w:rsidRDefault="0072615D">
      <w:pPr>
        <w:pStyle w:val="BodyText"/>
        <w:ind w:firstLine="380"/>
      </w:pPr>
      <w:r>
        <w:t xml:space="preserve">El embarazo constituye una contraindicación para aplicar todas las vacunas hechas de virus vivos, excepto cuando la susceptibilidad y la exposición son muy probables y la enfermedad por evitar constituye una amenaza mayor que la vacuna, para la mujer o el feto. Si bien una vacuna de virus vivos sólo plantea un riesgo teórico para el feto, la cifra básica es decir, en la población general, de anomalías en embarazos no complicados, puede ocasionar un defecto que podría atribuirse inapropiadamente a la vacuna. Por esa razón será mejor no usarlas durante la gestación. A pesar de ello, cabe aplicar la vacuna contra la fiebre amarilla a la embarazada expuesta al riesgo sustancial de una exposición inminente a la infección como en algunas circunstancias de viajes internacionales. Las embarazadas a quienes se ha vacunado en forma completa o parcial contra el virus de poliomielitis pueden recibir la vacuna del virus poliomielítico inactivado </w:t>
      </w:r>
      <w:r>
        <w:rPr>
          <w:i/>
          <w:iCs/>
        </w:rPr>
        <w:t>(</w:t>
      </w:r>
      <w:r>
        <w:rPr>
          <w:rFonts w:ascii="Times New Roman" w:eastAsia="Times New Roman" w:hAnsi="Times New Roman" w:cs="Times New Roman"/>
          <w:i/>
          <w:iCs/>
          <w:sz w:val="16"/>
          <w:szCs w:val="16"/>
        </w:rPr>
        <w:t>inactivatedpoliovirus</w:t>
      </w:r>
      <w:r>
        <w:rPr>
          <w:i/>
          <w:iCs/>
        </w:rPr>
        <w:t>,</w:t>
      </w:r>
      <w:r>
        <w:t xml:space="preserve"> IPV). En el caso de mujeres no vacunadas se recomienda que todas las dosis sean de vacuna IPV (véase “Poliomielítico, infecciones por virus”, sección 3).</w:t>
      </w:r>
    </w:p>
    <w:p w14:paraId="6C07AEEA" w14:textId="77777777" w:rsidR="0072615D" w:rsidRDefault="0072615D">
      <w:pPr>
        <w:pStyle w:val="BodyText"/>
        <w:spacing w:after="100"/>
        <w:ind w:firstLine="380"/>
      </w:pPr>
      <w:r>
        <w:t>Las vacunas contra sarampión, parotiditis, rubéola y varicela están contraindicadas en las embarazadas, razón por la cual se harán todos los intentos por vacunar a las mujeres susceptibles contra las cuatro enfermedades comentadas antes de que se embarace la paciente. A pesar de que sólo tiene interés teórico, no se ha señalado ningún caso de embriopatía causada por la vacuna contra la rubéola. Las pruebas acumuladas demuestran que la administración inadvertida de la vacuna contra la rubéola a embarazadas susceptibles, sólo en raras ocasiones (si es que así ocurre) origina defectos congénitos. También se desconoce el efecto (si lo hay) que tiene la vacuna contra la varicela en el feto. Los fabricantes, en colaboración con los CDC en Estados Unidos han establecido el Registro VARIVAX de Embarazos para conocer y vigilar los resultados para la madre y el feto, de mujeres que reciben inadvertidamente vacunas contra la varicela desde tres meses antes del embarazo hasta cualquier fecha durante él. De marzo de 1995 a marzo de 2002, en Estados Unidos se notificaron a dicho registro los casos de 462 mujeres (110 de las cuales eran seronegativas) que recibieron inadvertidamente la vacuna contra la varicela antes del embarazo o durante el mismo, y cuyos resultados de la gestación se conocen. Ninguno de los productos procreados tenía cuadros clínicos de varicela congénita, aunque tres habían tenido malformaciones congénitas, que es la cifra de anomalías de este tipo en la población general. Conviene la notificación de casos y puede hacerse telefónicamente (1-800-986-8999). La embarazada o cualquier miembro del núcleo familiar no constituyen ninguna contraindicación para que se vacune contra la varicela a un niño en dicho hogar. Según señalamientos sólo en raras ocasiones y en presencia de una erupción vinculada con la vacuna ha habido transmisión del virus vacunal de quien ha recibido la vacuna y que es inmunocompetente, a una persona susceptible (Véase “Varicela-zoster, infecciones por el virus”, sección 3).</w:t>
      </w:r>
    </w:p>
    <w:p w14:paraId="7DCE4AE1" w14:textId="77777777" w:rsidR="0072615D" w:rsidRDefault="0072615D">
      <w:pPr>
        <w:pStyle w:val="Bodytext70"/>
        <w:spacing w:after="220"/>
      </w:pPr>
      <w:r>
        <w:t>Niños inmunodeficientes</w:t>
      </w:r>
    </w:p>
    <w:p w14:paraId="6E1B997D" w14:textId="77777777" w:rsidR="0072615D" w:rsidRDefault="0072615D">
      <w:pPr>
        <w:pStyle w:val="BodyText"/>
        <w:spacing w:after="220"/>
        <w:ind w:firstLine="0"/>
      </w:pPr>
      <w:r>
        <w:t>DEFICIENCIAS INMUNITARIAS PRIMARIA Y SECUNDARIA</w:t>
      </w:r>
    </w:p>
    <w:p w14:paraId="33DC4513" w14:textId="77777777" w:rsidR="0072615D" w:rsidRDefault="0072615D">
      <w:pPr>
        <w:pStyle w:val="BodyText"/>
        <w:ind w:firstLine="0"/>
      </w:pPr>
      <w:r>
        <w:t>La inocuidad y eficacia de las vacunas en personas con deficiencias inmunitarias dependen de la naturaleza y el grado de la inmunosupresión. Las personas con inmunodeficiencia varían cuantitativamente en lo que toca a inmunosupresión y también en su susceptibilidad a la infección. Los niños inmunodeficientes constituyen una población heterogénea respecto de las vacunaciones. Los cuadros de inmunodeficiencia se pueden agrupar en primarios y secundarios (adquiridos). Los cuadros primarios del sistema inmunitario por lo común son hereditarios e incluyen alteraciones en la inmunidad mediada por linfocitos B (humoral), inmunidad mediada por linfocitos T (celular), complemento y función fagocitaria. Los trastornos secundarios son adquiridos y se observan en personas con infección por el virus de inmunodeficiencia humana (VIH), síndrome de inmunodeficiencia adquirida o cánceres; personas que han recibido un trasplante y otras que reciben terapia inmunosupresora o radioterapia (véase cuadro 1-13). Es escasa la experiencia acumulada con la aplicación de vacunas en niños inmunodeficientes; en casi todas las situaciones las consideraciones teóricas son la única orientación para aplicar la vacuna, porque no se ha acumulado experiencia con vacunas específicas en personas con trastornos específicos. Sin embargo, datos acumulados en lactantes infectados con VIH, permiten tener confianza en cuanto a la cifra pequeña de reacciones adversas en dichos pacientes después de la vacunación.</w:t>
      </w:r>
    </w:p>
    <w:p w14:paraId="2452BCB3"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Vacunas de virus vivos.</w:t>
      </w:r>
      <w:r>
        <w:t xml:space="preserve"> En términos generales, toda persona con inmunodeficiencia profunda o en la que se desconoce su estado inmunitario, no debe recibir vacunas de virus o bacterias vivos por el peligro de que las cepas vacunales originen la enfermedad. A pesar de que se insiste en las precauciones, contraindicaciones y la eficacia subóptima de las vacunaciones en pacientes inmunodeficientes, algunos niños con tal problema pueden beneficiarse del uso especial y también de algunas de las vacunaciones recomendadas sistemáticamente.</w:t>
      </w:r>
    </w:p>
    <w:p w14:paraId="151DEDDB" w14:textId="77777777" w:rsidR="0072615D" w:rsidRDefault="0072615D">
      <w:pPr>
        <w:pStyle w:val="BodyText"/>
        <w:spacing w:after="100" w:line="276" w:lineRule="auto"/>
        <w:ind w:firstLine="360"/>
        <w:sectPr w:rsidR="0072615D" w:rsidSect="0072615D">
          <w:headerReference w:type="even" r:id="rId212"/>
          <w:headerReference w:type="default" r:id="rId213"/>
          <w:footerReference w:type="even" r:id="rId214"/>
          <w:footerReference w:type="default" r:id="rId215"/>
          <w:footnotePr>
            <w:numFmt w:val="chicago"/>
          </w:footnotePr>
          <w:pgSz w:w="8501" w:h="13022"/>
          <w:pgMar w:top="912" w:right="646" w:bottom="528" w:left="981" w:header="0" w:footer="3" w:gutter="0"/>
          <w:pgNumType w:start="73"/>
          <w:cols w:space="720"/>
          <w:noEndnote/>
          <w:docGrid w:linePitch="360"/>
          <w15:footnoteColumns w:val="1"/>
        </w:sectPr>
      </w:pPr>
      <w:r>
        <w:rPr>
          <w:rFonts w:ascii="Times New Roman" w:eastAsia="Times New Roman" w:hAnsi="Times New Roman" w:cs="Times New Roman"/>
          <w:b/>
          <w:bCs/>
          <w:i/>
          <w:iCs/>
          <w:sz w:val="16"/>
          <w:szCs w:val="16"/>
        </w:rPr>
        <w:t>Vacunas de virus o bacterias inactivadas e inmunización pasiva.</w:t>
      </w:r>
      <w:r>
        <w:t xml:space="preserve"> Las vacunas de gérmenes inactivados y los preparados de inmunoglobulinas (concentrados) deben utilizarse cuando convengan, dado que el riesgo de complicaciones con su uso no aumenta en personas inmunodeficientes. Sin embargo, pueden variar y tal vez sean inadecuadas las respuestas inmunitarias de niños inmunodeficientes a vacunas de productos inactivados (como DTaP, hepatitis B o A, virus poliomielítico inactivado, Hib, neumococos y virus de influenza). Por las razones comentadas, puede disminuir sustancialmente la capacidad inmunógena de la vacuna en los niños en cuestión. En el caso de menores con inmunodeficiencia secundaria, la posibilidad de desencadenar una respuesta inmunológica adecuada depende de la fecha en que se produjo la inmunosupresión. En niños en quienes se interrumpe la terapia inmunosupresora, surge </w:t>
      </w:r>
    </w:p>
    <w:p w14:paraId="383AA155" w14:textId="77777777" w:rsidR="0072615D" w:rsidRDefault="0072615D">
      <w:pPr>
        <w:pStyle w:val="BodyText"/>
        <w:spacing w:after="100" w:line="276" w:lineRule="auto"/>
        <w:ind w:firstLine="0"/>
      </w:pPr>
      <w:r>
        <w:t>embarazada o cualquier miembro del núcleo familiar no constituyen ninguna contraindicación para que se vacune contra la varicela a un niño en dicho hogar. Según señalamientos sólo en raras ocasiones y en presencia de una erupción vinculada con la vacuna ha habido transmisión del virus vacunal de quien ha recibido la vacuna y que es inmunocompetente, a una persona susceptible (Véase “Varicela-zoster, infecciones por el virus”, sección 3).</w:t>
      </w:r>
    </w:p>
    <w:p w14:paraId="3C4C0B40" w14:textId="77777777" w:rsidR="0072615D" w:rsidRDefault="0072615D">
      <w:pPr>
        <w:pStyle w:val="Bodytext70"/>
        <w:spacing w:after="220"/>
      </w:pPr>
      <w:r>
        <w:t>Niños inmunodeficientes</w:t>
      </w:r>
    </w:p>
    <w:p w14:paraId="4C587A21" w14:textId="77777777" w:rsidR="0072615D" w:rsidRDefault="0072615D">
      <w:pPr>
        <w:pStyle w:val="BodyText"/>
        <w:spacing w:after="220"/>
        <w:ind w:firstLine="0"/>
      </w:pPr>
      <w:r>
        <w:t>DEFICIENCIAS INMUNITARIAS PRIMARIA Y SECUNDARIA</w:t>
      </w:r>
    </w:p>
    <w:p w14:paraId="795222B2" w14:textId="77777777" w:rsidR="0072615D" w:rsidRDefault="0072615D">
      <w:pPr>
        <w:pStyle w:val="BodyText"/>
        <w:ind w:firstLine="0"/>
      </w:pPr>
      <w:r>
        <w:t>La inocuidad y eficacia de las vacunas en personas con deficiencias inmunitarias dependen de la naturaleza y el grado de la inmunosupresión. Las personas con inmunodeficiencia varían cuantitativamente en lo que toca a inmunosupresión y también en su susceptibilidad a la infección. Los niños inmunodeficientes constituyen una población heterogénea respecto de las vacunaciones. Los cuadros de inmunodeficiencia se pueden agrupar en primarios y secundarios (adquiridos). Los cuadros primarios del sistema inmunitario por lo común son hereditarios e incluyen alteraciones en la inmunidad mediada por linfocitos B (humoral), inmunidad mediada por linfocitos T (celular), complemento y función fagocitaria. Los trastornos secundarios son adquiridos y se observan en personas con infección por el virus de inmunodeficiencia humana (VIH), síndrome de inmunodeficiencia adquirida o cánceres; personas que han recibido un trasplante y otras que reciben terapia inmunosupresora o radioterapia (véase cuadro 1-13). Es escasa la experiencia acumulada con la aplicación de vacunas en niños inmunodeficientes; en casi todas las situaciones las consideraciones teóricas son la única orientación para aplicar la vacuna, porque no se ha acumulado experiencia con vacunas específicas en personas con trastornos específicos. Sin embargo, datos acumulados en lactantes infectados con VIH, permiten tener confianza en cuanto a la cifra pequeña de reacciones adversas en dichos pacientes después de la vacunación.</w:t>
      </w:r>
    </w:p>
    <w:p w14:paraId="5F09F748"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Vacunas de virus vivos.</w:t>
      </w:r>
      <w:r>
        <w:t xml:space="preserve"> En términos generales, toda persona con inmunodeficiencia profunda o en la que se desconoce su estado inmunitario, no debe recibir vacunas de virus o bacterias vivos por el peligro de que las cepas vacunales originen la enfermedad. A pesar de que se insiste en las precauciones, contraindicaciones y la eficacia subóptima de las vacunaciones en pacientes inmunodeficientes, algunos niños con tal problema pueden beneficiarse del uso especial y también de algunas de las vacunaciones recomendadas sistemáticamente.</w:t>
      </w:r>
    </w:p>
    <w:p w14:paraId="1C605F4C" w14:textId="77777777" w:rsidR="0072615D" w:rsidRDefault="0072615D">
      <w:pPr>
        <w:pStyle w:val="BodyText"/>
        <w:spacing w:after="220" w:line="276" w:lineRule="auto"/>
        <w:ind w:firstLine="360"/>
        <w:sectPr w:rsidR="0072615D" w:rsidSect="0072615D">
          <w:headerReference w:type="even" r:id="rId216"/>
          <w:headerReference w:type="default" r:id="rId217"/>
          <w:footerReference w:type="even" r:id="rId218"/>
          <w:footerReference w:type="default" r:id="rId219"/>
          <w:footnotePr>
            <w:numFmt w:val="chicago"/>
          </w:footnotePr>
          <w:pgSz w:w="8501" w:h="13022"/>
          <w:pgMar w:top="912" w:right="646" w:bottom="528" w:left="981" w:header="0" w:footer="100" w:gutter="0"/>
          <w:pgNumType w:start="75"/>
          <w:cols w:space="720"/>
          <w:noEndnote/>
          <w:docGrid w:linePitch="360"/>
          <w15:footnoteColumns w:val="1"/>
        </w:sectPr>
      </w:pPr>
      <w:r>
        <w:rPr>
          <w:rFonts w:ascii="Times New Roman" w:eastAsia="Times New Roman" w:hAnsi="Times New Roman" w:cs="Times New Roman"/>
          <w:b/>
          <w:bCs/>
          <w:i/>
          <w:iCs/>
          <w:sz w:val="16"/>
          <w:szCs w:val="16"/>
        </w:rPr>
        <w:t>Vacunas de virus o bacterias inactivadas e inmunización pasiva.</w:t>
      </w:r>
      <w:r>
        <w:t xml:space="preserve"> Las vacunas de gérmenes inactivados y los preparados de inmunoglobulinas (concentrados) deben utilizarse cuando convengan, dado que el riesgo de complicaciones con su uso no aumenta en personas inmunodeficientes. Sin embargo, pueden variar y tal vez sean inadecuadas las respuestas inmunitarias de niños inmunodeficientes a vacunas de productos inactivados (como DTaP, hepatitis B o A, virus poliomielítico inactivado, Hib, neumococos y virus de influenza). Por las razones comentadas, puede disminuir sustancialmente la capacidad inmunógena de la vacuna en los niños en cuestión. En el caso de menores con inmunodeficiencia secundaria, la posibilidad de desencadenar una respuesta inmunológica adecuada depende de la fecha en que se produjo la inmunosupresión. En niños en quienes se interrumpe la terapia inmunosupresora, surge</w:t>
      </w:r>
    </w:p>
    <w:p w14:paraId="3834ADCB" w14:textId="77777777" w:rsidR="0072615D" w:rsidRDefault="0072615D">
      <w:pPr>
        <w:pStyle w:val="Heading31"/>
        <w:keepNext/>
        <w:keepLines/>
        <w:framePr w:w="9590" w:h="317" w:wrap="none" w:hAnchor="page" w:x="1556" w:y="1"/>
      </w:pPr>
      <w:bookmarkStart w:id="295" w:name="bookmark295"/>
      <w:bookmarkStart w:id="296" w:name="bookmark296"/>
      <w:bookmarkStart w:id="297" w:name="bookmark297"/>
      <w:r>
        <w:rPr>
          <w:b w:val="0"/>
          <w:bCs w:val="0"/>
        </w:rPr>
        <w:t xml:space="preserve">Cuadro 1 - 13. </w:t>
      </w:r>
      <w:r>
        <w:t>Vacunación de niños y adolescentes con deficiencias inmunitarias primarias y secundarias</w:t>
      </w:r>
      <w:bookmarkEnd w:id="295"/>
      <w:bookmarkEnd w:id="296"/>
      <w:bookmarkEnd w:id="297"/>
    </w:p>
    <w:p w14:paraId="57FC0DA6" w14:textId="77777777" w:rsidR="0072615D" w:rsidRDefault="0072615D">
      <w:pPr>
        <w:pStyle w:val="Heading41"/>
        <w:keepNext/>
        <w:keepLines/>
        <w:framePr w:w="9830" w:h="298" w:wrap="none" w:hAnchor="page" w:x="663" w:y="342"/>
        <w:pBdr>
          <w:top w:val="single" w:sz="0" w:space="0" w:color="231F20"/>
          <w:left w:val="single" w:sz="0" w:space="0" w:color="231F20"/>
          <w:bottom w:val="single" w:sz="0" w:space="0" w:color="231F20"/>
          <w:right w:val="single" w:sz="0" w:space="0" w:color="231F20"/>
        </w:pBdr>
        <w:shd w:val="clear" w:color="auto" w:fill="231F20"/>
        <w:tabs>
          <w:tab w:val="left" w:pos="2270"/>
        </w:tabs>
      </w:pPr>
      <w:bookmarkStart w:id="298" w:name="bookmark298"/>
      <w:bookmarkStart w:id="299" w:name="bookmark299"/>
      <w:bookmarkStart w:id="300" w:name="bookmark300"/>
      <w:r>
        <w:rPr>
          <w:color w:val="FFFFFF"/>
        </w:rPr>
        <w:t>Categoría</w:t>
      </w:r>
      <w:r>
        <w:rPr>
          <w:color w:val="FFFFFF"/>
        </w:rPr>
        <w:tab/>
        <w:t>Inmunodeficiencia específica Vacunas contraindicadas Eficacia y comentarios</w:t>
      </w:r>
      <w:bookmarkEnd w:id="298"/>
      <w:bookmarkEnd w:id="299"/>
      <w:bookmarkEnd w:id="300"/>
    </w:p>
    <w:p w14:paraId="7BA48F63" w14:textId="77777777" w:rsidR="0072615D" w:rsidRDefault="0072615D">
      <w:pPr>
        <w:pStyle w:val="Bodytext20"/>
        <w:framePr w:w="4790" w:h="662" w:wrap="none" w:hAnchor="page" w:x="673" w:y="707"/>
        <w:spacing w:line="240" w:lineRule="auto"/>
        <w:rPr>
          <w:sz w:val="17"/>
          <w:szCs w:val="17"/>
        </w:rPr>
      </w:pPr>
      <w:r>
        <w:rPr>
          <w:b/>
          <w:bCs/>
          <w:i/>
          <w:iCs/>
          <w:sz w:val="17"/>
          <w:szCs w:val="17"/>
        </w:rPr>
        <w:t>Primaria</w:t>
      </w:r>
    </w:p>
    <w:p w14:paraId="731DD35B" w14:textId="77777777" w:rsidR="0072615D" w:rsidRDefault="0072615D">
      <w:pPr>
        <w:pStyle w:val="Bodytext20"/>
        <w:framePr w:w="4790" w:h="662" w:wrap="none" w:hAnchor="page" w:x="673" w:y="707"/>
        <w:tabs>
          <w:tab w:val="left" w:pos="2261"/>
        </w:tabs>
        <w:spacing w:line="240" w:lineRule="auto"/>
      </w:pPr>
      <w:r>
        <w:t>Linfocitos B (humoral)</w:t>
      </w:r>
      <w:r>
        <w:tab/>
        <w:t>Ligada al X y agammaglobulinemia</w:t>
      </w:r>
    </w:p>
    <w:p w14:paraId="5A4236C7" w14:textId="77777777" w:rsidR="0072615D" w:rsidRDefault="0072615D">
      <w:pPr>
        <w:pStyle w:val="Bodytext20"/>
        <w:framePr w:w="4790" w:h="662" w:wrap="none" w:hAnchor="page" w:x="673" w:y="707"/>
        <w:spacing w:line="240" w:lineRule="auto"/>
        <w:jc w:val="center"/>
      </w:pPr>
      <w:r>
        <w:t>variable común</w:t>
      </w:r>
    </w:p>
    <w:p w14:paraId="393C5FB6" w14:textId="77777777" w:rsidR="0072615D" w:rsidRDefault="0072615D">
      <w:pPr>
        <w:pStyle w:val="Bodytext20"/>
        <w:framePr w:w="2285" w:h="677" w:wrap="none" w:hAnchor="page" w:x="5761" w:y="927"/>
      </w:pPr>
      <w:r>
        <w:t>OPV,</w:t>
      </w:r>
      <w:r>
        <w:rPr>
          <w:vertAlign w:val="superscript"/>
        </w:rPr>
        <w:t>1</w:t>
      </w:r>
      <w:r>
        <w:t xml:space="preserve"> vaccinia y bacterias vivas; considerar las vacunas contra sarampión y varicela</w:t>
      </w:r>
    </w:p>
    <w:p w14:paraId="5C30A6C7" w14:textId="77777777" w:rsidR="0072615D" w:rsidRDefault="0072615D">
      <w:pPr>
        <w:pStyle w:val="Bodytext20"/>
        <w:framePr w:w="3173" w:h="1109" w:wrap="none" w:hAnchor="page" w:x="8612" w:y="927"/>
      </w:pPr>
      <w:r>
        <w:t>Es dudosa la eficacia de cualquier vacuna que depende de la respuesta humoral; el concentrado IGIV interfiere en la respuesta que genera la vacuna contra el sarampión y quizá la vacuna contra la varicela</w:t>
      </w:r>
    </w:p>
    <w:p w14:paraId="517AFC14" w14:textId="77777777" w:rsidR="0072615D" w:rsidRDefault="0072615D">
      <w:pPr>
        <w:pStyle w:val="Bodytext20"/>
        <w:framePr w:w="2587" w:h="461" w:wrap="none" w:hAnchor="page" w:x="2948" w:y="2233"/>
      </w:pPr>
      <w:r>
        <w:t>Deficiencias selectivas de IgA y de la subclase IgG</w:t>
      </w:r>
    </w:p>
    <w:p w14:paraId="762578A8" w14:textId="77777777" w:rsidR="0072615D" w:rsidRDefault="0072615D">
      <w:pPr>
        <w:pStyle w:val="Bodytext20"/>
        <w:framePr w:w="2746" w:h="682" w:wrap="none" w:hAnchor="page" w:x="5761" w:y="2228"/>
        <w:jc w:val="right"/>
      </w:pPr>
      <w:r>
        <w:t>OPV</w:t>
      </w:r>
      <w:r>
        <w:rPr>
          <w:vertAlign w:val="superscript"/>
        </w:rPr>
        <w:t>1</w:t>
      </w:r>
      <w:r>
        <w:t>; las demás vacunas de gérmenes vivos al parecer son innocuas, pero es indispensable la precaución en su uso</w:t>
      </w:r>
    </w:p>
    <w:p w14:paraId="1692CCBB" w14:textId="77777777" w:rsidR="0072615D" w:rsidRDefault="0072615D">
      <w:pPr>
        <w:pStyle w:val="Bodytext20"/>
        <w:framePr w:w="3254" w:h="461" w:wrap="none" w:hAnchor="page" w:x="8612" w:y="2233"/>
      </w:pPr>
      <w:r>
        <w:t>Todas las vacunas probablemente son eficaces. La respuesta vacunal puede ser aplacada</w:t>
      </w:r>
    </w:p>
    <w:tbl>
      <w:tblPr>
        <w:tblOverlap w:val="never"/>
        <w:tblW w:w="0" w:type="auto"/>
        <w:tblLayout w:type="fixed"/>
        <w:tblCellMar>
          <w:left w:w="10" w:type="dxa"/>
          <w:right w:w="10" w:type="dxa"/>
        </w:tblCellMar>
        <w:tblLook w:val="04A0" w:firstRow="1" w:lastRow="0" w:firstColumn="1" w:lastColumn="0" w:noHBand="0" w:noVBand="1"/>
      </w:tblPr>
      <w:tblGrid>
        <w:gridCol w:w="2074"/>
        <w:gridCol w:w="2856"/>
        <w:gridCol w:w="2918"/>
        <w:gridCol w:w="3456"/>
      </w:tblGrid>
      <w:tr w:rsidR="0072615D" w14:paraId="256F9791" w14:textId="77777777">
        <w:tblPrEx>
          <w:tblCellMar>
            <w:top w:w="0" w:type="dxa"/>
            <w:bottom w:w="0" w:type="dxa"/>
          </w:tblCellMar>
        </w:tblPrEx>
        <w:trPr>
          <w:trHeight w:hRule="exact" w:val="542"/>
        </w:trPr>
        <w:tc>
          <w:tcPr>
            <w:tcW w:w="2074" w:type="dxa"/>
            <w:shd w:val="clear" w:color="auto" w:fill="FFFFFF"/>
          </w:tcPr>
          <w:p w14:paraId="18C4D39D" w14:textId="77777777" w:rsidR="0072615D" w:rsidRDefault="0072615D">
            <w:pPr>
              <w:pStyle w:val="Other0"/>
              <w:framePr w:w="11304" w:h="2179" w:vSpace="442" w:wrap="none" w:hAnchor="page" w:x="683" w:y="3102"/>
              <w:spacing w:line="283" w:lineRule="auto"/>
              <w:ind w:firstLine="0"/>
              <w:rPr>
                <w:sz w:val="16"/>
                <w:szCs w:val="16"/>
              </w:rPr>
            </w:pPr>
            <w:r>
              <w:rPr>
                <w:rFonts w:ascii="Times New Roman" w:eastAsia="Times New Roman" w:hAnsi="Times New Roman" w:cs="Times New Roman"/>
                <w:sz w:val="16"/>
                <w:szCs w:val="16"/>
              </w:rPr>
              <w:t>Linfocitos T (mediada por células y humoral)</w:t>
            </w:r>
          </w:p>
        </w:tc>
        <w:tc>
          <w:tcPr>
            <w:tcW w:w="2856" w:type="dxa"/>
            <w:shd w:val="clear" w:color="auto" w:fill="FFFFFF"/>
          </w:tcPr>
          <w:p w14:paraId="51F6F1EB" w14:textId="77777777" w:rsidR="0072615D" w:rsidRDefault="0072615D">
            <w:pPr>
              <w:pStyle w:val="Other0"/>
              <w:framePr w:w="11304" w:h="2179" w:vSpace="442" w:wrap="none" w:hAnchor="page" w:x="683" w:y="3102"/>
              <w:spacing w:line="240" w:lineRule="auto"/>
              <w:ind w:firstLine="200"/>
              <w:rPr>
                <w:sz w:val="16"/>
                <w:szCs w:val="16"/>
              </w:rPr>
            </w:pPr>
            <w:r>
              <w:rPr>
                <w:rFonts w:ascii="Times New Roman" w:eastAsia="Times New Roman" w:hAnsi="Times New Roman" w:cs="Times New Roman"/>
                <w:sz w:val="16"/>
                <w:szCs w:val="16"/>
              </w:rPr>
              <w:t>Grave combinada</w:t>
            </w:r>
          </w:p>
        </w:tc>
        <w:tc>
          <w:tcPr>
            <w:tcW w:w="2918" w:type="dxa"/>
            <w:shd w:val="clear" w:color="auto" w:fill="FFFFFF"/>
          </w:tcPr>
          <w:p w14:paraId="09ABB3F1" w14:textId="77777777" w:rsidR="0072615D" w:rsidRDefault="0072615D">
            <w:pPr>
              <w:pStyle w:val="Other0"/>
              <w:framePr w:w="11304" w:h="2179" w:vSpace="442" w:wrap="none" w:hAnchor="page" w:x="683" w:y="3102"/>
              <w:spacing w:line="240" w:lineRule="auto"/>
              <w:ind w:firstLine="160"/>
              <w:rPr>
                <w:sz w:val="16"/>
                <w:szCs w:val="16"/>
              </w:rPr>
            </w:pPr>
            <w:r>
              <w:rPr>
                <w:rFonts w:ascii="Times New Roman" w:eastAsia="Times New Roman" w:hAnsi="Times New Roman" w:cs="Times New Roman"/>
                <w:sz w:val="16"/>
                <w:szCs w:val="16"/>
              </w:rPr>
              <w:t>Todas las vacunas de gérmenes vivos</w:t>
            </w:r>
            <w:r>
              <w:rPr>
                <w:rFonts w:ascii="Times New Roman" w:eastAsia="Times New Roman" w:hAnsi="Times New Roman" w:cs="Times New Roman"/>
                <w:sz w:val="16"/>
                <w:szCs w:val="16"/>
                <w:vertAlign w:val="superscript"/>
              </w:rPr>
              <w:t>2,3</w:t>
            </w:r>
          </w:p>
        </w:tc>
        <w:tc>
          <w:tcPr>
            <w:tcW w:w="3456" w:type="dxa"/>
            <w:shd w:val="clear" w:color="auto" w:fill="FFFFFF"/>
          </w:tcPr>
          <w:p w14:paraId="1B22E9C9" w14:textId="77777777" w:rsidR="0072615D" w:rsidRDefault="0072615D">
            <w:pPr>
              <w:pStyle w:val="Other0"/>
              <w:framePr w:w="11304" w:h="2179" w:vSpace="442" w:wrap="none" w:hAnchor="page" w:x="683" w:y="3102"/>
              <w:spacing w:line="283" w:lineRule="auto"/>
              <w:ind w:left="200" w:hanging="200"/>
              <w:rPr>
                <w:sz w:val="16"/>
                <w:szCs w:val="16"/>
              </w:rPr>
            </w:pPr>
            <w:r>
              <w:rPr>
                <w:rFonts w:ascii="Times New Roman" w:eastAsia="Times New Roman" w:hAnsi="Times New Roman" w:cs="Times New Roman"/>
                <w:sz w:val="16"/>
                <w:szCs w:val="16"/>
              </w:rPr>
              <w:t>Es dudosa la eficacia de cualquier vacuna que depende de las respuestas humoral o celular</w:t>
            </w:r>
          </w:p>
        </w:tc>
      </w:tr>
      <w:tr w:rsidR="0072615D" w14:paraId="6398B589" w14:textId="77777777">
        <w:tblPrEx>
          <w:tblCellMar>
            <w:top w:w="0" w:type="dxa"/>
            <w:bottom w:w="0" w:type="dxa"/>
          </w:tblCellMar>
        </w:tblPrEx>
        <w:trPr>
          <w:trHeight w:hRule="exact" w:val="869"/>
        </w:trPr>
        <w:tc>
          <w:tcPr>
            <w:tcW w:w="2074" w:type="dxa"/>
            <w:shd w:val="clear" w:color="auto" w:fill="FFFFFF"/>
          </w:tcPr>
          <w:p w14:paraId="45165D75" w14:textId="77777777" w:rsidR="0072615D" w:rsidRDefault="0072615D">
            <w:pPr>
              <w:pStyle w:val="Other0"/>
              <w:framePr w:w="11304" w:h="2179" w:vSpace="442" w:wrap="none" w:hAnchor="page" w:x="683" w:y="3102"/>
              <w:spacing w:before="100" w:line="240" w:lineRule="auto"/>
              <w:ind w:firstLine="0"/>
              <w:rPr>
                <w:sz w:val="16"/>
                <w:szCs w:val="16"/>
              </w:rPr>
            </w:pPr>
            <w:r>
              <w:rPr>
                <w:rFonts w:ascii="Times New Roman" w:eastAsia="Times New Roman" w:hAnsi="Times New Roman" w:cs="Times New Roman"/>
                <w:sz w:val="16"/>
                <w:szCs w:val="16"/>
              </w:rPr>
              <w:t>Complemento</w:t>
            </w:r>
          </w:p>
        </w:tc>
        <w:tc>
          <w:tcPr>
            <w:tcW w:w="2856" w:type="dxa"/>
            <w:shd w:val="clear" w:color="auto" w:fill="FFFFFF"/>
          </w:tcPr>
          <w:p w14:paraId="060C2BCC" w14:textId="77777777" w:rsidR="0072615D" w:rsidRDefault="0072615D">
            <w:pPr>
              <w:pStyle w:val="Other0"/>
              <w:framePr w:w="11304" w:h="2179" w:vSpace="442" w:wrap="none" w:hAnchor="page" w:x="683" w:y="3102"/>
              <w:spacing w:before="100" w:line="283" w:lineRule="auto"/>
              <w:ind w:left="300" w:hanging="100"/>
              <w:rPr>
                <w:sz w:val="16"/>
                <w:szCs w:val="16"/>
              </w:rPr>
            </w:pPr>
            <w:r>
              <w:rPr>
                <w:rFonts w:ascii="Times New Roman" w:eastAsia="Times New Roman" w:hAnsi="Times New Roman" w:cs="Times New Roman"/>
                <w:sz w:val="16"/>
                <w:szCs w:val="16"/>
              </w:rPr>
              <w:t>Deficiencia de los primeros componentes (C1, C4, C2, C3)</w:t>
            </w:r>
          </w:p>
        </w:tc>
        <w:tc>
          <w:tcPr>
            <w:tcW w:w="2918" w:type="dxa"/>
            <w:shd w:val="clear" w:color="auto" w:fill="FFFFFF"/>
          </w:tcPr>
          <w:p w14:paraId="1BF8DFDE" w14:textId="77777777" w:rsidR="0072615D" w:rsidRDefault="0072615D">
            <w:pPr>
              <w:pStyle w:val="Other0"/>
              <w:framePr w:w="11304" w:h="2179" w:vSpace="442" w:wrap="none" w:hAnchor="page" w:x="683" w:y="3102"/>
              <w:spacing w:before="100" w:line="240" w:lineRule="auto"/>
              <w:ind w:firstLine="160"/>
              <w:rPr>
                <w:sz w:val="16"/>
                <w:szCs w:val="16"/>
              </w:rPr>
            </w:pPr>
            <w:r>
              <w:rPr>
                <w:rFonts w:ascii="Times New Roman" w:eastAsia="Times New Roman" w:hAnsi="Times New Roman" w:cs="Times New Roman"/>
                <w:sz w:val="16"/>
                <w:szCs w:val="16"/>
              </w:rPr>
              <w:t>Ninguna</w:t>
            </w:r>
          </w:p>
        </w:tc>
        <w:tc>
          <w:tcPr>
            <w:tcW w:w="3456" w:type="dxa"/>
            <w:shd w:val="clear" w:color="auto" w:fill="FFFFFF"/>
            <w:vAlign w:val="center"/>
          </w:tcPr>
          <w:p w14:paraId="35B10850" w14:textId="77777777" w:rsidR="0072615D" w:rsidRDefault="0072615D">
            <w:pPr>
              <w:pStyle w:val="Other0"/>
              <w:framePr w:w="11304" w:h="2179" w:vSpace="442" w:wrap="none" w:hAnchor="page" w:x="683" w:y="3102"/>
              <w:spacing w:line="283" w:lineRule="auto"/>
              <w:ind w:left="200" w:hanging="200"/>
              <w:rPr>
                <w:sz w:val="16"/>
                <w:szCs w:val="16"/>
              </w:rPr>
            </w:pPr>
            <w:r>
              <w:rPr>
                <w:rFonts w:ascii="Times New Roman" w:eastAsia="Times New Roman" w:hAnsi="Times New Roman" w:cs="Times New Roman"/>
                <w:sz w:val="16"/>
                <w:szCs w:val="16"/>
              </w:rPr>
              <w:t>Todas las vacunas de los calendarios corrientes probablemente son eficaces. Se recomienda las vacunas contra neumococos y meningococos</w:t>
            </w:r>
          </w:p>
        </w:tc>
      </w:tr>
      <w:tr w:rsidR="0072615D" w14:paraId="4C09A98E" w14:textId="77777777">
        <w:tblPrEx>
          <w:tblCellMar>
            <w:top w:w="0" w:type="dxa"/>
            <w:bottom w:w="0" w:type="dxa"/>
          </w:tblCellMar>
        </w:tblPrEx>
        <w:trPr>
          <w:trHeight w:hRule="exact" w:val="768"/>
        </w:trPr>
        <w:tc>
          <w:tcPr>
            <w:tcW w:w="2074" w:type="dxa"/>
            <w:shd w:val="clear" w:color="auto" w:fill="FFFFFF"/>
          </w:tcPr>
          <w:p w14:paraId="747925C1" w14:textId="77777777" w:rsidR="0072615D" w:rsidRDefault="0072615D">
            <w:pPr>
              <w:framePr w:w="11304" w:h="2179" w:vSpace="442" w:wrap="none" w:hAnchor="page" w:x="683" w:y="3102"/>
              <w:rPr>
                <w:sz w:val="10"/>
                <w:szCs w:val="10"/>
              </w:rPr>
            </w:pPr>
          </w:p>
        </w:tc>
        <w:tc>
          <w:tcPr>
            <w:tcW w:w="2856" w:type="dxa"/>
            <w:shd w:val="clear" w:color="auto" w:fill="FFFFFF"/>
            <w:vAlign w:val="center"/>
          </w:tcPr>
          <w:p w14:paraId="66AA46E9" w14:textId="77777777" w:rsidR="0072615D" w:rsidRDefault="0072615D">
            <w:pPr>
              <w:pStyle w:val="Other0"/>
              <w:framePr w:w="11304" w:h="2179" w:vSpace="442" w:wrap="none" w:hAnchor="page" w:x="683" w:y="3102"/>
              <w:spacing w:line="283" w:lineRule="auto"/>
              <w:ind w:left="300" w:hanging="100"/>
              <w:rPr>
                <w:sz w:val="16"/>
                <w:szCs w:val="16"/>
              </w:rPr>
            </w:pPr>
            <w:r>
              <w:rPr>
                <w:rFonts w:ascii="Times New Roman" w:eastAsia="Times New Roman" w:hAnsi="Times New Roman" w:cs="Times New Roman"/>
                <w:sz w:val="16"/>
                <w:szCs w:val="16"/>
              </w:rPr>
              <w:t>Deficiencia de componentes tardíos (C5-C9), properdina, factor B</w:t>
            </w:r>
          </w:p>
        </w:tc>
        <w:tc>
          <w:tcPr>
            <w:tcW w:w="2918" w:type="dxa"/>
            <w:shd w:val="clear" w:color="auto" w:fill="FFFFFF"/>
          </w:tcPr>
          <w:p w14:paraId="2D6F44C4" w14:textId="77777777" w:rsidR="0072615D" w:rsidRDefault="0072615D">
            <w:pPr>
              <w:pStyle w:val="Other0"/>
              <w:framePr w:w="11304" w:h="2179" w:vSpace="442" w:wrap="none" w:hAnchor="page" w:x="683" w:y="3102"/>
              <w:spacing w:before="100" w:line="240" w:lineRule="auto"/>
              <w:ind w:firstLine="160"/>
              <w:rPr>
                <w:sz w:val="16"/>
                <w:szCs w:val="16"/>
              </w:rPr>
            </w:pPr>
            <w:r>
              <w:rPr>
                <w:rFonts w:ascii="Times New Roman" w:eastAsia="Times New Roman" w:hAnsi="Times New Roman" w:cs="Times New Roman"/>
                <w:sz w:val="16"/>
                <w:szCs w:val="16"/>
              </w:rPr>
              <w:t>Ninguna</w:t>
            </w:r>
          </w:p>
        </w:tc>
        <w:tc>
          <w:tcPr>
            <w:tcW w:w="3456" w:type="dxa"/>
            <w:shd w:val="clear" w:color="auto" w:fill="FFFFFF"/>
            <w:vAlign w:val="bottom"/>
          </w:tcPr>
          <w:p w14:paraId="20ADF12A" w14:textId="77777777" w:rsidR="0072615D" w:rsidRDefault="0072615D">
            <w:pPr>
              <w:pStyle w:val="Other0"/>
              <w:framePr w:w="11304" w:h="2179" w:vSpace="442" w:wrap="none" w:hAnchor="page" w:x="683" w:y="3102"/>
              <w:spacing w:line="283" w:lineRule="auto"/>
              <w:ind w:left="200" w:hanging="200"/>
              <w:rPr>
                <w:sz w:val="16"/>
                <w:szCs w:val="16"/>
              </w:rPr>
            </w:pPr>
            <w:r>
              <w:rPr>
                <w:rFonts w:ascii="Times New Roman" w:eastAsia="Times New Roman" w:hAnsi="Times New Roman" w:cs="Times New Roman"/>
                <w:sz w:val="16"/>
                <w:szCs w:val="16"/>
              </w:rPr>
              <w:t>Todas las vacunas corrientes probablemente son eficaces. Se recomienda la vacuna antimeningocócica</w:t>
            </w:r>
          </w:p>
        </w:tc>
      </w:tr>
    </w:tbl>
    <w:p w14:paraId="29BA8980" w14:textId="77777777" w:rsidR="0072615D" w:rsidRDefault="0072615D">
      <w:pPr>
        <w:framePr w:w="11304" w:h="2179" w:vSpace="442" w:wrap="none" w:hAnchor="page" w:x="683" w:y="3102"/>
        <w:spacing w:line="1" w:lineRule="exact"/>
      </w:pPr>
    </w:p>
    <w:p w14:paraId="7439AFF7" w14:textId="77777777" w:rsidR="0072615D" w:rsidRDefault="0072615D">
      <w:pPr>
        <w:pStyle w:val="Tablecaption0"/>
        <w:framePr w:w="1330" w:h="235" w:wrap="none" w:hAnchor="page" w:x="683" w:y="5488"/>
        <w:spacing w:line="240" w:lineRule="auto"/>
        <w:ind w:left="0"/>
        <w:rPr>
          <w:sz w:val="16"/>
          <w:szCs w:val="16"/>
        </w:rPr>
      </w:pPr>
      <w:r>
        <w:rPr>
          <w:sz w:val="16"/>
          <w:szCs w:val="16"/>
        </w:rPr>
        <w:t>Función fagocítica</w:t>
      </w:r>
    </w:p>
    <w:p w14:paraId="642086F9" w14:textId="77777777" w:rsidR="0072615D" w:rsidRDefault="0072615D">
      <w:pPr>
        <w:pStyle w:val="Tablecaption0"/>
        <w:framePr w:w="1920" w:h="226" w:wrap="none" w:hAnchor="page" w:x="5747" w:y="5488"/>
        <w:spacing w:line="240" w:lineRule="auto"/>
        <w:ind w:left="0"/>
        <w:jc w:val="center"/>
        <w:rPr>
          <w:sz w:val="16"/>
          <w:szCs w:val="16"/>
        </w:rPr>
      </w:pPr>
      <w:r>
        <w:rPr>
          <w:sz w:val="16"/>
          <w:szCs w:val="16"/>
        </w:rPr>
        <w:t>Vacunas de bacterias vivas</w:t>
      </w:r>
      <w:r>
        <w:rPr>
          <w:sz w:val="16"/>
          <w:szCs w:val="16"/>
          <w:vertAlign w:val="superscript"/>
        </w:rPr>
        <w:t>3</w:t>
      </w:r>
    </w:p>
    <w:p w14:paraId="4EE6DC31" w14:textId="77777777" w:rsidR="0072615D" w:rsidRDefault="0072615D">
      <w:pPr>
        <w:pStyle w:val="Bodytext20"/>
        <w:framePr w:w="2554" w:h="677" w:wrap="none" w:hAnchor="page" w:x="2943" w:y="5487"/>
        <w:jc w:val="both"/>
      </w:pPr>
      <w:r>
        <w:t>Enfermedad granulomatosa crónica Defecto de la adherencia leucocítica Deficiencia de mieloperoxidasa</w:t>
      </w:r>
    </w:p>
    <w:p w14:paraId="099A268F" w14:textId="77777777" w:rsidR="0072615D" w:rsidRDefault="0072615D">
      <w:pPr>
        <w:pStyle w:val="Bodytext20"/>
        <w:framePr w:w="3254" w:h="893" w:wrap="none" w:hAnchor="page" w:x="8612" w:y="5487"/>
      </w:pPr>
      <w:r>
        <w:t>Todas las vacunas probablemente son eficaces. Hay que pensar que la vacuna hecha de virus de influenza inactivados disminuye la inyección secundaria</w:t>
      </w:r>
    </w:p>
    <w:p w14:paraId="79C5FEDB" w14:textId="77777777" w:rsidR="0072615D" w:rsidRDefault="0072615D">
      <w:pPr>
        <w:pStyle w:val="Bodytext80"/>
        <w:framePr w:w="192" w:h="5563" w:hRule="exact" w:wrap="none" w:hAnchor="page" w:x="12390" w:y="54"/>
        <w:tabs>
          <w:tab w:val="left" w:pos="1243"/>
        </w:tabs>
        <w:textDirection w:val="tbRl"/>
      </w:pPr>
      <w:r>
        <w:rPr>
          <w:rFonts w:ascii="Garamond" w:eastAsia="Garamond" w:hAnsi="Garamond" w:cs="Garamond"/>
          <w:i/>
          <w:iCs/>
          <w:sz w:val="19"/>
          <w:szCs w:val="19"/>
        </w:rPr>
        <w:t>16</w:t>
      </w:r>
      <w:r>
        <w:tab/>
        <w:t>VACUNACIONES EN CIRCUNSTANCIAS CLÍNICAS ESPECIALES</w:t>
      </w:r>
    </w:p>
    <w:p w14:paraId="3BCF1FA1" w14:textId="77777777" w:rsidR="0072615D" w:rsidRDefault="0072615D">
      <w:pPr>
        <w:spacing w:line="360" w:lineRule="exact"/>
      </w:pPr>
    </w:p>
    <w:p w14:paraId="13FD37EF" w14:textId="77777777" w:rsidR="0072615D" w:rsidRDefault="0072615D">
      <w:pPr>
        <w:spacing w:line="360" w:lineRule="exact"/>
      </w:pPr>
    </w:p>
    <w:p w14:paraId="74579A7F" w14:textId="77777777" w:rsidR="0072615D" w:rsidRDefault="0072615D">
      <w:pPr>
        <w:spacing w:line="360" w:lineRule="exact"/>
      </w:pPr>
    </w:p>
    <w:p w14:paraId="5FCEEFB3" w14:textId="77777777" w:rsidR="0072615D" w:rsidRDefault="0072615D">
      <w:pPr>
        <w:spacing w:line="360" w:lineRule="exact"/>
      </w:pPr>
    </w:p>
    <w:p w14:paraId="20CE7FB8" w14:textId="77777777" w:rsidR="0072615D" w:rsidRDefault="0072615D">
      <w:pPr>
        <w:spacing w:line="360" w:lineRule="exact"/>
      </w:pPr>
    </w:p>
    <w:p w14:paraId="2D067995" w14:textId="77777777" w:rsidR="0072615D" w:rsidRDefault="0072615D">
      <w:pPr>
        <w:spacing w:line="360" w:lineRule="exact"/>
      </w:pPr>
    </w:p>
    <w:p w14:paraId="6C730465" w14:textId="77777777" w:rsidR="0072615D" w:rsidRDefault="0072615D">
      <w:pPr>
        <w:spacing w:line="360" w:lineRule="exact"/>
      </w:pPr>
    </w:p>
    <w:p w14:paraId="137C8A89" w14:textId="77777777" w:rsidR="0072615D" w:rsidRDefault="0072615D">
      <w:pPr>
        <w:spacing w:line="360" w:lineRule="exact"/>
      </w:pPr>
    </w:p>
    <w:p w14:paraId="2BDB565A" w14:textId="77777777" w:rsidR="0072615D" w:rsidRDefault="0072615D">
      <w:pPr>
        <w:spacing w:line="360" w:lineRule="exact"/>
      </w:pPr>
    </w:p>
    <w:p w14:paraId="188C9776" w14:textId="77777777" w:rsidR="0072615D" w:rsidRDefault="0072615D">
      <w:pPr>
        <w:spacing w:line="360" w:lineRule="exact"/>
      </w:pPr>
    </w:p>
    <w:p w14:paraId="649B3865" w14:textId="77777777" w:rsidR="0072615D" w:rsidRDefault="0072615D">
      <w:pPr>
        <w:spacing w:line="360" w:lineRule="exact"/>
      </w:pPr>
    </w:p>
    <w:p w14:paraId="31CF732D" w14:textId="77777777" w:rsidR="0072615D" w:rsidRDefault="0072615D">
      <w:pPr>
        <w:spacing w:line="360" w:lineRule="exact"/>
      </w:pPr>
    </w:p>
    <w:p w14:paraId="7E82622E" w14:textId="77777777" w:rsidR="0072615D" w:rsidRDefault="0072615D">
      <w:pPr>
        <w:spacing w:line="360" w:lineRule="exact"/>
      </w:pPr>
    </w:p>
    <w:p w14:paraId="6AFD80EF" w14:textId="77777777" w:rsidR="0072615D" w:rsidRDefault="0072615D">
      <w:pPr>
        <w:spacing w:line="360" w:lineRule="exact"/>
      </w:pPr>
    </w:p>
    <w:p w14:paraId="1A484557" w14:textId="77777777" w:rsidR="0072615D" w:rsidRDefault="0072615D">
      <w:pPr>
        <w:spacing w:line="360" w:lineRule="exact"/>
      </w:pPr>
    </w:p>
    <w:p w14:paraId="6198DF76" w14:textId="77777777" w:rsidR="0072615D" w:rsidRDefault="0072615D">
      <w:pPr>
        <w:spacing w:line="360" w:lineRule="exact"/>
      </w:pPr>
    </w:p>
    <w:p w14:paraId="40C1AF4C" w14:textId="77777777" w:rsidR="0072615D" w:rsidRDefault="0072615D">
      <w:pPr>
        <w:spacing w:after="618" w:line="1" w:lineRule="exact"/>
      </w:pPr>
    </w:p>
    <w:p w14:paraId="616ED2FF" w14:textId="77777777" w:rsidR="0072615D" w:rsidRDefault="0072615D">
      <w:pPr>
        <w:spacing w:line="1" w:lineRule="exact"/>
        <w:sectPr w:rsidR="0072615D" w:rsidSect="0072615D">
          <w:headerReference w:type="even" r:id="rId220"/>
          <w:headerReference w:type="default" r:id="rId221"/>
          <w:footerReference w:type="even" r:id="rId222"/>
          <w:footerReference w:type="default" r:id="rId223"/>
          <w:footnotePr>
            <w:numFmt w:val="chicago"/>
          </w:footnotePr>
          <w:pgSz w:w="13022" w:h="8501" w:orient="landscape"/>
          <w:pgMar w:top="451" w:right="442" w:bottom="1148" w:left="658" w:header="23" w:footer="3" w:gutter="0"/>
          <w:pgNumType w:start="106"/>
          <w:cols w:space="720"/>
          <w:noEndnote/>
          <w:docGrid w:linePitch="360"/>
          <w15:footnoteColumns w:val="1"/>
        </w:sectPr>
      </w:pPr>
    </w:p>
    <w:p w14:paraId="73A1590D" w14:textId="77777777" w:rsidR="0072615D" w:rsidRDefault="0072615D">
      <w:pPr>
        <w:spacing w:line="1" w:lineRule="exact"/>
      </w:pPr>
      <w:r>
        <w:rPr>
          <w:noProof/>
        </w:rPr>
        <mc:AlternateContent>
          <mc:Choice Requires="wps">
            <w:drawing>
              <wp:anchor distT="0" distB="0" distL="114300" distR="114300" simplePos="0" relativeHeight="251676672" behindDoc="0" locked="0" layoutInCell="1" allowOverlap="1" wp14:anchorId="20EA8F12" wp14:editId="617F5C63">
                <wp:simplePos x="0" y="0"/>
                <wp:positionH relativeFrom="page">
                  <wp:posOffset>402590</wp:posOffset>
                </wp:positionH>
                <wp:positionV relativeFrom="paragraph">
                  <wp:posOffset>234950</wp:posOffset>
                </wp:positionV>
                <wp:extent cx="7251065" cy="1252855"/>
                <wp:effectExtent l="0" t="0" r="0" b="0"/>
                <wp:wrapTopAndBottom/>
                <wp:docPr id="214" name="Shape 214"/>
                <wp:cNvGraphicFramePr/>
                <a:graphic xmlns:a="http://schemas.openxmlformats.org/drawingml/2006/main">
                  <a:graphicData uri="http://schemas.microsoft.com/office/word/2010/wordprocessingShape">
                    <wps:wsp>
                      <wps:cNvSpPr txBox="1"/>
                      <wps:spPr>
                        <a:xfrm>
                          <a:off x="0" y="0"/>
                          <a:ext cx="7251065" cy="125285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613"/>
                              <w:gridCol w:w="3451"/>
                              <w:gridCol w:w="2899"/>
                              <w:gridCol w:w="3456"/>
                            </w:tblGrid>
                            <w:tr w:rsidR="0072615D" w14:paraId="32E6AE04" w14:textId="77777777">
                              <w:tblPrEx>
                                <w:tblCellMar>
                                  <w:top w:w="0" w:type="dxa"/>
                                  <w:bottom w:w="0" w:type="dxa"/>
                                </w:tblCellMar>
                              </w:tblPrEx>
                              <w:trPr>
                                <w:trHeight w:hRule="exact" w:val="274"/>
                                <w:tblHeader/>
                              </w:trPr>
                              <w:tc>
                                <w:tcPr>
                                  <w:tcW w:w="1613" w:type="dxa"/>
                                  <w:shd w:val="clear" w:color="auto" w:fill="231F20"/>
                                  <w:vAlign w:val="bottom"/>
                                </w:tcPr>
                                <w:p w14:paraId="20ACAC9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Categoría</w:t>
                                  </w:r>
                                </w:p>
                              </w:tc>
                              <w:tc>
                                <w:tcPr>
                                  <w:tcW w:w="3451" w:type="dxa"/>
                                  <w:shd w:val="clear" w:color="auto" w:fill="231F20"/>
                                  <w:vAlign w:val="bottom"/>
                                </w:tcPr>
                                <w:p w14:paraId="1B65DF65"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700"/>
                                    <w:rPr>
                                      <w:sz w:val="24"/>
                                      <w:szCs w:val="24"/>
                                    </w:rPr>
                                  </w:pPr>
                                  <w:r>
                                    <w:rPr>
                                      <w:rFonts w:ascii="Arial" w:eastAsia="Arial" w:hAnsi="Arial" w:cs="Arial"/>
                                      <w:b/>
                                      <w:bCs/>
                                      <w:color w:val="FFFFFF"/>
                                      <w:w w:val="70"/>
                                      <w:sz w:val="24"/>
                                      <w:szCs w:val="24"/>
                                    </w:rPr>
                                    <w:t>Inmunodeficiencia específica</w:t>
                                  </w:r>
                                </w:p>
                              </w:tc>
                              <w:tc>
                                <w:tcPr>
                                  <w:tcW w:w="2899" w:type="dxa"/>
                                  <w:shd w:val="clear" w:color="auto" w:fill="231F20"/>
                                  <w:vAlign w:val="bottom"/>
                                </w:tcPr>
                                <w:p w14:paraId="2E37E48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Vacunas contraindicadas</w:t>
                                  </w:r>
                                </w:p>
                              </w:tc>
                              <w:tc>
                                <w:tcPr>
                                  <w:tcW w:w="3456" w:type="dxa"/>
                                  <w:shd w:val="clear" w:color="auto" w:fill="231F20"/>
                                  <w:vAlign w:val="bottom"/>
                                </w:tcPr>
                                <w:p w14:paraId="314804A3"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Eficacia y comentarios</w:t>
                                  </w:r>
                                </w:p>
                              </w:tc>
                            </w:tr>
                            <w:tr w:rsidR="0072615D" w14:paraId="6A57EF3E" w14:textId="77777777">
                              <w:tblPrEx>
                                <w:tblCellMar>
                                  <w:top w:w="0" w:type="dxa"/>
                                  <w:bottom w:w="0" w:type="dxa"/>
                                </w:tblCellMar>
                              </w:tblPrEx>
                              <w:trPr>
                                <w:trHeight w:hRule="exact" w:val="278"/>
                              </w:trPr>
                              <w:tc>
                                <w:tcPr>
                                  <w:tcW w:w="1613" w:type="dxa"/>
                                  <w:shd w:val="clear" w:color="auto" w:fill="FFFFFF"/>
                                  <w:vAlign w:val="bottom"/>
                                </w:tcPr>
                                <w:p w14:paraId="56AEB042" w14:textId="77777777" w:rsidR="0072615D" w:rsidRDefault="0072615D">
                                  <w:pPr>
                                    <w:pStyle w:val="Other0"/>
                                    <w:spacing w:line="240" w:lineRule="auto"/>
                                    <w:ind w:firstLine="0"/>
                                    <w:rPr>
                                      <w:sz w:val="17"/>
                                      <w:szCs w:val="17"/>
                                    </w:rPr>
                                  </w:pPr>
                                  <w:r>
                                    <w:rPr>
                                      <w:rFonts w:ascii="Times New Roman" w:eastAsia="Times New Roman" w:hAnsi="Times New Roman" w:cs="Times New Roman"/>
                                      <w:b/>
                                      <w:bCs/>
                                      <w:i/>
                                      <w:iCs/>
                                      <w:sz w:val="17"/>
                                      <w:szCs w:val="17"/>
                                    </w:rPr>
                                    <w:t>Secundaria</w:t>
                                  </w:r>
                                </w:p>
                              </w:tc>
                              <w:tc>
                                <w:tcPr>
                                  <w:tcW w:w="3451" w:type="dxa"/>
                                  <w:shd w:val="clear" w:color="auto" w:fill="FFFFFF"/>
                                </w:tcPr>
                                <w:p w14:paraId="06ACC7E5" w14:textId="77777777" w:rsidR="0072615D" w:rsidRDefault="0072615D">
                                  <w:pPr>
                                    <w:rPr>
                                      <w:sz w:val="10"/>
                                      <w:szCs w:val="10"/>
                                    </w:rPr>
                                  </w:pPr>
                                </w:p>
                              </w:tc>
                              <w:tc>
                                <w:tcPr>
                                  <w:tcW w:w="2899" w:type="dxa"/>
                                  <w:shd w:val="clear" w:color="auto" w:fill="FFFFFF"/>
                                </w:tcPr>
                                <w:p w14:paraId="2D7D4F98" w14:textId="77777777" w:rsidR="0072615D" w:rsidRDefault="0072615D">
                                  <w:pPr>
                                    <w:rPr>
                                      <w:sz w:val="10"/>
                                      <w:szCs w:val="10"/>
                                    </w:rPr>
                                  </w:pPr>
                                </w:p>
                              </w:tc>
                              <w:tc>
                                <w:tcPr>
                                  <w:tcW w:w="3456" w:type="dxa"/>
                                  <w:shd w:val="clear" w:color="auto" w:fill="FFFFFF"/>
                                </w:tcPr>
                                <w:p w14:paraId="3B6344EC" w14:textId="77777777" w:rsidR="0072615D" w:rsidRDefault="0072615D">
                                  <w:pPr>
                                    <w:rPr>
                                      <w:sz w:val="10"/>
                                      <w:szCs w:val="10"/>
                                    </w:rPr>
                                  </w:pPr>
                                </w:p>
                              </w:tc>
                            </w:tr>
                            <w:tr w:rsidR="0072615D" w14:paraId="2E40AE62" w14:textId="77777777">
                              <w:tblPrEx>
                                <w:tblCellMar>
                                  <w:top w:w="0" w:type="dxa"/>
                                  <w:bottom w:w="0" w:type="dxa"/>
                                </w:tblCellMar>
                              </w:tblPrEx>
                              <w:trPr>
                                <w:trHeight w:hRule="exact" w:val="230"/>
                              </w:trPr>
                              <w:tc>
                                <w:tcPr>
                                  <w:tcW w:w="1613" w:type="dxa"/>
                                  <w:shd w:val="clear" w:color="auto" w:fill="FFFFFF"/>
                                </w:tcPr>
                                <w:p w14:paraId="4A8211BD" w14:textId="77777777" w:rsidR="0072615D" w:rsidRDefault="0072615D">
                                  <w:pPr>
                                    <w:rPr>
                                      <w:sz w:val="10"/>
                                      <w:szCs w:val="10"/>
                                    </w:rPr>
                                  </w:pPr>
                                </w:p>
                              </w:tc>
                              <w:tc>
                                <w:tcPr>
                                  <w:tcW w:w="3451" w:type="dxa"/>
                                  <w:shd w:val="clear" w:color="auto" w:fill="FFFFFF"/>
                                  <w:vAlign w:val="bottom"/>
                                </w:tcPr>
                                <w:p w14:paraId="7AEF4EEE" w14:textId="77777777" w:rsidR="0072615D" w:rsidRDefault="0072615D">
                                  <w:pPr>
                                    <w:pStyle w:val="Other0"/>
                                    <w:spacing w:line="240" w:lineRule="auto"/>
                                    <w:ind w:firstLine="700"/>
                                    <w:rPr>
                                      <w:sz w:val="16"/>
                                      <w:szCs w:val="16"/>
                                    </w:rPr>
                                  </w:pPr>
                                  <w:r>
                                    <w:rPr>
                                      <w:rFonts w:ascii="Times New Roman" w:eastAsia="Times New Roman" w:hAnsi="Times New Roman" w:cs="Times New Roman"/>
                                      <w:sz w:val="16"/>
                                      <w:szCs w:val="16"/>
                                    </w:rPr>
                                    <w:t>VIH/SIDA</w:t>
                                  </w:r>
                                </w:p>
                              </w:tc>
                              <w:tc>
                                <w:tcPr>
                                  <w:tcW w:w="2899" w:type="dxa"/>
                                  <w:shd w:val="clear" w:color="auto" w:fill="FFFFFF"/>
                                  <w:vAlign w:val="bottom"/>
                                </w:tcPr>
                                <w:p w14:paraId="49B4076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OPV,</w:t>
                                  </w: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vaccinia, BCG; no aplicar las</w:t>
                                  </w:r>
                                </w:p>
                              </w:tc>
                              <w:tc>
                                <w:tcPr>
                                  <w:tcW w:w="3456" w:type="dxa"/>
                                  <w:shd w:val="clear" w:color="auto" w:fill="FFFFFF"/>
                                  <w:vAlign w:val="bottom"/>
                                </w:tcPr>
                                <w:p w14:paraId="1A8CFFD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Pueden ser eficaces</w:t>
                                  </w:r>
                                  <w:r>
                                    <w:rPr>
                                      <w:rFonts w:ascii="Times New Roman" w:eastAsia="Times New Roman" w:hAnsi="Times New Roman" w:cs="Times New Roman"/>
                                      <w:sz w:val="16"/>
                                      <w:szCs w:val="16"/>
                                      <w:vertAlign w:val="superscript"/>
                                    </w:rPr>
                                    <w:t>4</w:t>
                                  </w:r>
                                  <w:r>
                                    <w:rPr>
                                      <w:rFonts w:ascii="Times New Roman" w:eastAsia="Times New Roman" w:hAnsi="Times New Roman" w:cs="Times New Roman"/>
                                      <w:sz w:val="16"/>
                                      <w:szCs w:val="16"/>
                                    </w:rPr>
                                    <w:t xml:space="preserve"> las vacunas triple (MMR),</w:t>
                                  </w:r>
                                </w:p>
                              </w:tc>
                            </w:tr>
                            <w:tr w:rsidR="0072615D" w14:paraId="62F2B4E1" w14:textId="77777777">
                              <w:tblPrEx>
                                <w:tblCellMar>
                                  <w:top w:w="0" w:type="dxa"/>
                                  <w:bottom w:w="0" w:type="dxa"/>
                                </w:tblCellMar>
                              </w:tblPrEx>
                              <w:trPr>
                                <w:trHeight w:hRule="exact" w:val="211"/>
                              </w:trPr>
                              <w:tc>
                                <w:tcPr>
                                  <w:tcW w:w="1613" w:type="dxa"/>
                                  <w:shd w:val="clear" w:color="auto" w:fill="FFFFFF"/>
                                </w:tcPr>
                                <w:p w14:paraId="026EAB10" w14:textId="77777777" w:rsidR="0072615D" w:rsidRDefault="0072615D">
                                  <w:pPr>
                                    <w:rPr>
                                      <w:sz w:val="10"/>
                                      <w:szCs w:val="10"/>
                                    </w:rPr>
                                  </w:pPr>
                                </w:p>
                              </w:tc>
                              <w:tc>
                                <w:tcPr>
                                  <w:tcW w:w="3451" w:type="dxa"/>
                                  <w:shd w:val="clear" w:color="auto" w:fill="FFFFFF"/>
                                </w:tcPr>
                                <w:p w14:paraId="6AA546E6" w14:textId="77777777" w:rsidR="0072615D" w:rsidRDefault="0072615D">
                                  <w:pPr>
                                    <w:rPr>
                                      <w:sz w:val="10"/>
                                      <w:szCs w:val="10"/>
                                    </w:rPr>
                                  </w:pPr>
                                </w:p>
                              </w:tc>
                              <w:tc>
                                <w:tcPr>
                                  <w:tcW w:w="2899" w:type="dxa"/>
                                  <w:shd w:val="clear" w:color="auto" w:fill="FFFFFF"/>
                                  <w:vAlign w:val="bottom"/>
                                </w:tcPr>
                                <w:p w14:paraId="619DC756"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vacunas triple y contra la varicela en</w:t>
                                  </w:r>
                                </w:p>
                              </w:tc>
                              <w:tc>
                                <w:tcPr>
                                  <w:tcW w:w="3456" w:type="dxa"/>
                                  <w:shd w:val="clear" w:color="auto" w:fill="FFFFFF"/>
                                  <w:vAlign w:val="bottom"/>
                                </w:tcPr>
                                <w:p w14:paraId="7CF520A7"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contra varicela y todas las vacunas de gérmenes</w:t>
                                  </w:r>
                                </w:p>
                              </w:tc>
                            </w:tr>
                            <w:tr w:rsidR="0072615D" w14:paraId="2512C3B3" w14:textId="77777777">
                              <w:tblPrEx>
                                <w:tblCellMar>
                                  <w:top w:w="0" w:type="dxa"/>
                                  <w:bottom w:w="0" w:type="dxa"/>
                                </w:tblCellMar>
                              </w:tblPrEx>
                              <w:trPr>
                                <w:trHeight w:hRule="exact" w:val="326"/>
                              </w:trPr>
                              <w:tc>
                                <w:tcPr>
                                  <w:tcW w:w="1613" w:type="dxa"/>
                                  <w:shd w:val="clear" w:color="auto" w:fill="FFFFFF"/>
                                </w:tcPr>
                                <w:p w14:paraId="141212A7" w14:textId="77777777" w:rsidR="0072615D" w:rsidRDefault="0072615D">
                                  <w:pPr>
                                    <w:rPr>
                                      <w:sz w:val="10"/>
                                      <w:szCs w:val="10"/>
                                    </w:rPr>
                                  </w:pPr>
                                </w:p>
                              </w:tc>
                              <w:tc>
                                <w:tcPr>
                                  <w:tcW w:w="3451" w:type="dxa"/>
                                  <w:shd w:val="clear" w:color="auto" w:fill="FFFFFF"/>
                                </w:tcPr>
                                <w:p w14:paraId="14624E43" w14:textId="77777777" w:rsidR="0072615D" w:rsidRDefault="0072615D">
                                  <w:pPr>
                                    <w:rPr>
                                      <w:sz w:val="10"/>
                                      <w:szCs w:val="10"/>
                                    </w:rPr>
                                  </w:pPr>
                                </w:p>
                              </w:tc>
                              <w:tc>
                                <w:tcPr>
                                  <w:tcW w:w="2899" w:type="dxa"/>
                                  <w:shd w:val="clear" w:color="auto" w:fill="FFFFFF"/>
                                </w:tcPr>
                                <w:p w14:paraId="1A611FA8"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niños profundamente inmunodeficientes</w:t>
                                  </w:r>
                                </w:p>
                              </w:tc>
                              <w:tc>
                                <w:tcPr>
                                  <w:tcW w:w="3456" w:type="dxa"/>
                                  <w:shd w:val="clear" w:color="auto" w:fill="FFFFFF"/>
                                </w:tcPr>
                                <w:p w14:paraId="1B08362B"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inactivados incluidas las de virus de influenza</w:t>
                                  </w:r>
                                </w:p>
                              </w:tc>
                            </w:tr>
                            <w:tr w:rsidR="0072615D" w14:paraId="2E310667" w14:textId="77777777">
                              <w:tblPrEx>
                                <w:tblCellMar>
                                  <w:top w:w="0" w:type="dxa"/>
                                  <w:bottom w:w="0" w:type="dxa"/>
                                </w:tblCellMar>
                              </w:tblPrEx>
                              <w:trPr>
                                <w:trHeight w:hRule="exact" w:val="336"/>
                              </w:trPr>
                              <w:tc>
                                <w:tcPr>
                                  <w:tcW w:w="1613" w:type="dxa"/>
                                  <w:shd w:val="clear" w:color="auto" w:fill="FFFFFF"/>
                                </w:tcPr>
                                <w:p w14:paraId="5BEA66B8" w14:textId="77777777" w:rsidR="0072615D" w:rsidRDefault="0072615D">
                                  <w:pPr>
                                    <w:rPr>
                                      <w:sz w:val="10"/>
                                      <w:szCs w:val="10"/>
                                    </w:rPr>
                                  </w:pPr>
                                </w:p>
                              </w:tc>
                              <w:tc>
                                <w:tcPr>
                                  <w:tcW w:w="3451" w:type="dxa"/>
                                  <w:shd w:val="clear" w:color="auto" w:fill="FFFFFF"/>
                                  <w:vAlign w:val="bottom"/>
                                </w:tcPr>
                                <w:p w14:paraId="4A737FA1" w14:textId="77777777" w:rsidR="0072615D" w:rsidRDefault="0072615D">
                                  <w:pPr>
                                    <w:pStyle w:val="Other0"/>
                                    <w:spacing w:line="240" w:lineRule="auto"/>
                                    <w:ind w:firstLine="700"/>
                                    <w:rPr>
                                      <w:sz w:val="16"/>
                                      <w:szCs w:val="16"/>
                                    </w:rPr>
                                  </w:pPr>
                                  <w:r>
                                    <w:rPr>
                                      <w:rFonts w:ascii="Times New Roman" w:eastAsia="Times New Roman" w:hAnsi="Times New Roman" w:cs="Times New Roman"/>
                                      <w:sz w:val="16"/>
                                      <w:szCs w:val="16"/>
                                    </w:rPr>
                                    <w:t>Cánceres, trasplantes de diversos tejidos,</w:t>
                                  </w:r>
                                </w:p>
                              </w:tc>
                              <w:tc>
                                <w:tcPr>
                                  <w:tcW w:w="2899" w:type="dxa"/>
                                  <w:shd w:val="clear" w:color="auto" w:fill="FFFFFF"/>
                                  <w:vAlign w:val="bottom"/>
                                </w:tcPr>
                                <w:p w14:paraId="4BF414B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Vacunas hechas con virus y bacterias</w:t>
                                  </w:r>
                                </w:p>
                              </w:tc>
                              <w:tc>
                                <w:tcPr>
                                  <w:tcW w:w="3456" w:type="dxa"/>
                                  <w:shd w:val="clear" w:color="auto" w:fill="FFFFFF"/>
                                  <w:vAlign w:val="bottom"/>
                                </w:tcPr>
                                <w:p w14:paraId="6DCB600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La eficacia de cualquier vacuna depende del</w:t>
                                  </w:r>
                                </w:p>
                              </w:tc>
                            </w:tr>
                            <w:tr w:rsidR="0072615D" w14:paraId="5D3A81E0" w14:textId="77777777">
                              <w:tblPrEx>
                                <w:tblCellMar>
                                  <w:top w:w="0" w:type="dxa"/>
                                  <w:bottom w:w="0" w:type="dxa"/>
                                </w:tblCellMar>
                              </w:tblPrEx>
                              <w:trPr>
                                <w:trHeight w:hRule="exact" w:val="317"/>
                              </w:trPr>
                              <w:tc>
                                <w:tcPr>
                                  <w:tcW w:w="1613" w:type="dxa"/>
                                  <w:tcBorders>
                                    <w:bottom w:val="single" w:sz="4" w:space="0" w:color="auto"/>
                                  </w:tcBorders>
                                  <w:shd w:val="clear" w:color="auto" w:fill="FFFFFF"/>
                                </w:tcPr>
                                <w:p w14:paraId="29CF6713" w14:textId="77777777" w:rsidR="0072615D" w:rsidRDefault="0072615D">
                                  <w:pPr>
                                    <w:rPr>
                                      <w:sz w:val="10"/>
                                      <w:szCs w:val="10"/>
                                    </w:rPr>
                                  </w:pPr>
                                </w:p>
                              </w:tc>
                              <w:tc>
                                <w:tcPr>
                                  <w:tcW w:w="3451" w:type="dxa"/>
                                  <w:tcBorders>
                                    <w:bottom w:val="single" w:sz="4" w:space="0" w:color="auto"/>
                                  </w:tcBorders>
                                  <w:shd w:val="clear" w:color="auto" w:fill="FFFFFF"/>
                                </w:tcPr>
                                <w:p w14:paraId="14B20C96" w14:textId="77777777" w:rsidR="0072615D" w:rsidRDefault="0072615D">
                                  <w:pPr>
                                    <w:pStyle w:val="Other0"/>
                                    <w:spacing w:line="240" w:lineRule="auto"/>
                                    <w:ind w:firstLine="820"/>
                                    <w:rPr>
                                      <w:sz w:val="16"/>
                                      <w:szCs w:val="16"/>
                                    </w:rPr>
                                  </w:pPr>
                                  <w:r>
                                    <w:rPr>
                                      <w:rFonts w:ascii="Times New Roman" w:eastAsia="Times New Roman" w:hAnsi="Times New Roman" w:cs="Times New Roman"/>
                                      <w:sz w:val="16"/>
                                      <w:szCs w:val="16"/>
                                    </w:rPr>
                                    <w:t>terapia inmunosupresora o radioterapia</w:t>
                                  </w:r>
                                </w:p>
                              </w:tc>
                              <w:tc>
                                <w:tcPr>
                                  <w:tcW w:w="2899" w:type="dxa"/>
                                  <w:tcBorders>
                                    <w:bottom w:val="single" w:sz="4" w:space="0" w:color="auto"/>
                                  </w:tcBorders>
                                  <w:shd w:val="clear" w:color="auto" w:fill="FFFFFF"/>
                                </w:tcPr>
                                <w:p w14:paraId="0D999150"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vivos, según el estado inmunitario</w:t>
                                  </w:r>
                                  <w:r>
                                    <w:rPr>
                                      <w:rFonts w:ascii="Times New Roman" w:eastAsia="Times New Roman" w:hAnsi="Times New Roman" w:cs="Times New Roman"/>
                                      <w:sz w:val="16"/>
                                      <w:szCs w:val="16"/>
                                      <w:vertAlign w:val="superscript"/>
                                    </w:rPr>
                                    <w:t>2,3</w:t>
                                  </w:r>
                                </w:p>
                              </w:tc>
                              <w:tc>
                                <w:tcPr>
                                  <w:tcW w:w="3456" w:type="dxa"/>
                                  <w:tcBorders>
                                    <w:bottom w:val="single" w:sz="4" w:space="0" w:color="auto"/>
                                  </w:tcBorders>
                                  <w:shd w:val="clear" w:color="auto" w:fill="FFFFFF"/>
                                </w:tcPr>
                                <w:p w14:paraId="57687417"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grado de la inmunosupresión</w:t>
                                  </w:r>
                                </w:p>
                              </w:tc>
                            </w:tr>
                          </w:tbl>
                          <w:p w14:paraId="28956151" w14:textId="77777777" w:rsidR="0072615D" w:rsidRDefault="0072615D">
                            <w:pPr>
                              <w:spacing w:line="1" w:lineRule="exact"/>
                            </w:pPr>
                          </w:p>
                        </w:txbxContent>
                      </wps:txbx>
                      <wps:bodyPr lIns="0" tIns="0" rIns="0" bIns="0"/>
                    </wps:wsp>
                  </a:graphicData>
                </a:graphic>
              </wp:anchor>
            </w:drawing>
          </mc:Choice>
          <mc:Fallback>
            <w:pict>
              <v:shape w14:anchorId="20EA8F12" id="Shape 214" o:spid="_x0000_s1043" type="#_x0000_t202" style="position:absolute;margin-left:31.7pt;margin-top:18.5pt;width:570.95pt;height:98.65pt;z-index:2516766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613"/>
                        <w:gridCol w:w="3451"/>
                        <w:gridCol w:w="2899"/>
                        <w:gridCol w:w="3456"/>
                      </w:tblGrid>
                      <w:tr w:rsidR="0072615D" w14:paraId="32E6AE04" w14:textId="77777777">
                        <w:tblPrEx>
                          <w:tblCellMar>
                            <w:top w:w="0" w:type="dxa"/>
                            <w:bottom w:w="0" w:type="dxa"/>
                          </w:tblCellMar>
                        </w:tblPrEx>
                        <w:trPr>
                          <w:trHeight w:hRule="exact" w:val="274"/>
                          <w:tblHeader/>
                        </w:trPr>
                        <w:tc>
                          <w:tcPr>
                            <w:tcW w:w="1613" w:type="dxa"/>
                            <w:shd w:val="clear" w:color="auto" w:fill="231F20"/>
                            <w:vAlign w:val="bottom"/>
                          </w:tcPr>
                          <w:p w14:paraId="20ACAC9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Categoría</w:t>
                            </w:r>
                          </w:p>
                        </w:tc>
                        <w:tc>
                          <w:tcPr>
                            <w:tcW w:w="3451" w:type="dxa"/>
                            <w:shd w:val="clear" w:color="auto" w:fill="231F20"/>
                            <w:vAlign w:val="bottom"/>
                          </w:tcPr>
                          <w:p w14:paraId="1B65DF65"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700"/>
                              <w:rPr>
                                <w:sz w:val="24"/>
                                <w:szCs w:val="24"/>
                              </w:rPr>
                            </w:pPr>
                            <w:r>
                              <w:rPr>
                                <w:rFonts w:ascii="Arial" w:eastAsia="Arial" w:hAnsi="Arial" w:cs="Arial"/>
                                <w:b/>
                                <w:bCs/>
                                <w:color w:val="FFFFFF"/>
                                <w:w w:val="70"/>
                                <w:sz w:val="24"/>
                                <w:szCs w:val="24"/>
                              </w:rPr>
                              <w:t>Inmunodeficiencia específica</w:t>
                            </w:r>
                          </w:p>
                        </w:tc>
                        <w:tc>
                          <w:tcPr>
                            <w:tcW w:w="2899" w:type="dxa"/>
                            <w:shd w:val="clear" w:color="auto" w:fill="231F20"/>
                            <w:vAlign w:val="bottom"/>
                          </w:tcPr>
                          <w:p w14:paraId="2E37E48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Vacunas contraindicadas</w:t>
                            </w:r>
                          </w:p>
                        </w:tc>
                        <w:tc>
                          <w:tcPr>
                            <w:tcW w:w="3456" w:type="dxa"/>
                            <w:shd w:val="clear" w:color="auto" w:fill="231F20"/>
                            <w:vAlign w:val="bottom"/>
                          </w:tcPr>
                          <w:p w14:paraId="314804A3"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Eficacia y comentarios</w:t>
                            </w:r>
                          </w:p>
                        </w:tc>
                      </w:tr>
                      <w:tr w:rsidR="0072615D" w14:paraId="6A57EF3E" w14:textId="77777777">
                        <w:tblPrEx>
                          <w:tblCellMar>
                            <w:top w:w="0" w:type="dxa"/>
                            <w:bottom w:w="0" w:type="dxa"/>
                          </w:tblCellMar>
                        </w:tblPrEx>
                        <w:trPr>
                          <w:trHeight w:hRule="exact" w:val="278"/>
                        </w:trPr>
                        <w:tc>
                          <w:tcPr>
                            <w:tcW w:w="1613" w:type="dxa"/>
                            <w:shd w:val="clear" w:color="auto" w:fill="FFFFFF"/>
                            <w:vAlign w:val="bottom"/>
                          </w:tcPr>
                          <w:p w14:paraId="56AEB042" w14:textId="77777777" w:rsidR="0072615D" w:rsidRDefault="0072615D">
                            <w:pPr>
                              <w:pStyle w:val="Other0"/>
                              <w:spacing w:line="240" w:lineRule="auto"/>
                              <w:ind w:firstLine="0"/>
                              <w:rPr>
                                <w:sz w:val="17"/>
                                <w:szCs w:val="17"/>
                              </w:rPr>
                            </w:pPr>
                            <w:r>
                              <w:rPr>
                                <w:rFonts w:ascii="Times New Roman" w:eastAsia="Times New Roman" w:hAnsi="Times New Roman" w:cs="Times New Roman"/>
                                <w:b/>
                                <w:bCs/>
                                <w:i/>
                                <w:iCs/>
                                <w:sz w:val="17"/>
                                <w:szCs w:val="17"/>
                              </w:rPr>
                              <w:t>Secundaria</w:t>
                            </w:r>
                          </w:p>
                        </w:tc>
                        <w:tc>
                          <w:tcPr>
                            <w:tcW w:w="3451" w:type="dxa"/>
                            <w:shd w:val="clear" w:color="auto" w:fill="FFFFFF"/>
                          </w:tcPr>
                          <w:p w14:paraId="06ACC7E5" w14:textId="77777777" w:rsidR="0072615D" w:rsidRDefault="0072615D">
                            <w:pPr>
                              <w:rPr>
                                <w:sz w:val="10"/>
                                <w:szCs w:val="10"/>
                              </w:rPr>
                            </w:pPr>
                          </w:p>
                        </w:tc>
                        <w:tc>
                          <w:tcPr>
                            <w:tcW w:w="2899" w:type="dxa"/>
                            <w:shd w:val="clear" w:color="auto" w:fill="FFFFFF"/>
                          </w:tcPr>
                          <w:p w14:paraId="2D7D4F98" w14:textId="77777777" w:rsidR="0072615D" w:rsidRDefault="0072615D">
                            <w:pPr>
                              <w:rPr>
                                <w:sz w:val="10"/>
                                <w:szCs w:val="10"/>
                              </w:rPr>
                            </w:pPr>
                          </w:p>
                        </w:tc>
                        <w:tc>
                          <w:tcPr>
                            <w:tcW w:w="3456" w:type="dxa"/>
                            <w:shd w:val="clear" w:color="auto" w:fill="FFFFFF"/>
                          </w:tcPr>
                          <w:p w14:paraId="3B6344EC" w14:textId="77777777" w:rsidR="0072615D" w:rsidRDefault="0072615D">
                            <w:pPr>
                              <w:rPr>
                                <w:sz w:val="10"/>
                                <w:szCs w:val="10"/>
                              </w:rPr>
                            </w:pPr>
                          </w:p>
                        </w:tc>
                      </w:tr>
                      <w:tr w:rsidR="0072615D" w14:paraId="2E40AE62" w14:textId="77777777">
                        <w:tblPrEx>
                          <w:tblCellMar>
                            <w:top w:w="0" w:type="dxa"/>
                            <w:bottom w:w="0" w:type="dxa"/>
                          </w:tblCellMar>
                        </w:tblPrEx>
                        <w:trPr>
                          <w:trHeight w:hRule="exact" w:val="230"/>
                        </w:trPr>
                        <w:tc>
                          <w:tcPr>
                            <w:tcW w:w="1613" w:type="dxa"/>
                            <w:shd w:val="clear" w:color="auto" w:fill="FFFFFF"/>
                          </w:tcPr>
                          <w:p w14:paraId="4A8211BD" w14:textId="77777777" w:rsidR="0072615D" w:rsidRDefault="0072615D">
                            <w:pPr>
                              <w:rPr>
                                <w:sz w:val="10"/>
                                <w:szCs w:val="10"/>
                              </w:rPr>
                            </w:pPr>
                          </w:p>
                        </w:tc>
                        <w:tc>
                          <w:tcPr>
                            <w:tcW w:w="3451" w:type="dxa"/>
                            <w:shd w:val="clear" w:color="auto" w:fill="FFFFFF"/>
                            <w:vAlign w:val="bottom"/>
                          </w:tcPr>
                          <w:p w14:paraId="7AEF4EEE" w14:textId="77777777" w:rsidR="0072615D" w:rsidRDefault="0072615D">
                            <w:pPr>
                              <w:pStyle w:val="Other0"/>
                              <w:spacing w:line="240" w:lineRule="auto"/>
                              <w:ind w:firstLine="700"/>
                              <w:rPr>
                                <w:sz w:val="16"/>
                                <w:szCs w:val="16"/>
                              </w:rPr>
                            </w:pPr>
                            <w:r>
                              <w:rPr>
                                <w:rFonts w:ascii="Times New Roman" w:eastAsia="Times New Roman" w:hAnsi="Times New Roman" w:cs="Times New Roman"/>
                                <w:sz w:val="16"/>
                                <w:szCs w:val="16"/>
                              </w:rPr>
                              <w:t>VIH/SIDA</w:t>
                            </w:r>
                          </w:p>
                        </w:tc>
                        <w:tc>
                          <w:tcPr>
                            <w:tcW w:w="2899" w:type="dxa"/>
                            <w:shd w:val="clear" w:color="auto" w:fill="FFFFFF"/>
                            <w:vAlign w:val="bottom"/>
                          </w:tcPr>
                          <w:p w14:paraId="49B4076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OPV,</w:t>
                            </w:r>
                            <w:r>
                              <w:rPr>
                                <w:rFonts w:ascii="Times New Roman" w:eastAsia="Times New Roman" w:hAnsi="Times New Roman" w:cs="Times New Roman"/>
                                <w:sz w:val="16"/>
                                <w:szCs w:val="16"/>
                                <w:vertAlign w:val="superscript"/>
                              </w:rPr>
                              <w:t>1</w:t>
                            </w:r>
                            <w:r>
                              <w:rPr>
                                <w:rFonts w:ascii="Times New Roman" w:eastAsia="Times New Roman" w:hAnsi="Times New Roman" w:cs="Times New Roman"/>
                                <w:sz w:val="16"/>
                                <w:szCs w:val="16"/>
                              </w:rPr>
                              <w:t xml:space="preserve"> vaccinia, BCG; no aplicar las</w:t>
                            </w:r>
                          </w:p>
                        </w:tc>
                        <w:tc>
                          <w:tcPr>
                            <w:tcW w:w="3456" w:type="dxa"/>
                            <w:shd w:val="clear" w:color="auto" w:fill="FFFFFF"/>
                            <w:vAlign w:val="bottom"/>
                          </w:tcPr>
                          <w:p w14:paraId="1A8CFFD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Pueden ser eficaces</w:t>
                            </w:r>
                            <w:r>
                              <w:rPr>
                                <w:rFonts w:ascii="Times New Roman" w:eastAsia="Times New Roman" w:hAnsi="Times New Roman" w:cs="Times New Roman"/>
                                <w:sz w:val="16"/>
                                <w:szCs w:val="16"/>
                                <w:vertAlign w:val="superscript"/>
                              </w:rPr>
                              <w:t>4</w:t>
                            </w:r>
                            <w:r>
                              <w:rPr>
                                <w:rFonts w:ascii="Times New Roman" w:eastAsia="Times New Roman" w:hAnsi="Times New Roman" w:cs="Times New Roman"/>
                                <w:sz w:val="16"/>
                                <w:szCs w:val="16"/>
                              </w:rPr>
                              <w:t xml:space="preserve"> las vacunas triple (MMR),</w:t>
                            </w:r>
                          </w:p>
                        </w:tc>
                      </w:tr>
                      <w:tr w:rsidR="0072615D" w14:paraId="62F2B4E1" w14:textId="77777777">
                        <w:tblPrEx>
                          <w:tblCellMar>
                            <w:top w:w="0" w:type="dxa"/>
                            <w:bottom w:w="0" w:type="dxa"/>
                          </w:tblCellMar>
                        </w:tblPrEx>
                        <w:trPr>
                          <w:trHeight w:hRule="exact" w:val="211"/>
                        </w:trPr>
                        <w:tc>
                          <w:tcPr>
                            <w:tcW w:w="1613" w:type="dxa"/>
                            <w:shd w:val="clear" w:color="auto" w:fill="FFFFFF"/>
                          </w:tcPr>
                          <w:p w14:paraId="026EAB10" w14:textId="77777777" w:rsidR="0072615D" w:rsidRDefault="0072615D">
                            <w:pPr>
                              <w:rPr>
                                <w:sz w:val="10"/>
                                <w:szCs w:val="10"/>
                              </w:rPr>
                            </w:pPr>
                          </w:p>
                        </w:tc>
                        <w:tc>
                          <w:tcPr>
                            <w:tcW w:w="3451" w:type="dxa"/>
                            <w:shd w:val="clear" w:color="auto" w:fill="FFFFFF"/>
                          </w:tcPr>
                          <w:p w14:paraId="6AA546E6" w14:textId="77777777" w:rsidR="0072615D" w:rsidRDefault="0072615D">
                            <w:pPr>
                              <w:rPr>
                                <w:sz w:val="10"/>
                                <w:szCs w:val="10"/>
                              </w:rPr>
                            </w:pPr>
                          </w:p>
                        </w:tc>
                        <w:tc>
                          <w:tcPr>
                            <w:tcW w:w="2899" w:type="dxa"/>
                            <w:shd w:val="clear" w:color="auto" w:fill="FFFFFF"/>
                            <w:vAlign w:val="bottom"/>
                          </w:tcPr>
                          <w:p w14:paraId="619DC756"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vacunas triple y contra la varicela en</w:t>
                            </w:r>
                          </w:p>
                        </w:tc>
                        <w:tc>
                          <w:tcPr>
                            <w:tcW w:w="3456" w:type="dxa"/>
                            <w:shd w:val="clear" w:color="auto" w:fill="FFFFFF"/>
                            <w:vAlign w:val="bottom"/>
                          </w:tcPr>
                          <w:p w14:paraId="7CF520A7"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contra varicela y todas las vacunas de gérmenes</w:t>
                            </w:r>
                          </w:p>
                        </w:tc>
                      </w:tr>
                      <w:tr w:rsidR="0072615D" w14:paraId="2512C3B3" w14:textId="77777777">
                        <w:tblPrEx>
                          <w:tblCellMar>
                            <w:top w:w="0" w:type="dxa"/>
                            <w:bottom w:w="0" w:type="dxa"/>
                          </w:tblCellMar>
                        </w:tblPrEx>
                        <w:trPr>
                          <w:trHeight w:hRule="exact" w:val="326"/>
                        </w:trPr>
                        <w:tc>
                          <w:tcPr>
                            <w:tcW w:w="1613" w:type="dxa"/>
                            <w:shd w:val="clear" w:color="auto" w:fill="FFFFFF"/>
                          </w:tcPr>
                          <w:p w14:paraId="141212A7" w14:textId="77777777" w:rsidR="0072615D" w:rsidRDefault="0072615D">
                            <w:pPr>
                              <w:rPr>
                                <w:sz w:val="10"/>
                                <w:szCs w:val="10"/>
                              </w:rPr>
                            </w:pPr>
                          </w:p>
                        </w:tc>
                        <w:tc>
                          <w:tcPr>
                            <w:tcW w:w="3451" w:type="dxa"/>
                            <w:shd w:val="clear" w:color="auto" w:fill="FFFFFF"/>
                          </w:tcPr>
                          <w:p w14:paraId="14624E43" w14:textId="77777777" w:rsidR="0072615D" w:rsidRDefault="0072615D">
                            <w:pPr>
                              <w:rPr>
                                <w:sz w:val="10"/>
                                <w:szCs w:val="10"/>
                              </w:rPr>
                            </w:pPr>
                          </w:p>
                        </w:tc>
                        <w:tc>
                          <w:tcPr>
                            <w:tcW w:w="2899" w:type="dxa"/>
                            <w:shd w:val="clear" w:color="auto" w:fill="FFFFFF"/>
                          </w:tcPr>
                          <w:p w14:paraId="1A611FA8"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niños profundamente inmunodeficientes</w:t>
                            </w:r>
                          </w:p>
                        </w:tc>
                        <w:tc>
                          <w:tcPr>
                            <w:tcW w:w="3456" w:type="dxa"/>
                            <w:shd w:val="clear" w:color="auto" w:fill="FFFFFF"/>
                          </w:tcPr>
                          <w:p w14:paraId="1B08362B"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inactivados incluidas las de virus de influenza</w:t>
                            </w:r>
                          </w:p>
                        </w:tc>
                      </w:tr>
                      <w:tr w:rsidR="0072615D" w14:paraId="2E310667" w14:textId="77777777">
                        <w:tblPrEx>
                          <w:tblCellMar>
                            <w:top w:w="0" w:type="dxa"/>
                            <w:bottom w:w="0" w:type="dxa"/>
                          </w:tblCellMar>
                        </w:tblPrEx>
                        <w:trPr>
                          <w:trHeight w:hRule="exact" w:val="336"/>
                        </w:trPr>
                        <w:tc>
                          <w:tcPr>
                            <w:tcW w:w="1613" w:type="dxa"/>
                            <w:shd w:val="clear" w:color="auto" w:fill="FFFFFF"/>
                          </w:tcPr>
                          <w:p w14:paraId="5BEA66B8" w14:textId="77777777" w:rsidR="0072615D" w:rsidRDefault="0072615D">
                            <w:pPr>
                              <w:rPr>
                                <w:sz w:val="10"/>
                                <w:szCs w:val="10"/>
                              </w:rPr>
                            </w:pPr>
                          </w:p>
                        </w:tc>
                        <w:tc>
                          <w:tcPr>
                            <w:tcW w:w="3451" w:type="dxa"/>
                            <w:shd w:val="clear" w:color="auto" w:fill="FFFFFF"/>
                            <w:vAlign w:val="bottom"/>
                          </w:tcPr>
                          <w:p w14:paraId="4A737FA1" w14:textId="77777777" w:rsidR="0072615D" w:rsidRDefault="0072615D">
                            <w:pPr>
                              <w:pStyle w:val="Other0"/>
                              <w:spacing w:line="240" w:lineRule="auto"/>
                              <w:ind w:firstLine="700"/>
                              <w:rPr>
                                <w:sz w:val="16"/>
                                <w:szCs w:val="16"/>
                              </w:rPr>
                            </w:pPr>
                            <w:r>
                              <w:rPr>
                                <w:rFonts w:ascii="Times New Roman" w:eastAsia="Times New Roman" w:hAnsi="Times New Roman" w:cs="Times New Roman"/>
                                <w:sz w:val="16"/>
                                <w:szCs w:val="16"/>
                              </w:rPr>
                              <w:t>Cánceres, trasplantes de diversos tejidos,</w:t>
                            </w:r>
                          </w:p>
                        </w:tc>
                        <w:tc>
                          <w:tcPr>
                            <w:tcW w:w="2899" w:type="dxa"/>
                            <w:shd w:val="clear" w:color="auto" w:fill="FFFFFF"/>
                            <w:vAlign w:val="bottom"/>
                          </w:tcPr>
                          <w:p w14:paraId="4BF414B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Vacunas hechas con virus y bacterias</w:t>
                            </w:r>
                          </w:p>
                        </w:tc>
                        <w:tc>
                          <w:tcPr>
                            <w:tcW w:w="3456" w:type="dxa"/>
                            <w:shd w:val="clear" w:color="auto" w:fill="FFFFFF"/>
                            <w:vAlign w:val="bottom"/>
                          </w:tcPr>
                          <w:p w14:paraId="6DCB600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La eficacia de cualquier vacuna depende del</w:t>
                            </w:r>
                          </w:p>
                        </w:tc>
                      </w:tr>
                      <w:tr w:rsidR="0072615D" w14:paraId="5D3A81E0" w14:textId="77777777">
                        <w:tblPrEx>
                          <w:tblCellMar>
                            <w:top w:w="0" w:type="dxa"/>
                            <w:bottom w:w="0" w:type="dxa"/>
                          </w:tblCellMar>
                        </w:tblPrEx>
                        <w:trPr>
                          <w:trHeight w:hRule="exact" w:val="317"/>
                        </w:trPr>
                        <w:tc>
                          <w:tcPr>
                            <w:tcW w:w="1613" w:type="dxa"/>
                            <w:tcBorders>
                              <w:bottom w:val="single" w:sz="4" w:space="0" w:color="auto"/>
                            </w:tcBorders>
                            <w:shd w:val="clear" w:color="auto" w:fill="FFFFFF"/>
                          </w:tcPr>
                          <w:p w14:paraId="29CF6713" w14:textId="77777777" w:rsidR="0072615D" w:rsidRDefault="0072615D">
                            <w:pPr>
                              <w:rPr>
                                <w:sz w:val="10"/>
                                <w:szCs w:val="10"/>
                              </w:rPr>
                            </w:pPr>
                          </w:p>
                        </w:tc>
                        <w:tc>
                          <w:tcPr>
                            <w:tcW w:w="3451" w:type="dxa"/>
                            <w:tcBorders>
                              <w:bottom w:val="single" w:sz="4" w:space="0" w:color="auto"/>
                            </w:tcBorders>
                            <w:shd w:val="clear" w:color="auto" w:fill="FFFFFF"/>
                          </w:tcPr>
                          <w:p w14:paraId="14B20C96" w14:textId="77777777" w:rsidR="0072615D" w:rsidRDefault="0072615D">
                            <w:pPr>
                              <w:pStyle w:val="Other0"/>
                              <w:spacing w:line="240" w:lineRule="auto"/>
                              <w:ind w:firstLine="820"/>
                              <w:rPr>
                                <w:sz w:val="16"/>
                                <w:szCs w:val="16"/>
                              </w:rPr>
                            </w:pPr>
                            <w:r>
                              <w:rPr>
                                <w:rFonts w:ascii="Times New Roman" w:eastAsia="Times New Roman" w:hAnsi="Times New Roman" w:cs="Times New Roman"/>
                                <w:sz w:val="16"/>
                                <w:szCs w:val="16"/>
                              </w:rPr>
                              <w:t>terapia inmunosupresora o radioterapia</w:t>
                            </w:r>
                          </w:p>
                        </w:tc>
                        <w:tc>
                          <w:tcPr>
                            <w:tcW w:w="2899" w:type="dxa"/>
                            <w:tcBorders>
                              <w:bottom w:val="single" w:sz="4" w:space="0" w:color="auto"/>
                            </w:tcBorders>
                            <w:shd w:val="clear" w:color="auto" w:fill="FFFFFF"/>
                          </w:tcPr>
                          <w:p w14:paraId="0D999150" w14:textId="77777777" w:rsidR="0072615D" w:rsidRDefault="0072615D">
                            <w:pPr>
                              <w:pStyle w:val="Other0"/>
                              <w:spacing w:line="240" w:lineRule="auto"/>
                              <w:ind w:firstLine="160"/>
                              <w:rPr>
                                <w:sz w:val="16"/>
                                <w:szCs w:val="16"/>
                              </w:rPr>
                            </w:pPr>
                            <w:r>
                              <w:rPr>
                                <w:rFonts w:ascii="Times New Roman" w:eastAsia="Times New Roman" w:hAnsi="Times New Roman" w:cs="Times New Roman"/>
                                <w:sz w:val="16"/>
                                <w:szCs w:val="16"/>
                              </w:rPr>
                              <w:t>vivos, según el estado inmunitario</w:t>
                            </w:r>
                            <w:r>
                              <w:rPr>
                                <w:rFonts w:ascii="Times New Roman" w:eastAsia="Times New Roman" w:hAnsi="Times New Roman" w:cs="Times New Roman"/>
                                <w:sz w:val="16"/>
                                <w:szCs w:val="16"/>
                                <w:vertAlign w:val="superscript"/>
                              </w:rPr>
                              <w:t>2,3</w:t>
                            </w:r>
                          </w:p>
                        </w:tc>
                        <w:tc>
                          <w:tcPr>
                            <w:tcW w:w="3456" w:type="dxa"/>
                            <w:tcBorders>
                              <w:bottom w:val="single" w:sz="4" w:space="0" w:color="auto"/>
                            </w:tcBorders>
                            <w:shd w:val="clear" w:color="auto" w:fill="FFFFFF"/>
                          </w:tcPr>
                          <w:p w14:paraId="57687417"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grado de la inmunosupresión</w:t>
                            </w:r>
                          </w:p>
                        </w:tc>
                      </w:tr>
                    </w:tbl>
                    <w:p w14:paraId="28956151" w14:textId="77777777" w:rsidR="0072615D" w:rsidRDefault="0072615D">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77696" behindDoc="0" locked="0" layoutInCell="1" allowOverlap="1" wp14:anchorId="6E081A4E" wp14:editId="47E60218">
                <wp:simplePos x="0" y="0"/>
                <wp:positionH relativeFrom="page">
                  <wp:posOffset>7867015</wp:posOffset>
                </wp:positionH>
                <wp:positionV relativeFrom="paragraph">
                  <wp:posOffset>862330</wp:posOffset>
                </wp:positionV>
                <wp:extent cx="121920" cy="3529330"/>
                <wp:effectExtent l="0" t="0" r="0" b="0"/>
                <wp:wrapSquare wrapText="bothSides"/>
                <wp:docPr id="216" name="Shape 216"/>
                <wp:cNvGraphicFramePr/>
                <a:graphic xmlns:a="http://schemas.openxmlformats.org/drawingml/2006/main">
                  <a:graphicData uri="http://schemas.microsoft.com/office/word/2010/wordprocessingShape">
                    <wps:wsp>
                      <wps:cNvSpPr txBox="1"/>
                      <wps:spPr>
                        <a:xfrm>
                          <a:off x="0" y="0"/>
                          <a:ext cx="121920" cy="3529330"/>
                        </a:xfrm>
                        <a:prstGeom prst="rect">
                          <a:avLst/>
                        </a:prstGeom>
                        <a:noFill/>
                      </wps:spPr>
                      <wps:txbx>
                        <w:txbxContent>
                          <w:p w14:paraId="2B886C6E" w14:textId="77777777" w:rsidR="0072615D" w:rsidRDefault="0072615D">
                            <w:pPr>
                              <w:pStyle w:val="Bodytext80"/>
                              <w:tabs>
                                <w:tab w:val="left" w:pos="5299"/>
                              </w:tabs>
                              <w:rPr>
                                <w:sz w:val="16"/>
                                <w:szCs w:val="16"/>
                              </w:rPr>
                            </w:pPr>
                            <w:r>
                              <w:t>VACUNACIONES EN CIRCUNSTANCIAS CLÍNICAS ESPECIALES</w:t>
                            </w:r>
                            <w:r>
                              <w:tab/>
                            </w:r>
                            <w:r>
                              <w:rPr>
                                <w:sz w:val="16"/>
                                <w:szCs w:val="16"/>
                              </w:rPr>
                              <w:t>77</w:t>
                            </w:r>
                          </w:p>
                        </w:txbxContent>
                      </wps:txbx>
                      <wps:bodyPr vert="vert" lIns="0" tIns="0" rIns="0" bIns="0" upright="1"/>
                    </wps:wsp>
                  </a:graphicData>
                </a:graphic>
              </wp:anchor>
            </w:drawing>
          </mc:Choice>
          <mc:Fallback>
            <w:pict>
              <v:shape w14:anchorId="6E081A4E" id="Shape 216" o:spid="_x0000_s1044" type="#_x0000_t202" style="position:absolute;margin-left:619.45pt;margin-top:67.9pt;width:9.6pt;height:277.9pt;z-index:2516776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" filled="f" stroked="f">
                <v:textbox style="layout-flow:vertical" inset="0,0,0,0">
                  <w:txbxContent>
                    <w:p w14:paraId="2B886C6E" w14:textId="77777777" w:rsidR="0072615D" w:rsidRDefault="0072615D">
                      <w:pPr>
                        <w:pStyle w:val="Bodytext80"/>
                        <w:tabs>
                          <w:tab w:val="left" w:pos="5299"/>
                        </w:tabs>
                        <w:rPr>
                          <w:sz w:val="16"/>
                          <w:szCs w:val="16"/>
                        </w:rPr>
                      </w:pPr>
                      <w:r>
                        <w:t>VACUNACIONES EN CIRCUNSTANCIAS CLÍNICAS ESPECIALES</w:t>
                      </w:r>
                      <w:r>
                        <w:tab/>
                      </w:r>
                      <w:r>
                        <w:rPr>
                          <w:sz w:val="16"/>
                          <w:szCs w:val="16"/>
                        </w:rPr>
                        <w:t>77</w:t>
                      </w:r>
                    </w:p>
                  </w:txbxContent>
                </v:textbox>
                <w10:wrap type="square" anchorx="page"/>
              </v:shape>
            </w:pict>
          </mc:Fallback>
        </mc:AlternateContent>
      </w:r>
    </w:p>
    <w:p w14:paraId="0FE22E74" w14:textId="77777777" w:rsidR="0072615D" w:rsidRDefault="0072615D">
      <w:pPr>
        <w:pStyle w:val="Heading31"/>
        <w:keepNext/>
        <w:keepLines/>
        <w:spacing w:after="80"/>
        <w:ind w:firstLine="420"/>
        <w:rPr>
          <w:sz w:val="16"/>
          <w:szCs w:val="16"/>
        </w:rPr>
      </w:pPr>
      <w:bookmarkStart w:id="301" w:name="bookmark301"/>
      <w:bookmarkStart w:id="302" w:name="bookmark302"/>
      <w:bookmarkStart w:id="303" w:name="bookmark303"/>
      <w:r>
        <w:rPr>
          <w:b w:val="0"/>
          <w:bCs w:val="0"/>
        </w:rPr>
        <w:t xml:space="preserve">Cuadro 1 - 13. </w:t>
      </w:r>
      <w:r>
        <w:t xml:space="preserve">Vacunación de niños y adolescentes con deficiencias inmunitarias primarias y secundarias </w:t>
      </w:r>
      <w:r>
        <w:rPr>
          <w:rFonts w:ascii="Times New Roman" w:eastAsia="Times New Roman" w:hAnsi="Times New Roman" w:cs="Times New Roman"/>
          <w:b w:val="0"/>
          <w:bCs w:val="0"/>
          <w:i/>
          <w:iCs/>
          <w:w w:val="100"/>
          <w:sz w:val="16"/>
          <w:szCs w:val="16"/>
        </w:rPr>
        <w:t>continuación</w:t>
      </w:r>
      <w:bookmarkEnd w:id="301"/>
      <w:bookmarkEnd w:id="302"/>
      <w:bookmarkEnd w:id="303"/>
    </w:p>
    <w:p w14:paraId="731CCCD0" w14:textId="77777777" w:rsidR="0072615D" w:rsidRDefault="0072615D">
      <w:pPr>
        <w:pStyle w:val="Bodytext20"/>
        <w:spacing w:before="80" w:line="240" w:lineRule="auto"/>
        <w:ind w:left="240"/>
        <w:jc w:val="both"/>
        <w:rPr>
          <w:sz w:val="15"/>
          <w:szCs w:val="15"/>
        </w:rPr>
      </w:pPr>
      <w:r>
        <w:rPr>
          <w:sz w:val="15"/>
          <w:szCs w:val="15"/>
        </w:rPr>
        <w:t xml:space="preserve">OPV, vacuna oral de virus poliomielitico (oral poliovirus); IGIV, concentrado inmunoglobulínico intravenoso; Ig, inmunoglobulina; VIH, virus de inmunodeficiencia humana; SIDA, síndrome de inmunodeficiencia adquirida; BCG, bacilo de Calmette-Guérin; Triple (MMR), sarampión-parotiditis-rubéola </w:t>
      </w:r>
      <w:r>
        <w:rPr>
          <w:i/>
          <w:iCs/>
          <w:sz w:val="15"/>
          <w:szCs w:val="15"/>
        </w:rPr>
        <w:t>(measles-mumps-rubella).</w:t>
      </w:r>
    </w:p>
    <w:p w14:paraId="32EA3C01" w14:textId="77777777" w:rsidR="0072615D" w:rsidRDefault="0072615D">
      <w:pPr>
        <w:pStyle w:val="Bodytext20"/>
        <w:numPr>
          <w:ilvl w:val="0"/>
          <w:numId w:val="33"/>
        </w:numPr>
        <w:tabs>
          <w:tab w:val="left" w:pos="224"/>
        </w:tabs>
        <w:spacing w:line="470" w:lineRule="auto"/>
        <w:jc w:val="both"/>
        <w:rPr>
          <w:sz w:val="15"/>
          <w:szCs w:val="15"/>
        </w:rPr>
      </w:pPr>
      <w:bookmarkStart w:id="304" w:name="bookmark304"/>
      <w:bookmarkEnd w:id="304"/>
      <w:r>
        <w:rPr>
          <w:sz w:val="15"/>
          <w:szCs w:val="15"/>
        </w:rPr>
        <w:t>En Estados Unidos no se recomienda ya usar la vacuna OPV en forma sistemática.</w:t>
      </w:r>
    </w:p>
    <w:p w14:paraId="5F0CB054" w14:textId="77777777" w:rsidR="0072615D" w:rsidRDefault="0072615D">
      <w:pPr>
        <w:pStyle w:val="Bodytext20"/>
        <w:numPr>
          <w:ilvl w:val="0"/>
          <w:numId w:val="33"/>
        </w:numPr>
        <w:tabs>
          <w:tab w:val="left" w:pos="238"/>
        </w:tabs>
        <w:spacing w:line="470" w:lineRule="auto"/>
        <w:jc w:val="both"/>
        <w:rPr>
          <w:sz w:val="15"/>
          <w:szCs w:val="15"/>
        </w:rPr>
      </w:pPr>
      <w:bookmarkStart w:id="305" w:name="bookmark305"/>
      <w:bookmarkEnd w:id="305"/>
      <w:r>
        <w:rPr>
          <w:sz w:val="15"/>
          <w:szCs w:val="15"/>
        </w:rPr>
        <w:t>Vacunas de virus vivos: triple, OPV, varicela, vaccinia (viruela). Esta última vacuna no es recomendable para niños.</w:t>
      </w:r>
    </w:p>
    <w:p w14:paraId="04D568AD" w14:textId="77777777" w:rsidR="0072615D" w:rsidRDefault="0072615D">
      <w:pPr>
        <w:pStyle w:val="Bodytext20"/>
        <w:numPr>
          <w:ilvl w:val="0"/>
          <w:numId w:val="33"/>
        </w:numPr>
        <w:tabs>
          <w:tab w:val="left" w:pos="238"/>
        </w:tabs>
        <w:spacing w:line="470" w:lineRule="auto"/>
        <w:jc w:val="both"/>
        <w:rPr>
          <w:sz w:val="15"/>
          <w:szCs w:val="15"/>
        </w:rPr>
      </w:pPr>
      <w:bookmarkStart w:id="306" w:name="bookmark306"/>
      <w:bookmarkEnd w:id="306"/>
      <w:r>
        <w:rPr>
          <w:sz w:val="15"/>
          <w:szCs w:val="15"/>
        </w:rPr>
        <w:t xml:space="preserve">Vacunas de bacterias vivas: BCG y la vacuna de </w:t>
      </w:r>
      <w:r>
        <w:rPr>
          <w:i/>
          <w:iCs/>
          <w:sz w:val="15"/>
          <w:szCs w:val="15"/>
        </w:rPr>
        <w:t>Salmonella typhi</w:t>
      </w:r>
      <w:r>
        <w:rPr>
          <w:sz w:val="15"/>
          <w:szCs w:val="15"/>
        </w:rPr>
        <w:t xml:space="preserve"> Ty21a.</w:t>
      </w:r>
    </w:p>
    <w:p w14:paraId="0A1D6661" w14:textId="77777777" w:rsidR="0072615D" w:rsidRDefault="0072615D">
      <w:pPr>
        <w:pStyle w:val="Bodytext20"/>
        <w:numPr>
          <w:ilvl w:val="0"/>
          <w:numId w:val="33"/>
        </w:numPr>
        <w:tabs>
          <w:tab w:val="left" w:pos="238"/>
        </w:tabs>
        <w:spacing w:after="80" w:line="326" w:lineRule="auto"/>
        <w:ind w:left="240" w:hanging="240"/>
        <w:jc w:val="both"/>
        <w:rPr>
          <w:sz w:val="15"/>
          <w:szCs w:val="15"/>
        </w:rPr>
        <w:sectPr w:rsidR="0072615D" w:rsidSect="0072615D">
          <w:headerReference w:type="even" r:id="rId224"/>
          <w:headerReference w:type="default" r:id="rId225"/>
          <w:footerReference w:type="even" r:id="rId226"/>
          <w:footerReference w:type="default" r:id="rId227"/>
          <w:footnotePr>
            <w:numFmt w:val="chicago"/>
          </w:footnotePr>
          <w:pgSz w:w="13022" w:h="8501" w:orient="landscape"/>
          <w:pgMar w:top="1080" w:right="970" w:bottom="304" w:left="634" w:header="652" w:footer="3" w:gutter="0"/>
          <w:cols w:space="720"/>
          <w:noEndnote/>
          <w:docGrid w:linePitch="360"/>
          <w15:footnoteColumns w:val="1"/>
        </w:sectPr>
      </w:pPr>
      <w:bookmarkStart w:id="307" w:name="bookmark307"/>
      <w:bookmarkEnd w:id="307"/>
      <w:r>
        <w:rPr>
          <w:sz w:val="15"/>
          <w:szCs w:val="15"/>
        </w:rPr>
        <w:t>Los niños infectados de VIH deben recibir IG después de estar expuestos a sarampión (véase “Sarampión”, sección 3) y pueden recibir vacuna contra la varicela si su recuento de linfocitos CD4+ es igual a 25% (véase “Varicela-zoster, infecciones por el virus”, sección 3).</w:t>
      </w:r>
    </w:p>
    <w:p w14:paraId="24ED4D30" w14:textId="77777777" w:rsidR="0072615D" w:rsidRDefault="0072615D">
      <w:pPr>
        <w:pStyle w:val="BodyText"/>
        <w:ind w:firstLine="0"/>
      </w:pPr>
      <w:r>
        <w:t>una respuesta adecuada por lo común entre los tres y los 12 meses después de suspender la aplicación. Hay que aplicar cada año la vacuna de virus de influenza inactivados a los niños inmunosuprimidos de seis meses de edad y mayores antes de cada temporada de influenza. En niños con cánceres se aplicará la vacuna contra la influenza no antes de tres a cuatro semanas después de interrumpir la quimioterapia y cuando el número de granulocitos y linfocitos periféricos exceda de 1 000 células/pl (1.0 x 10</w:t>
      </w:r>
      <w:r>
        <w:rPr>
          <w:rFonts w:ascii="Times New Roman" w:eastAsia="Times New Roman" w:hAnsi="Times New Roman" w:cs="Times New Roman"/>
          <w:sz w:val="11"/>
          <w:szCs w:val="11"/>
        </w:rPr>
        <w:t>9</w:t>
      </w:r>
      <w:r>
        <w:t>/L).</w:t>
      </w:r>
    </w:p>
    <w:p w14:paraId="3EB6FBE3" w14:textId="77777777" w:rsidR="0072615D" w:rsidRDefault="0072615D">
      <w:pPr>
        <w:pStyle w:val="BodyText"/>
        <w:spacing w:line="271" w:lineRule="auto"/>
        <w:ind w:firstLine="360"/>
      </w:pPr>
      <w:r>
        <w:rPr>
          <w:rFonts w:ascii="Times New Roman" w:eastAsia="Times New Roman" w:hAnsi="Times New Roman" w:cs="Times New Roman"/>
          <w:b/>
          <w:bCs/>
          <w:i/>
          <w:iCs/>
          <w:sz w:val="16"/>
          <w:szCs w:val="16"/>
        </w:rPr>
        <w:t>Inmunodeficienciasprimarias.</w:t>
      </w:r>
      <w:r>
        <w:t xml:space="preserve"> Hay que pensar en la aplicación de vacunas contra el sarampión y la varicela en niños con trastornos de linfocitos B; sin embargo, quizá no se desencadene la respuesta a base de anticuerpos, por la enfermedad primaria y porque periódicamente la persona recibe concentrado de inmunoglobulina intravenosa (IGIV). Todas las demás vacunas de gérmenes vivos están contraindicadas en casi todos los pacientes con defectos de linfocitos B, salvo la deficiencia de inmunoglobulina A (IgA). Las vacunas de virus vivos están contraindicadas en todos los niños con trastornos de la función inmunitaria mediados por linfocitos T (véase cuadro 1-13). En niños con trastornos de la función de linfocitos T han surgido infecciones letales por los virus de poliomielitis y vacunal del sarampión, después de recibir las vacunas de virus vivos. En Estados Unidos se ha dejado de recomendar para uso diario la vacuna ingerible, de virus poliomielitico.</w:t>
      </w:r>
      <w:r>
        <w:footnoteReference w:id="24"/>
      </w:r>
      <w:r>
        <w:t xml:space="preserve"> Si se dispone de la vacuna de virus poliomielíticos inactivados se la administrará. Los niños con capacidad deficiente para la síntesis de anticuerpos no pueden desencadenar una respuesta de anticuerpos a las vacunas y deben recibir dosis regulares del concentrado inmunoglobulínico (por lo común IGIV) para obtener protección pasiva contra muchas enfermedades infecciosas. Se cuenta para profilaxia después de exposición, con concentrados inmunoglobulínicos específicos (p. ej., concentrado inmunoglobulínico de varicela-zoster </w:t>
      </w:r>
      <w:r>
        <w:rPr>
          <w:i/>
          <w:iCs/>
        </w:rPr>
        <w:t>[</w:t>
      </w:r>
      <w:r>
        <w:rPr>
          <w:rFonts w:ascii="Times New Roman" w:eastAsia="Times New Roman" w:hAnsi="Times New Roman" w:cs="Times New Roman"/>
          <w:i/>
          <w:iCs/>
          <w:sz w:val="16"/>
          <w:szCs w:val="16"/>
        </w:rPr>
        <w:t>varicella-zoster immune globulin</w:t>
      </w:r>
      <w:r>
        <w:rPr>
          <w:i/>
          <w:iCs/>
        </w:rPr>
        <w:t xml:space="preserve">, </w:t>
      </w:r>
      <w:r>
        <w:t>VZIG]) para profilaxia después de exposición a algunas infecciones (véase antes en esta sección “Inmunoglobulinas específicas”). Los niños con deficiencias menos intensas de linfocitos B y anticuerpos muestran un grado intermedio de reactividad a la vacuna y a veces en ellos se necesita vigilancia de los títulos de anticuerpos después de la vacunación para confirmar el carácter inmunógeno de la vacuna.</w:t>
      </w:r>
    </w:p>
    <w:p w14:paraId="0CE9F7F4" w14:textId="77777777" w:rsidR="0072615D" w:rsidRDefault="0072615D">
      <w:pPr>
        <w:pStyle w:val="BodyText"/>
        <w:ind w:firstLine="360"/>
      </w:pPr>
      <w:r>
        <w:t xml:space="preserve">Los niños con deficiencias tempranas o tardías de complemento pueden recibir todas sus vacunaciones incluidas las de las vacunas de gérmenes vivos. Los menores con trastornos de la función fagocitaria, como enfermedad granulomatosa crónica y defectos en la adherencia de leucocitos, pueden recibir todas las vacunaciones excepto las vacunas hechas de bacterias vivas (bacilo Calmette-Guérin [BCG] y </w:t>
      </w:r>
      <w:r>
        <w:rPr>
          <w:rFonts w:ascii="Times New Roman" w:eastAsia="Times New Roman" w:hAnsi="Times New Roman" w:cs="Times New Roman"/>
          <w:i/>
          <w:iCs/>
          <w:sz w:val="16"/>
          <w:szCs w:val="16"/>
        </w:rPr>
        <w:t xml:space="preserve">Salmonella typhi </w:t>
      </w:r>
      <w:r>
        <w:t>Ty21a). Casi todos los expertos piensan que las vacunas con virus vivos son más innocuas para los niños con deficiencias de complemento y trastornos fagocitarios.</w:t>
      </w:r>
    </w:p>
    <w:p w14:paraId="06D9FFDF"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Inmunodeficiencias secundarias (adquiridas).</w:t>
      </w:r>
      <w:r>
        <w:t xml:space="preserve"> Hay que tomar en consideración varios factores en la vacunación de niños con inmunodeficiencia secundaria como la enfermedad primaria, el régimen inmunosupresor específico (dosis y plan posológico), así como la enfermedad infecciosa y la historia de vacunaciones de la persona. Las vacunas de virus vivos por lo común están contraindicadas ante el mayor peligro de que causen graves efectos adversos. Las excepciones son niños con infección por VIH que no muestran inmunodeficiencia profunda y en quienes se recomienda la vacuna triple </w:t>
      </w:r>
      <w:r>
        <w:rPr>
          <w:rFonts w:ascii="Times New Roman" w:eastAsia="Times New Roman" w:hAnsi="Times New Roman" w:cs="Times New Roman"/>
          <w:i/>
          <w:iCs/>
          <w:sz w:val="16"/>
          <w:szCs w:val="16"/>
        </w:rPr>
        <w:t>(\measles-mumps-rubella</w:t>
      </w:r>
      <w:r>
        <w:rPr>
          <w:i/>
          <w:iCs/>
        </w:rPr>
        <w:t>,</w:t>
      </w:r>
      <w:r>
        <w:t xml:space="preserve"> MMR], sarampión-parotiditis-rubéola) (véase “Humana, infección por virus de inmunodeficiencia”, sección 3) y en quienes habría que pensar en la aplicación de la vacuna contra la varicela si el número de linfocitos CD4+ es de 25% o mayor (véase “Varicela-zoster, infecciones por el virus”, sección 3). Hay que pensar en la aplicación de la vacuna contra la varicela a niños con leucemia linfocítica aguda en fase de remisión, porque el riesgo de la varicela natural rebasa el peligro que conlleva la aplicación del virus de vacuna atenuado (véase “Varicela-zoster, infecciones por el virus”, sección 3).</w:t>
      </w:r>
    </w:p>
    <w:p w14:paraId="7439B246" w14:textId="77777777" w:rsidR="0072615D" w:rsidRDefault="0072615D">
      <w:pPr>
        <w:pStyle w:val="BodyText"/>
        <w:ind w:firstLine="360"/>
      </w:pPr>
      <w:r>
        <w:t xml:space="preserve">Es importante no aplicar vacunas de virus vivos en un lapso de 90 días, como mínimo, después de interrumpir la quimioterapia inmunosupresora contra el cáncer. La excepción sería la corticoidoterapia (véase más adelante en esta sección “Corticosteroides”) en la cual el intervalo se basa en el supuesto de que en término de 90 días se ha restaurado la respuesta inmunitaria y que está en fase de remisión o control la enfermedad primaria contra la cual se empleó la terapia inmunosupresora. Sin embargo, el intervalo puede variar con la intensidad y tipo de la terapia inmunosupresora, radioterapia, enfermedad primaria y otros factores. Por todo lo comentado, no es posible a veces hacer una recomendación definitiva del intervalo que tiene que transcurrir después de que se interrumpe la terapia inmunosupresora y en el que es posible administrar vacunas de virus vivos en forma segura y eficaz. Las pruebas </w:t>
      </w:r>
      <w:r>
        <w:rPr>
          <w:rFonts w:ascii="Times New Roman" w:eastAsia="Times New Roman" w:hAnsi="Times New Roman" w:cs="Times New Roman"/>
          <w:i/>
          <w:iCs/>
          <w:sz w:val="16"/>
          <w:szCs w:val="16"/>
        </w:rPr>
        <w:t>in vitro</w:t>
      </w:r>
      <w:r>
        <w:t xml:space="preserve"> de la función inmunitaria pueden aportar pautas para la calendarización segura de vacunaciones en pacientes individuales.</w:t>
      </w:r>
    </w:p>
    <w:p w14:paraId="64792455" w14:textId="77777777" w:rsidR="0072615D" w:rsidRDefault="0072615D">
      <w:pPr>
        <w:pStyle w:val="BodyText"/>
        <w:ind w:firstLine="360"/>
      </w:pPr>
      <w:r>
        <w:rPr>
          <w:rFonts w:ascii="Times New Roman" w:eastAsia="Times New Roman" w:hAnsi="Times New Roman" w:cs="Times New Roman"/>
          <w:b/>
          <w:bCs/>
          <w:i/>
          <w:iCs/>
          <w:sz w:val="16"/>
          <w:szCs w:val="16"/>
        </w:rPr>
        <w:t>Otras consideraciones.</w:t>
      </w:r>
      <w:r>
        <w:t xml:space="preserve"> Los pacientes con inmunodeficiencias congénitas o adquiridas quizá no desencadenen una respuesta adecuada a un agente inmunizante, razón por la cual pueden seguir estando susceptibles a pesar de haber recibido una vacuna apropiada. Es importante cuantificar después de la vacunación los títulos de anticuerpos séricos específicos para evaluar la respuesta inmunitaria y orientar en cuanto a futuras vacunaciones y tratamiento de exposiciones futuras.</w:t>
      </w:r>
    </w:p>
    <w:p w14:paraId="1673C94B" w14:textId="77777777" w:rsidR="0072615D" w:rsidRDefault="0072615D">
      <w:pPr>
        <w:pStyle w:val="BodyText"/>
        <w:ind w:firstLine="360"/>
      </w:pPr>
      <w:r>
        <w:t>Las personas con algunas deficiencias inmunitarias pueden beneficiarse de las vacunaciones específicas orientadas a evitar infecciones por microorganismos a los cuales son particularmente susceptibles. Entre los ejemplos están la administración de vacunas contra neumococos y meningococos a personas con disfunción esplénica, asplenia (véase más adelante en esta sección “Niños asplénicos”) y deficiencias de complemento que están expuestos a un mayor peligro de infección por bacterias encapsuladas. Asimismo, la vacunación anual contra la influenza está indicada para niños de seis meses de vida y mayores, con disfunción esplénica, asplenia y deficiencias de la función fagocítica para evitar la influenza y disminuir el riesgo de infecciones bacterianas secundarias (véase “Influenza”, sección 3).</w:t>
      </w:r>
    </w:p>
    <w:p w14:paraId="72FDF1BF" w14:textId="77777777" w:rsidR="0072615D" w:rsidRDefault="0072615D">
      <w:pPr>
        <w:pStyle w:val="BodyText"/>
        <w:spacing w:after="220"/>
        <w:ind w:firstLine="360"/>
      </w:pPr>
      <w:r>
        <w:rPr>
          <w:rFonts w:ascii="Times New Roman" w:eastAsia="Times New Roman" w:hAnsi="Times New Roman" w:cs="Times New Roman"/>
          <w:b/>
          <w:bCs/>
          <w:i/>
          <w:iCs/>
          <w:sz w:val="16"/>
          <w:szCs w:val="16"/>
        </w:rPr>
        <w:t>Contactos en el hogar.</w:t>
      </w:r>
      <w:r>
        <w:t xml:space="preserve"> Los hermanos y parientes inmunocompetentes y otros contactos en el núcleo familiar del sujeto con una inmunodeficiencia inmunológica no deben recibir vacuna oral de virus poliomielítico porque pueden transmitirlo a personas inmunodeficientes. Sin embargo, los hermanos, parientes y contactos en el hogar deben recibir la vacuna triple si así conviene, porque no se transmiten los virus en ella. Los contactos mencionados que tengan seis meses de vida o más, deben recibir cada año vacuna de virus de influenza inactivado para evitar la infección y el contagio ulterior a una persona inmunodeficiente. Se recomienda usar la vacuna contra varicela en contactos susceptibles de niños inmunodeficientes porque la transmisión de dicho virus desde personas sanas es rara y la enfermedad que ocasiona la vacuna, en caso de surgir, es leve. No se necesitan precauciones especiales después de la vacunación, salvo que el vacunado presente una erupción, en particular vesiculosa. En tales casos el niño vacunado debe evitar el contacto directo con hospedadores susceptibles inmunodeficientes durante el lapso en que esté presente la erupción. En caso de contacto inadvertido no conviene administrar concentrado inmunoglobulínico de varicela-zoster </w:t>
      </w:r>
      <w:r>
        <w:rPr>
          <w:i/>
          <w:iCs/>
        </w:rPr>
        <w:t>(</w:t>
      </w:r>
      <w:r>
        <w:rPr>
          <w:rFonts w:ascii="Times New Roman" w:eastAsia="Times New Roman" w:hAnsi="Times New Roman" w:cs="Times New Roman"/>
          <w:i/>
          <w:iCs/>
          <w:sz w:val="16"/>
          <w:szCs w:val="16"/>
        </w:rPr>
        <w:t>varicella-zoster immune globulin</w:t>
      </w:r>
      <w:r>
        <w:t xml:space="preserve"> VZIG) porque es poco el peligro del contagio. Asimismo, una vez que ha ocurrido la transmisión, el virus ha conservado sus características atenuadas. En casi todos los casos no se necesita administrar antirretrovíricos, aunque su empleo puede emprenderse en caso de que surja la enfermedad (véase “Varicela-zoster, infecciones por el virus”, sección 3).</w:t>
      </w:r>
    </w:p>
    <w:p w14:paraId="133032BC" w14:textId="77777777" w:rsidR="0072615D" w:rsidRDefault="0072615D">
      <w:pPr>
        <w:pStyle w:val="BodyText"/>
        <w:spacing w:after="220"/>
        <w:ind w:firstLine="0"/>
      </w:pPr>
      <w:r>
        <w:t>CORTICOSTEROIDES</w:t>
      </w:r>
    </w:p>
    <w:p w14:paraId="3B172400" w14:textId="77777777" w:rsidR="0072615D" w:rsidRDefault="0072615D">
      <w:pPr>
        <w:pStyle w:val="BodyText"/>
        <w:ind w:firstLine="0"/>
      </w:pPr>
      <w:r>
        <w:t xml:space="preserve">Los niños sometidos a corticoterapia pueden mostrar inmunodeficiencia. La dosis mínima de los corticosteroides sistémicos y el lapso de administración que baste para originar inmunosupresión en un menor por lo demás sano no se han definido con exactitud. Otro de los factores tradicionales que influyen en la inmunosupresión son la frecuencia y la vía de administración de dichos compuestos, la enfermedad primaria y otras terapias coexistentes. A pesar de los aspectos inciertos mencionados, se ha acumulado experiencia suficiente para recomendar directrices empíricas para la administración de vacunas de virus vivos a niños que habían estado sanos y que reciben corticosteroides contra cuadros que no originan inmunodeficiencia. Muchos consideran que la dosis que equivale a 2 mg o más de prednisona/kg de peso al día o su equivalente, hasta un total de </w:t>
      </w:r>
      <w:r>
        <w:rPr>
          <w:rFonts w:ascii="Arial" w:eastAsia="Arial" w:hAnsi="Arial" w:cs="Arial"/>
        </w:rPr>
        <w:t>&gt;</w:t>
      </w:r>
      <w:r>
        <w:t>20 mg/día para niños que pesan más de 10 kg, en particular si se administra por más de 14 días, es una dosis suficiente para despertar preocupación respecto de la inocuidad de las vacunas de virus vivos. Sobre tales bases, se muestran algunas directrices para administrar dicho tipo de vacunas en quienes reciben corticosteroides:</w:t>
      </w:r>
    </w:p>
    <w:p w14:paraId="01CCD557" w14:textId="77777777" w:rsidR="0072615D" w:rsidRDefault="0072615D">
      <w:pPr>
        <w:pStyle w:val="BodyText"/>
        <w:numPr>
          <w:ilvl w:val="0"/>
          <w:numId w:val="34"/>
        </w:numPr>
        <w:tabs>
          <w:tab w:val="left" w:pos="334"/>
        </w:tabs>
        <w:ind w:left="360" w:hanging="360"/>
      </w:pPr>
      <w:bookmarkStart w:id="308" w:name="bookmark308"/>
      <w:bookmarkEnd w:id="308"/>
      <w:r>
        <w:rPr>
          <w:rFonts w:ascii="Times New Roman" w:eastAsia="Times New Roman" w:hAnsi="Times New Roman" w:cs="Times New Roman"/>
          <w:b/>
          <w:bCs/>
          <w:i/>
          <w:iCs/>
          <w:sz w:val="16"/>
          <w:szCs w:val="16"/>
        </w:rPr>
        <w:t>Terapia tópica o inyecciones locales de corticosteroides.</w:t>
      </w:r>
      <w:r>
        <w:t xml:space="preserve"> La aplicación de corticosteroides tópicos en la piel o en las vías respiratorias (por aerosol) o los ojos o inyecciones intraarticulares, en bolsas sinoviales o tendones, no origina inmunosupresión que constituiría una contraindicación para aplicar vacunas de virus visos. Sin embargo, es mejor no usar este tipo de vacuna en caso de que los datos clínicos o de laboratorio de inmunosupresión sistémica sean consecuencia de la aplicación prolongada, hasta que se haya interrumpido durante un mes como mínimo la terapia con el corticosteroide.</w:t>
      </w:r>
    </w:p>
    <w:p w14:paraId="2A212D12" w14:textId="77777777" w:rsidR="0072615D" w:rsidRDefault="0072615D">
      <w:pPr>
        <w:pStyle w:val="BodyText"/>
        <w:numPr>
          <w:ilvl w:val="0"/>
          <w:numId w:val="34"/>
        </w:numPr>
        <w:tabs>
          <w:tab w:val="left" w:pos="334"/>
        </w:tabs>
        <w:ind w:left="360" w:hanging="360"/>
      </w:pPr>
      <w:bookmarkStart w:id="309" w:name="bookmark309"/>
      <w:bookmarkEnd w:id="309"/>
      <w:r>
        <w:rPr>
          <w:rFonts w:ascii="Times New Roman" w:eastAsia="Times New Roman" w:hAnsi="Times New Roman" w:cs="Times New Roman"/>
          <w:b/>
          <w:bCs/>
          <w:i/>
          <w:iCs/>
          <w:sz w:val="16"/>
          <w:szCs w:val="16"/>
        </w:rPr>
        <w:t>Dosis de sostén fisiológico de corticosteroides.</w:t>
      </w:r>
      <w:r>
        <w:t xml:space="preserve"> Los niños que reciben sólo dosis fisiológicas de sostén de los corticosteroides pueden recibir vacunas de virus vivos durante la corticoterapia.</w:t>
      </w:r>
    </w:p>
    <w:p w14:paraId="55CAC370" w14:textId="77777777" w:rsidR="0072615D" w:rsidRDefault="0072615D">
      <w:pPr>
        <w:pStyle w:val="BodyText"/>
        <w:numPr>
          <w:ilvl w:val="0"/>
          <w:numId w:val="34"/>
        </w:numPr>
        <w:tabs>
          <w:tab w:val="left" w:pos="334"/>
        </w:tabs>
        <w:spacing w:line="276" w:lineRule="auto"/>
        <w:ind w:left="360" w:hanging="360"/>
      </w:pPr>
      <w:bookmarkStart w:id="310" w:name="bookmark310"/>
      <w:bookmarkEnd w:id="310"/>
      <w:r>
        <w:rPr>
          <w:rFonts w:ascii="Times New Roman" w:eastAsia="Times New Roman" w:hAnsi="Times New Roman" w:cs="Times New Roman"/>
          <w:b/>
          <w:bCs/>
          <w:i/>
          <w:iCs/>
          <w:sz w:val="16"/>
          <w:szCs w:val="16"/>
        </w:rPr>
        <w:t>Dosis bajas o moderadas de corticosteroides sistémicos diariamente o en días alternos.</w:t>
      </w:r>
      <w:r>
        <w:t xml:space="preserve"> Los niños que reciben menos de 2 mg de prednisona o su equivalente/kg de peso al día o &lt;20 mg/día si pesa más de 10 kg, pueden recibir vacunas de virus vivos durante la corticoterapia.</w:t>
      </w:r>
    </w:p>
    <w:p w14:paraId="5EB87D7F" w14:textId="77777777" w:rsidR="0072615D" w:rsidRDefault="0072615D">
      <w:pPr>
        <w:pStyle w:val="BodyText"/>
        <w:numPr>
          <w:ilvl w:val="0"/>
          <w:numId w:val="34"/>
        </w:numPr>
        <w:tabs>
          <w:tab w:val="left" w:pos="334"/>
        </w:tabs>
        <w:spacing w:after="220" w:line="283" w:lineRule="auto"/>
        <w:ind w:left="360" w:hanging="360"/>
      </w:pPr>
      <w:bookmarkStart w:id="311" w:name="bookmark311"/>
      <w:bookmarkEnd w:id="311"/>
      <w:r>
        <w:rPr>
          <w:rFonts w:ascii="Times New Roman" w:eastAsia="Times New Roman" w:hAnsi="Times New Roman" w:cs="Times New Roman"/>
          <w:b/>
          <w:bCs/>
          <w:i/>
          <w:iCs/>
          <w:sz w:val="16"/>
          <w:szCs w:val="16"/>
        </w:rPr>
        <w:t>Dosis altas de corticosteroides sistémicos diariamente o en días alternos durante menos de 14 días.</w:t>
      </w:r>
      <w:r>
        <w:t xml:space="preserve"> Los niños que reciben </w:t>
      </w:r>
      <w:r>
        <w:rPr>
          <w:rFonts w:ascii="Arial" w:eastAsia="Arial" w:hAnsi="Arial" w:cs="Arial"/>
        </w:rPr>
        <w:t>&gt;</w:t>
      </w:r>
      <w:r>
        <w:t xml:space="preserve">2 mg de prednisona o su equivalente/kg de peso al día o </w:t>
      </w:r>
      <w:r>
        <w:rPr>
          <w:rFonts w:ascii="Arial" w:eastAsia="Arial" w:hAnsi="Arial" w:cs="Arial"/>
        </w:rPr>
        <w:t>&gt;</w:t>
      </w:r>
      <w:r>
        <w:t>20 mg/día si pesa más de 10 kg pueden recibir vacunas de virus vivos inmediatamente terminado el tratamiento. Sin embargo, algunos expertos retrasarían la vacunación para hacerla dos semanas después de haberse suspendido la corticoterapia, en la medida de lo posible (si el estado del enfermo permite la interrupción temporal).</w:t>
      </w:r>
    </w:p>
    <w:p w14:paraId="66B35ADC" w14:textId="77777777" w:rsidR="0072615D" w:rsidRDefault="0072615D">
      <w:pPr>
        <w:pStyle w:val="BodyText"/>
        <w:numPr>
          <w:ilvl w:val="0"/>
          <w:numId w:val="34"/>
        </w:numPr>
        <w:tabs>
          <w:tab w:val="left" w:pos="324"/>
        </w:tabs>
        <w:spacing w:line="276" w:lineRule="auto"/>
        <w:ind w:left="360" w:hanging="360"/>
      </w:pPr>
      <w:bookmarkStart w:id="312" w:name="bookmark312"/>
      <w:bookmarkEnd w:id="312"/>
      <w:r>
        <w:rPr>
          <w:rFonts w:ascii="Times New Roman" w:eastAsia="Times New Roman" w:hAnsi="Times New Roman" w:cs="Times New Roman"/>
          <w:b/>
          <w:bCs/>
          <w:i/>
          <w:iCs/>
          <w:sz w:val="16"/>
          <w:szCs w:val="16"/>
        </w:rPr>
        <w:t>Dosis altas de corticosteroides sistémicos diariamente o en días alternos durante 14 días o más.</w:t>
      </w:r>
      <w:r>
        <w:t xml:space="preserve"> Los niños que reciben </w:t>
      </w:r>
      <w:r>
        <w:rPr>
          <w:rFonts w:ascii="Arial" w:eastAsia="Arial" w:hAnsi="Arial" w:cs="Arial"/>
        </w:rPr>
        <w:t>&gt;</w:t>
      </w:r>
      <w:r>
        <w:t xml:space="preserve">2 mg de prednisona o su equivalente/kg de peso al día o </w:t>
      </w:r>
      <w:r>
        <w:rPr>
          <w:rFonts w:ascii="Arial" w:eastAsia="Arial" w:hAnsi="Arial" w:cs="Arial"/>
        </w:rPr>
        <w:t>&gt;</w:t>
      </w:r>
      <w:r>
        <w:t>20 mg/día, si pesa más de 10 kg, no deben recibir vacunas de virus vivos hasta que se haya interrumpido la corticoterapia durante un mes, como mínimo.</w:t>
      </w:r>
    </w:p>
    <w:p w14:paraId="09B18F14" w14:textId="77777777" w:rsidR="0072615D" w:rsidRDefault="0072615D">
      <w:pPr>
        <w:pStyle w:val="Bodytext20"/>
        <w:numPr>
          <w:ilvl w:val="0"/>
          <w:numId w:val="34"/>
        </w:numPr>
        <w:tabs>
          <w:tab w:val="left" w:pos="324"/>
        </w:tabs>
        <w:spacing w:line="298" w:lineRule="auto"/>
        <w:ind w:left="360" w:hanging="360"/>
        <w:rPr>
          <w:sz w:val="19"/>
          <w:szCs w:val="19"/>
        </w:rPr>
      </w:pPr>
      <w:bookmarkStart w:id="313" w:name="bookmark313"/>
      <w:bookmarkEnd w:id="313"/>
      <w:r>
        <w:rPr>
          <w:b/>
          <w:bCs/>
          <w:i/>
          <w:iCs/>
        </w:rPr>
        <w:t>Niños con alguna enfermedad que por sí misma suprime la respuesta inmunitaria y que reciben corticosteroides sistémicos o locales.</w:t>
      </w:r>
      <w:r>
        <w:rPr>
          <w:rFonts w:ascii="Garamond" w:eastAsia="Garamond" w:hAnsi="Garamond" w:cs="Garamond"/>
          <w:sz w:val="19"/>
          <w:szCs w:val="19"/>
        </w:rPr>
        <w:t xml:space="preserve"> En estos casos no se aplicarán las vacunas de virus vivos, excepto en circunstancias especiales.</w:t>
      </w:r>
    </w:p>
    <w:p w14:paraId="7BCAADFB" w14:textId="77777777" w:rsidR="0072615D" w:rsidRDefault="0072615D">
      <w:pPr>
        <w:pStyle w:val="BodyText"/>
        <w:ind w:firstLine="360"/>
      </w:pPr>
      <w:r>
        <w:t>Las directrices anteriores se basan en inquietudes respecto de la inocuidad de la vacuna en quienes reciben dosis altas de corticosteroides. Además, al decidir si se aplican vacunas de virus vivos habrá que evaluar los posibles beneficios y riesgos de tal medida para el paciente individual y en circunstancias específicas. Por ejemplo, algunos expertos recomiendan vacunar al paciente que se ha expuesto a un mayor peligro de una infección evitable con la vacuna (y sus complicaciones) si, a pesar de la corticoterapia, él no muestra signos clínicos de inmunosupresión.</w:t>
      </w:r>
    </w:p>
    <w:p w14:paraId="29816D79" w14:textId="77777777" w:rsidR="0072615D" w:rsidRDefault="0072615D">
      <w:pPr>
        <w:pStyle w:val="BodyText"/>
        <w:spacing w:after="220"/>
        <w:ind w:firstLine="360"/>
      </w:pPr>
      <w:r>
        <w:t>Las directrices también se basan en consideraciones de seguridad (inocuidad) propias de vacunas de virus vivos y no necesariamente guardan relación con la inmunogenicidad óptima, que es propia de la vacuna. Por ejemplo, algunos niños que reciben dosis moderadas de prednisona, como 1.5 mg/kg de peso al día durante algunas semanas o más, pudieran tener una respuesta de anticuerpos séricos menor de la óptima, hacia algunos antígenos de la vacuna. A pesar de ello, salvo que la vacunación pueda diferirse temporalmente hasta suspender el uso de corticosteroides sin poner en peligro la posibilidad de vacunación, habrá que vacunar a los niños para mejorar la posibilidad de protección en caso de que se expongan a la enfermedad. A diferencia de ello, algunos niños que reciben dosis relativamente altas de corticosteroides (como 30 mg de prednisona/día) pueden reaccionar adecuadamente a la vacunación.</w:t>
      </w:r>
    </w:p>
    <w:p w14:paraId="65517506" w14:textId="77777777" w:rsidR="0072615D" w:rsidRDefault="0072615D">
      <w:pPr>
        <w:pStyle w:val="BodyText"/>
        <w:spacing w:after="220"/>
        <w:ind w:firstLine="0"/>
      </w:pPr>
      <w:r>
        <w:t>ENFERMEDAD DE HODGKIN</w:t>
      </w:r>
    </w:p>
    <w:p w14:paraId="01035E9F" w14:textId="77777777" w:rsidR="0072615D" w:rsidRDefault="0072615D">
      <w:pPr>
        <w:pStyle w:val="BodyText"/>
        <w:spacing w:after="220" w:line="271" w:lineRule="auto"/>
        <w:ind w:firstLine="0"/>
      </w:pPr>
      <w:r>
        <w:t xml:space="preserve">Los niños con enfermedad de Hodgkin deben ser vacunados con el conjugado neumocócico, la vacuna de polisacáridos o ambos preparados, siguiendo las recomendaciones específicas para su edad (véase “Neumococos, infecciones”, sección 3); también se les aplicará la vacuna Hib conforme a las recomendaciones específicas de cada edad (véase </w:t>
      </w:r>
      <w:r>
        <w:rPr>
          <w:rFonts w:ascii="Times New Roman" w:eastAsia="Times New Roman" w:hAnsi="Times New Roman" w:cs="Times New Roman"/>
          <w:i/>
          <w:iCs/>
          <w:sz w:val="16"/>
          <w:szCs w:val="16"/>
        </w:rPr>
        <w:t>“Haemophilus influenzae</w:t>
      </w:r>
      <w:r>
        <w:rPr>
          <w:i/>
          <w:iCs/>
        </w:rPr>
        <w:t>,</w:t>
      </w:r>
      <w:r>
        <w:t xml:space="preserve"> infecciones”, sección 3). Dichos pacientes están expuestos a un mayor peligro de mostrar infección invasora por neumococos; casi todos los expertos piensan que también están expuestos a un mayor peligro de infección invasora por Hib. Es posible que la respuesta de anticuerpos llegue a su mejor nivel cuando los pacientes son vacunados 10 a 14 días, como mínimo, antes de emprender la terapia contra la enfermedad de Hodgkin. Durante la quimioterapia activa y poco después, son deficientes las respuestas de anticuerpos a la vacuna neumocócica. Sin embargo, mejora rápidamente la capacidad de reaccionar de dichos pacientes y es razonable la vacunación incluso tres meses después de interrumpir la quimioterapia. Los niños que reciben una vacuna durante el lapso de quimioterapia o radioterapia deben ser vacunados de nuevo tres meses después de interrumpir el tratamiento.</w:t>
      </w:r>
    </w:p>
    <w:p w14:paraId="79519B67" w14:textId="77777777" w:rsidR="0072615D" w:rsidRDefault="0072615D">
      <w:pPr>
        <w:pStyle w:val="BodyText"/>
        <w:spacing w:after="220"/>
        <w:ind w:firstLine="0"/>
      </w:pPr>
      <w:r>
        <w:t>RECEPTORES DE TRASPLANTES DE MÉDULA ÓSEA</w:t>
      </w:r>
    </w:p>
    <w:p w14:paraId="4AC3AD9D" w14:textId="77777777" w:rsidR="0072615D" w:rsidRDefault="0072615D">
      <w:pPr>
        <w:pStyle w:val="BodyText"/>
        <w:ind w:firstLine="0"/>
      </w:pPr>
      <w:r>
        <w:t xml:space="preserve">Muchos factores influyen en la inmunidad a enfermedades evitables por vacunas en el caso de un niño que se recupera de un trasplante logrado de médula ósea </w:t>
      </w:r>
      <w:r>
        <w:rPr>
          <w:i/>
          <w:iCs/>
        </w:rPr>
        <w:t>(</w:t>
      </w:r>
      <w:r>
        <w:rPr>
          <w:rFonts w:ascii="Times New Roman" w:eastAsia="Times New Roman" w:hAnsi="Times New Roman" w:cs="Times New Roman"/>
          <w:i/>
          <w:iCs/>
          <w:sz w:val="16"/>
          <w:szCs w:val="16"/>
        </w:rPr>
        <w:t>bone marrow transplantation, BMT</w:t>
      </w:r>
      <w:r>
        <w:rPr>
          <w:i/>
          <w:iCs/>
        </w:rPr>
        <w:t>),</w:t>
      </w:r>
      <w:r>
        <w:t xml:space="preserve"> que incluyen la inmunidad del donante, el tipo de trasplante (sangre autóloga o aloinjerto y de algunos tipos de hemoblastos</w:t>
      </w:r>
      <w:r>
        <w:footnoteReference w:id="25"/>
      </w:r>
      <w:r>
        <w:t xml:space="preserve">), el intervalo desde el trasplante, los medicamentos inmunosupresores utilizados y la enfermedad de rechazo inverso, injerto contra huésped </w:t>
      </w:r>
      <w:r>
        <w:rPr>
          <w:i/>
          <w:iCs/>
        </w:rPr>
        <w:t>(</w:t>
      </w:r>
      <w:r>
        <w:rPr>
          <w:rFonts w:ascii="Times New Roman" w:eastAsia="Times New Roman" w:hAnsi="Times New Roman" w:cs="Times New Roman"/>
          <w:i/>
          <w:iCs/>
          <w:sz w:val="16"/>
          <w:szCs w:val="16"/>
        </w:rPr>
        <w:t>graft-versus-host disease</w:t>
      </w:r>
      <w:r>
        <w:rPr>
          <w:i/>
          <w:iCs/>
        </w:rPr>
        <w:t>,</w:t>
      </w:r>
      <w:r>
        <w:t xml:space="preserve"> GVHD). Muchos niños que reciben trasplantes adquieren la inmunidad del donante, pero otros perderán las manifestaciones serológicas de la inmunidad. La conservación de la memoria inmunitaria del donante (inmunoanamnésica) puede ser facilitada si es reactivada por estimulación antigénica poco después del trasplante. Los estudios en seres humanos que han recibido médula ósea en trasplante indican que la administración (antes del trasplante) de toxoides de difteria y tétanos al donante de médula y la aplicación inmediata (después del trasplante) al receptor, facilitará la respuesta a tales antígenos; no aumentaron los títulos de anticuerpos séricos cuando se retrasó la vacunación del receptor cinco semanas después del trasplante. En teoría, cabría esperar los mismos resultados con otros antígenos vacunales inactivados, como serían virus de tos ferina como Hib, de hepatitis B y A, IPV así como vacunas a base de conjugados neumocócicos y polisacáridos.</w:t>
      </w:r>
    </w:p>
    <w:p w14:paraId="4FE83454" w14:textId="77777777" w:rsidR="0072615D" w:rsidRDefault="0072615D">
      <w:pPr>
        <w:pStyle w:val="BodyText"/>
        <w:ind w:firstLine="360"/>
      </w:pPr>
      <w:r>
        <w:t>El peligro de contraer difteria y tétanos en el lapso de 12 meses después de BMT es pequeño. Algunos expertos prefieren revacunar a todos los niños sin hacer una evaluación serológica, y otros basan la decisión de volver a vacunar contra la difteria y el tétanos, en la suficiencia de los títulos serológicos valorados un año después del trasplante. Se pueden obtener respuestas inmunitarias adecuadas con tres dosis de los toxoides mencionados (Td) a los 12, 14 y 24 meses después del trasplante en niños de siete años o mayores. En niños que tienen menos de siete años puede recurrirse a DTaP o DT. No se han publicado datos de la inocuidad y capacidad inmunógena de la vacuna contra tos ferina, en niños que reciben médula ósea en trasplante. Las personas con heridas que pueden infectarse fácilmente de tétanos sufridas en el primer año después del trasplante, deben recibir concentrado inmunoglobulínico antitetánico, sea cual sea su estado de inmunización contra el tétanos.</w:t>
      </w:r>
    </w:p>
    <w:p w14:paraId="1A2C619F" w14:textId="77777777" w:rsidR="0072615D" w:rsidRDefault="0072615D">
      <w:pPr>
        <w:pStyle w:val="BodyText"/>
        <w:ind w:firstLine="360"/>
      </w:pPr>
      <w:r>
        <w:t xml:space="preserve">Son escasos los datos que pudieran sustentar las recomendaciones para volver a vacunar contra Hib o </w:t>
      </w:r>
      <w:r>
        <w:rPr>
          <w:rFonts w:ascii="Times New Roman" w:eastAsia="Times New Roman" w:hAnsi="Times New Roman" w:cs="Times New Roman"/>
          <w:i/>
          <w:iCs/>
          <w:sz w:val="16"/>
          <w:szCs w:val="16"/>
        </w:rPr>
        <w:t>5. pneumoniae</w:t>
      </w:r>
      <w:r>
        <w:rPr>
          <w:i/>
          <w:iCs/>
        </w:rPr>
        <w:t>.</w:t>
      </w:r>
      <w:r>
        <w:t xml:space="preserve"> Con las dosis de la vacuna del conjugado Hib al parecer se obtiene alguna protección si se aplican a los 12, 14 y 24 meses después del trasplante de médula ósea en el caso de receptores de cualquier edad. En un estudio, el lapso transcurrido después del trasplante constituyó el factor más importante para valorar la respuesta inmunitaria a la vacuna a base de polisacárido de neumocócico, y la respuesta máxima se observó cuando se aplicó la vacuna dos años o más después del trasplante. En otra investigación, las vacunas de conjugados Hib y toxoide tetánico aplicados 12 y 24 meses después de BMT indujeron respuestas inmunitarias adecuadas. Algunos expertos recomiendan un calendario con múltiples dosis que incluyan el conjugado neumocócico, la vacuna de polisacárido o ambos productos, 12 y 24 meses después del trasplante, según la edad del niño (véase “Neumococos, infecciones”, sección 3). La segunda dosis de la vacuna antineumocócica no es de refuerzo sino que brinda una segunda oportunidad para la vacunación de este tipo en niños que no reaccionan a la primera dosis. En el caso de pacientes que recibirán médula ósea autóloga, la aplicación de la vacuna a base de conjugado Hib antes de obtener la médula produjo mayores concentraciones de anticuerpos contra Hib en un lapso de dos años después del trasplante, en comparación con los pacientes que no fueron vacunados antes de tal maniobra. Se observó un beneficio similar entre quienes recibieron trasplantes cuando se vacunó antes de la obtención de médula a los donantes alógenos de tal tejido.</w:t>
      </w:r>
    </w:p>
    <w:p w14:paraId="33A9C1D7" w14:textId="77777777" w:rsidR="0072615D" w:rsidRDefault="0072615D">
      <w:pPr>
        <w:pStyle w:val="BodyText"/>
        <w:ind w:firstLine="360"/>
      </w:pPr>
      <w:r>
        <w:t>Dos años después del trasplante de médula, a menudo se aplica la vacuna triple (MMR) si se supone que hay inmunocompetencia del receptor; los datos indican que los supervivientes sanos para esa fecha pueden recibir las vacunas de virus vivos sin efectos nocivos. Un mes (cuatro semanas) o más después de la primera dosis se aplicará la segunda (vacuna triple) salvo que se haya demostrado una respuesta serológica al sarampión, después de la primera dosis. No se ha evaluado el beneficio de la segunda dosis en dicha población de pacientes. Los niños que tienen una reacción de rechazo inversa crónica (GVHD) no deben ser vacunados con vacuna triple porque hay dudas en cuanto a la posibilidad de que quede en estado de latencia la infección vírica y preocupación por sus secuelas. Las personas susceptibles expuestas al sarampión deben recibir inmunoprofilaxia pasiva (véase “Sarampión”, sección 3). La vacuna contra varicela está contraindicada entre quienes reciben médula ósea, en una fecha menor a los 24 meses después del trasplante. El empleo de la vacuna mencionada en los receptores de trasplante se limita a protocolo de investigación en la cual puede valorarse la aplicación de la vacuna 24 meses o más después del trasplante en los receptores que en opinión de los expertos sean inmunocompetentes. Se recomienda la inmunización pasiva con VZIG en niños susceptibles con exposición sabida a la varicela (véase “Varicela-zoster, infecciones por el virus”, sección 3).</w:t>
      </w:r>
    </w:p>
    <w:p w14:paraId="127E2DF9" w14:textId="77777777" w:rsidR="0072615D" w:rsidRDefault="0072615D">
      <w:pPr>
        <w:pStyle w:val="BodyText"/>
        <w:ind w:firstLine="360"/>
      </w:pPr>
      <w:r>
        <w:t>Se utilizará sólo la vacuna IPV en los receptores de trasplante y sus contactos del núcleo familiar. Los niños que han recibido médula ósea deben ser inmunizados con la vacuna IPV a los 12, 14 y 24 meses después del trasplante. Se desconoce la eficacia de dosis complementarias y se necesitan más datos sobre métodos y fechas óptimas para la vacunación con IPV. Es importante valorar la inmunidad en los receptores, pero no se cuenta fácilmente en laboratorios comerciales o gubernamentales con estudios serológicos para evaluar los títulos de anticuerpos contra los virus poliomielíticos.</w:t>
      </w:r>
    </w:p>
    <w:p w14:paraId="0DB66D45" w14:textId="77777777" w:rsidR="0072615D" w:rsidRDefault="0072615D">
      <w:pPr>
        <w:pStyle w:val="BodyText"/>
        <w:ind w:firstLine="360"/>
      </w:pPr>
      <w:r>
        <w:t>La vacuna de virus de influenza inactivados quizá no sea eficaz si se administra en los primeros seis meses después del trasplante de médula, pero con su aplicación se puede proteger al menor si se aplica un año después del trasplante de médula. Es considerable el peligro de que surja la enfermedad y por ello habrá que aplicar cada año la vacuna de virus de influenza inactivados durante los comienzos del otoño (véase “Influenza”, sección 3; en el hemisferio septentrional) a personas a quienes se trasplantó médula ósea en un lapso mayor de los seis meses anteriores, incluso si dicho intervalo es menor de 12 meses.</w:t>
      </w:r>
    </w:p>
    <w:p w14:paraId="2A8AB24E" w14:textId="77777777" w:rsidR="0072615D" w:rsidRDefault="0072615D">
      <w:pPr>
        <w:pStyle w:val="BodyText"/>
        <w:spacing w:after="220"/>
        <w:ind w:firstLine="360"/>
      </w:pPr>
      <w:r>
        <w:t>No se ha valorado adecuadamente la capacidad inmunógena de la vacuna contra hepatitis B en las personas que han recibido médula ósea en trasplante. Con base en la respuesta de tales pacientes a otros antígenos proteínicos, es razonable comenzar una serie de tres dosis a los 12, 14 y 24 meses después del trasplante, seguida de métodos serológicos ulteriores a la vacunación en busca de anticuerpos contra el antígeno de superficie de HB (HBsAg). Se aplican dosis complementarias (máximo de tres) a niños que no han reaccionado a la vacuna. No se recomienda la administración sistemática de la vacuna contra hepatitis A, pero cabe considerar su aplicación 12 meses o más después del trasplante de médula en niños que tienen hepatopatía crónica o GVHD crónica, personas que provienen de áreas en que es endémica la hepatitis A o sujetos en zonas que presentan brotes. La vacunación contra hepatitis A obliga a usar dos dosis (véase “Hepatitis A”, sección 3). Las personas del núcleo hogareño y los trabajadores asistenciales que tienen contacto con niños que han recibido médula ósea u órganos sólidos en trasplante, deben tener inmunidad o ser vacunados contra virus poliomielítico, sarampión, parotiditis, rubéola, varicela, influenza y hepatitis A.</w:t>
      </w:r>
    </w:p>
    <w:p w14:paraId="25E723B1" w14:textId="77777777" w:rsidR="0072615D" w:rsidRDefault="0072615D">
      <w:pPr>
        <w:pStyle w:val="BodyText"/>
        <w:spacing w:after="220"/>
        <w:ind w:firstLine="0"/>
      </w:pPr>
      <w:r>
        <w:t>RECEPTORES DE ÓRGANOS SÓLIDOS EN TRASPLANTE</w:t>
      </w:r>
    </w:p>
    <w:p w14:paraId="2F511079" w14:textId="77777777" w:rsidR="0072615D" w:rsidRDefault="0072615D">
      <w:pPr>
        <w:pStyle w:val="BodyText"/>
        <w:ind w:firstLine="0"/>
      </w:pPr>
      <w:r>
        <w:t>Es importante que los niños y los adolescentes en quienes se considere el trasplante de algún órgano sólido reciban las vacunas recomendadas antes de hacer el injerto. En términos generales, las vacunas serán más inmunógenas antes del trasplante, y están contraindicadas las que están hechas de virus vivos mientras se administran inmunosupresores. Es escasa la información respecto del uso de vacunas de virus vivos en niños después de haber recibido un órgano sólido. En los candidatos para el trasplante que tienen más de 12 meses de vida, si recibieron sus vacunas, habrá que valorar los títulos de anticuerpos en suero, de sarampión, parotiditis, rubéola y varicela. En caso de que los menores sean susceptibles, se les aplicará la vacuna triple, la vacuna contra varicela, o ambas, antes del trasplante. También habrá que medir los títulos de anticuerpos séricos contra las cuatro enfermedades mencionadas en todos los pacientes un año después del trasplante o más. La vacuna oral del virus poliomielítico está contraindicada para quienes recibirán trasplantes y también para sus contactos del núcleo familiar. Si está indicada la protección contra la poliomielitis, habrá que recurrir a virus poliomielítico inactivado (IPV).</w:t>
      </w:r>
    </w:p>
    <w:p w14:paraId="53F1BD42" w14:textId="77777777" w:rsidR="0072615D" w:rsidRDefault="0072615D">
      <w:pPr>
        <w:pStyle w:val="BodyText"/>
        <w:ind w:firstLine="360"/>
      </w:pPr>
      <w:r>
        <w:t xml:space="preserve">Las vacunas hechas de gérmenes muertos y de subunidades no generan riesgos a quienes recibirán un órgano sólido en trasplante. Después del injerto, se pueden aplicar vacunas como DTaP, Hib, contra hepatitis A y B, influenza y de conjugado neumocócico y de polisacáridos si así conviene. Son escasos los datos de inocuidad y capacidad inmunógena de las vacunas mencionadas en niños después de trasplante. Casi todos los expertos prefieren esperar seis meses, como mínimo, después del trasplante para reanudar los calendarios de vacunación si la supresión inmunitaria es menos intensa. Sin embargo, los calendarios comentados varían en diferentes centros de trasplantología. Hay que valorar la vacuna contra hepatitis A en todo paciente que recibirá hígado en trasplante, por la mayor cifra de mortalidad que surge con infección por hepatitis A entre quienes muestran alguna hepatopatía crónica. Está indicada la vacunación anual contra la influenza antes y después del trasplante de un órgano sólido. Quienes recibirán los órganos mencionados y que están expuestos al máximo peligro de infección por </w:t>
      </w:r>
      <w:r>
        <w:rPr>
          <w:rFonts w:ascii="Times New Roman" w:eastAsia="Times New Roman" w:hAnsi="Times New Roman" w:cs="Times New Roman"/>
          <w:i/>
          <w:iCs/>
          <w:sz w:val="16"/>
          <w:szCs w:val="16"/>
        </w:rPr>
        <w:t>S. pneumoniae</w:t>
      </w:r>
      <w:r>
        <w:rPr>
          <w:i/>
          <w:iCs/>
        </w:rPr>
        <w:t>,</w:t>
      </w:r>
      <w:r>
        <w:t xml:space="preserve"> al parecer son los que han sido sometidos a trasplante de corazón o extirpación del bazo. Hay que considerar la aplicación de conjugado neumocócico o vacuna de polisacáridos entre todos los niños que recibirán trasplante (véase “Neumococos, infecciones”, sección 3).</w:t>
      </w:r>
    </w:p>
    <w:p w14:paraId="7BF67BDE" w14:textId="77777777" w:rsidR="0072615D" w:rsidRDefault="0072615D">
      <w:pPr>
        <w:pStyle w:val="BodyText"/>
        <w:spacing w:after="220"/>
        <w:ind w:firstLine="360"/>
      </w:pPr>
      <w:r>
        <w:t>La decisión de emprender la inmunización pasiva con algún concentrado inmunoglobulínico (véase antes en esta sección “Concentrados de inmunoglobulinas”), se basará en los datos serológicos de susceptibilidad y los de exposición a la enfermedad. Es importante que los contactos del núcleo familiar y personal asistencial, de niños que recibirán médula ósea o un órgano sólido en trasplante estén inmunizados o sean vacunados contra virus de poliomielitis, sarampión, artritis, rubéola, varicela, influenza y hepatitis A.</w:t>
      </w:r>
    </w:p>
    <w:p w14:paraId="39FAED42" w14:textId="77777777" w:rsidR="0072615D" w:rsidRDefault="0072615D">
      <w:pPr>
        <w:pStyle w:val="BodyText"/>
        <w:spacing w:after="220"/>
        <w:ind w:firstLine="0"/>
      </w:pPr>
      <w:r>
        <w:t>VIRUS DE INMUNODEFICIENCIA HUMANA (VÉASE TAMBIÉN “HUMANA, INFECCIÓN POR VIRUS DE INMUNODEFICENCIA [VIH]”, SECCIÓN 3)</w:t>
      </w:r>
    </w:p>
    <w:p w14:paraId="6A6CCF52" w14:textId="77777777" w:rsidR="0072615D" w:rsidRDefault="0072615D">
      <w:pPr>
        <w:pStyle w:val="BodyText"/>
        <w:ind w:firstLine="0"/>
      </w:pPr>
      <w:r>
        <w:t>Son escasos los datos sobre el empleo de las vacunas de virus y bacterias vivos que están a la disposición en el comercio, en el caso de niños infectados con VIH, pero se han señalado complicaciones después de aplicar BCG y vacunas contra el sarampión, incluida la neumonitis sarampionosa por la vacuna en un niño con inmunodeficiencia grave un año después de recibir la vacuna contra dicha enfermedad. Ha habido señalamientos de sarampión grave en niños sintomáticos infectados con VIH e incluso 40% de ellos han muerto, razón por la cual se recomienda la aplicación de la vacuna antisarampionosa (como vacuna triple) en casi todos los niños infectados por VIH, incluidos los sintomáticos pero que no tienen inmunodeficiencia tan profunda, y niños asintomáticos. Es importante aplicar la vacuna triple a los 12 meses de vida para mejorar la posibilidad de que se produzca una respuesta inmunitaria apropiada. Incluso 28 días o un mes después se podrá aplicar la segunda dosis después de la primera que se hizo a los 12 meses en un intento de inducir la seroconversión lo más tempranamente posible. En una epidemia de sarampión se puede aplicar incluso a los seis meses de vida la vacuna monovalente contra dicha enfermedad. Los niños que fueron vacunados antes de cumplir 12 meses de vida deben recibir dos dosis más de la vacuna triple (véase “Vacunación durante un brote” en Sarampión, sección 3). No se aplicará la vacuna antisarampionosa a niños con inmunodeficiencia grave que tengan infección por VIH, definida por números pequeños de linfocitos T CD4+ o un porcentaje bajo de linfocitos circulantes totales (véase “Humana, infección por virus de inmunodeficiencia [VIH]” y cuadro 3-34).</w:t>
      </w:r>
    </w:p>
    <w:p w14:paraId="6B5A6E87" w14:textId="77777777" w:rsidR="0072615D" w:rsidRDefault="0072615D">
      <w:pPr>
        <w:pStyle w:val="BodyText"/>
        <w:ind w:firstLine="360"/>
      </w:pPr>
      <w:r>
        <w:t>Una vez comparados los riesgos y beneficios posibles, habrá que considerar la aplicación de la vacuna contra varicela en niños infectados por VIH, asintomáticos o con síntomas moderados, y cuyos porcentajes de linfocitos T CD4+ específicos de la edad sean de 25% o más (véase “Varicela-zoster, infecciones por el virus”, sección 3).</w:t>
      </w:r>
      <w:r>
        <w:footnoteReference w:id="26"/>
      </w:r>
      <w:r>
        <w:t xml:space="preserve"> Es necesario aplicar las demás vacunas recomendadas sistemáticamente a los niños y adolescentes con infección asintomática o sintomática por VIH; comprenden las vacunas contra DTaP, IPV, hepatitis B, Hib, y conjugado neumocócico según el calendario recomendado (véase fig. 1-1). También es recomendable la vacunación anual de personas infectadas por VIH, contra la influenza (véase “Influenza”, sección 3). Está indicada la vacunación con conjugado neumocócico, la vacuna de polisacáridos o ambos productos, con base en recomendaciones propias para la edad y específicas para las vacunas (véase “Neumococos, infecciones”, sección 3). Son escasos los datos sobre el efecto de las vacunaciones sistemáticas en la carga de RNA vírico de VIH en niños. En algunos estudios en adultos se ha demostrado el incremento transitorio de las concentraciones de dicho ácido nucleico de VIH después de la aplicación de vacunas contra influenza o neumocócicas, pero otros estudios han indicado que no hubo incremento. Ningún dato hasta la fecha indica que tal incremento transitorio agrave la evolución de la enfermedad. Los resultados de los incrementos en las concentraciones de RNA de VIH en niños después de vacunaciones son variables. Se necesitan más investigaciones en lactantes y niños que reciben las vacunas recomendadas en los calendarios idóneos.</w:t>
      </w:r>
    </w:p>
    <w:p w14:paraId="074F26E9" w14:textId="77777777" w:rsidR="0072615D" w:rsidRDefault="0072615D">
      <w:pPr>
        <w:pStyle w:val="BodyText"/>
        <w:ind w:firstLine="360"/>
      </w:pPr>
      <w:r>
        <w:t>En Estados Unidos, la vacuna de BCG está contraindicada en niños infectados por VIH. En zonas del mundo con una incidencia alta de tuberculosis, la Organización Mundial de la Salud (OMS) recomienda aplicar la vacuna BCG a niños infectados por VIH asintomáticos.</w:t>
      </w:r>
    </w:p>
    <w:p w14:paraId="0294617C" w14:textId="77777777" w:rsidR="0072615D" w:rsidRDefault="0072615D">
      <w:pPr>
        <w:pStyle w:val="BodyText"/>
        <w:ind w:firstLine="360"/>
      </w:pPr>
      <w:r>
        <w:t>No se recomienda la detección sistemática o generalizada de infección por VIH en niños asintomáticos antes de aplicar las vacunas habituales. Hay que vacunar a todo niño sin manifestaciones clínicas de la infección por VIH o sin los factores conocidos de riesgo, conforme al calendario recomendado de vacunaciones de niños y adolescentes.</w:t>
      </w:r>
    </w:p>
    <w:p w14:paraId="116C854D" w14:textId="77777777" w:rsidR="0072615D" w:rsidRDefault="0072615D">
      <w:pPr>
        <w:pStyle w:val="BodyText"/>
        <w:ind w:firstLine="360"/>
      </w:pPr>
      <w:r>
        <w:t>La capacidad de los niños infectados por VIH de reaccionar a los antígenos de la vacuna, posiblemente depende del grado de inmunosupresión en el momento de la vacunación y pudiera ser inadecuada; por tal razón habrá que considerar a tales niños como potencialmente susceptibles a las enfermedades evitables con la vacuna, incluso después de vacunación apropiada, salvo que un estudio serológico reciente demuestre que existen concentraciones suficientes de anticuerpos. Por tal motivo, hay que pensar en la inmunoprofilaxia pasiva o la quimioprofilaxia después de la exposición a tales enfermedades, incluso si el niño recibió en fechas anteriores las vacunas recomendadas.</w:t>
      </w:r>
    </w:p>
    <w:p w14:paraId="0B4297BF" w14:textId="77777777" w:rsidR="0072615D" w:rsidRDefault="0072615D">
      <w:pPr>
        <w:pStyle w:val="BodyText"/>
        <w:spacing w:after="220"/>
        <w:ind w:firstLine="360"/>
      </w:pPr>
      <w:r>
        <w:t>En raras ocasiones ha habido contagio desde personas sanas del virus de varicela- zoster de tipo vacunal. Por tal razón, se podrá aplicar a los contactos del círculo familiar de personas infectadas por VIH la vacuna de virus vivos de varicela (véase “Varicela- zoster, infecciones por el virus”, sección 3). No se necesitan precauciones después de la vacunación de niños sanos que no terminan por mostrar la erupción. Los niños que reciben la vacuna y que muestran la erupción será mejor que eviten el contacto directo con hospedadores inmunodeficientes susceptibles durante todo el tiempo en que dure la erupción. Si el contacto inmunodeficiente termina por mostrar varicela, la enfermedad será leve y benigna y no conviene utilizar VZIG para evitar el contagio.</w:t>
      </w:r>
    </w:p>
    <w:p w14:paraId="14C42A6B" w14:textId="77777777" w:rsidR="0072615D" w:rsidRDefault="0072615D">
      <w:pPr>
        <w:pStyle w:val="BodyText"/>
        <w:spacing w:after="220"/>
        <w:ind w:firstLine="0"/>
      </w:pPr>
      <w:r>
        <w:t>NIÑOS ASPLÉNICOS</w:t>
      </w:r>
    </w:p>
    <w:p w14:paraId="449C0EE8" w14:textId="77777777" w:rsidR="0072615D" w:rsidRDefault="0072615D">
      <w:pPr>
        <w:pStyle w:val="BodyText"/>
        <w:ind w:firstLine="0"/>
      </w:pPr>
      <w:r>
        <w:t>El estado asplénico es consecuencia de los factores siguientes: 1) extirpación quirúrgica del bazo; 2) efecto de algunas enfermedades como la drepanocítica (asplenia funcional); o 3) asplenia congénita. Todos los lactantes, niños, adolescentes y adultos sin bazo, independientemente del origen de la asplenia, están expuestos a un mayor peligro de bacteriemia fulminante, que se acompaña de una cifra alta de mortalidad. La susceptibilidad a la bacteriemia mencionada depende en gran medida de la enfermedad primaria. En comparación con los niños inmunocompetentes a quienes no se ha practicado esplenectomía, la incidencia y la cifra de mortalidad por septicemia aumentan en niños sin bazo después de traumatismo y en niños con enfermedad drepanocítica, incluso 350 veces, y la cifra puede ser mucho mayor entre los menores a los que se extirpó el bazo por talasemia. El riesgo de bacteriemia es mayor en niños de corta edad que en los de mayor edad y puede ser mucho mayor en los años inmediatos a la esplenectomía. Sin embargo, se han señalado casos de bacteriemia fulminante en adultos incluso 25 años después de la pérdida del bazo.</w:t>
      </w:r>
    </w:p>
    <w:p w14:paraId="31F4B16D" w14:textId="77777777" w:rsidR="0072615D" w:rsidRDefault="0072615D">
      <w:pPr>
        <w:pStyle w:val="BodyText"/>
        <w:spacing w:after="220" w:line="290" w:lineRule="auto"/>
        <w:ind w:firstLine="360"/>
      </w:pPr>
      <w:r>
        <w:rPr>
          <w:rFonts w:ascii="Times New Roman" w:eastAsia="Times New Roman" w:hAnsi="Times New Roman" w:cs="Times New Roman"/>
          <w:i/>
          <w:iCs/>
          <w:sz w:val="16"/>
          <w:szCs w:val="16"/>
        </w:rPr>
        <w:t>Streptococcus pneumoniae</w:t>
      </w:r>
      <w:r>
        <w:t xml:space="preserve"> es el patógeno más importante en niños asplénicos; causas menos frecuentes de bacteriemia incluyen Hib, </w:t>
      </w:r>
      <w:r>
        <w:rPr>
          <w:rFonts w:ascii="Times New Roman" w:eastAsia="Times New Roman" w:hAnsi="Times New Roman" w:cs="Times New Roman"/>
          <w:i/>
          <w:iCs/>
          <w:sz w:val="16"/>
          <w:szCs w:val="16"/>
        </w:rPr>
        <w:t>Neisseria meningitidis</w:t>
      </w:r>
      <w:r>
        <w:rPr>
          <w:i/>
          <w:iCs/>
        </w:rPr>
        <w:t>,</w:t>
      </w:r>
      <w:r>
        <w:t xml:space="preserve"> otros estreptococos, </w:t>
      </w:r>
      <w:r>
        <w:rPr>
          <w:rFonts w:ascii="Times New Roman" w:eastAsia="Times New Roman" w:hAnsi="Times New Roman" w:cs="Times New Roman"/>
          <w:i/>
          <w:iCs/>
          <w:sz w:val="16"/>
          <w:szCs w:val="16"/>
        </w:rPr>
        <w:t>Escherichia coli</w:t>
      </w:r>
      <w:r>
        <w:rPr>
          <w:i/>
          <w:iCs/>
        </w:rPr>
        <w:t xml:space="preserve">, </w:t>
      </w:r>
      <w:r>
        <w:rPr>
          <w:rFonts w:ascii="Times New Roman" w:eastAsia="Times New Roman" w:hAnsi="Times New Roman" w:cs="Times New Roman"/>
          <w:i/>
          <w:iCs/>
          <w:sz w:val="16"/>
          <w:szCs w:val="16"/>
        </w:rPr>
        <w:t>Staphylococcus aureus</w:t>
      </w:r>
      <w:r>
        <w:t xml:space="preserve"> y bacilos gramnegativos como especies de </w:t>
      </w:r>
      <w:r>
        <w:rPr>
          <w:rFonts w:ascii="Times New Roman" w:eastAsia="Times New Roman" w:hAnsi="Times New Roman" w:cs="Times New Roman"/>
          <w:i/>
          <w:iCs/>
          <w:sz w:val="16"/>
          <w:szCs w:val="16"/>
        </w:rPr>
        <w:t>Salmonella</w:t>
      </w:r>
      <w:r>
        <w:rPr>
          <w:i/>
          <w:iCs/>
        </w:rPr>
        <w:t>,</w:t>
      </w:r>
      <w:r>
        <w:t xml:space="preserve"> de </w:t>
      </w:r>
      <w:r>
        <w:rPr>
          <w:rFonts w:ascii="Times New Roman" w:eastAsia="Times New Roman" w:hAnsi="Times New Roman" w:cs="Times New Roman"/>
          <w:i/>
          <w:iCs/>
          <w:sz w:val="16"/>
          <w:szCs w:val="16"/>
        </w:rPr>
        <w:t>Klebsiella</w:t>
      </w:r>
      <w:r>
        <w:t xml:space="preserve"> y </w:t>
      </w:r>
      <w:r>
        <w:rPr>
          <w:rFonts w:ascii="Times New Roman" w:eastAsia="Times New Roman" w:hAnsi="Times New Roman" w:cs="Times New Roman"/>
          <w:i/>
          <w:iCs/>
          <w:sz w:val="16"/>
          <w:szCs w:val="16"/>
        </w:rPr>
        <w:t>Pseudomonas aeruginosa</w:t>
      </w:r>
      <w:r>
        <w:rPr>
          <w:i/>
          <w:iCs/>
        </w:rPr>
        <w:t>.</w:t>
      </w:r>
      <w:r>
        <w:t xml:space="preserve"> Las personas con asplenia funcional o anatómica también están expuestas a un mayor peligro de paludismo letal y de babesiosis grave.</w:t>
      </w:r>
    </w:p>
    <w:p w14:paraId="13475F98" w14:textId="77777777" w:rsidR="0072615D" w:rsidRDefault="0072615D">
      <w:pPr>
        <w:pStyle w:val="BodyText"/>
        <w:ind w:firstLine="360"/>
      </w:pPr>
      <w:r>
        <w:t>En todo niño asplénico está indicada la aplicación de la vacuna de conjugado neumocócico, de polisacárido o ambos productos, a la edad apropiada (véase “Neumococos, infecciones”, sección 3). También se recomienda aplicar de nuevo las vacunas mencionadas (conjugado y polisacárido) a los 24 meses de vida o antes (véase “Neumococos, infecciones”, sección 3). La vacunación contra infecciones por Hib se emprenderá a los dos meses de vida, de igual manera que se recomienda para niños de corta edad. por lo demás sanos (véase fig. 1-1) y a todos los niños que no han sido vacunados y que tienen asplenia. También habrá que aplicar a los niños asplénicos de dos años de vida y mayores la vacuna de polisacárido meningocócico tetravalente (véase “Meningocócicas, infecciones”, sección 3). No se ha precisado la eficacia de la vacuna antimeningocócica en niños asplénicos, si bien quizá tenga una eficacia semejante a la vacuna de polisacárido neumocócico. No existe ninguna contraindicación para aplicar simultáneamente las vacunas en cuestión en jeringuillas separadas y en sitios diferentes. En Estados Unidos, la vacuna antimeningocócica aprobada está hecha de un polisacárido no conjugado y no tiene tanta eficacia para evitar la enfermedad en niños menores de cinco años como la tiene en personas de mayor edad.</w:t>
      </w:r>
    </w:p>
    <w:p w14:paraId="342AF827" w14:textId="77777777" w:rsidR="0072615D" w:rsidRDefault="0072615D">
      <w:pPr>
        <w:pStyle w:val="BodyText"/>
        <w:ind w:firstLine="360"/>
      </w:pPr>
      <w:r>
        <w:t>En muchos niños asplénicos se recomienda la profilaxia diaria con antimicrobianos, contra infecciones por neumococos, sea cual sea su estado de vacunación. En el caso de lactantes con anemia drepanocítica, la profilaxia con penicilina ingerible contra enfermedad por neumococos invasores debe emprenderse tan pronto se confirma el diagnóstico, y de preferencia a los dos meses de vida. La eficacia de la profilaxia con antimicrobianos ha sido probada sólo en niños con anemia drepanocítica, pero otros menores asplénicos están expuestos a un riesgo particularmente grande como los que tienen cánceres y talasemia, y también deben recibir la quimioprofilaxia diaria. No hay consenso en cuanto a la necesidad de profilaxia en niños a los que se extirpó el bazo después de traumatismo. En términos generales, hay que pensar decididamente en emprender la profilaxia con antimicrobianos (además de la vacunación) en todo niño asplénico que tiene menos de cinco años de vida, y durante un año, como mínimo, después de la esplenectomía.</w:t>
      </w:r>
    </w:p>
    <w:p w14:paraId="6F7EB0E7" w14:textId="77777777" w:rsidR="0072615D" w:rsidRDefault="0072615D">
      <w:pPr>
        <w:pStyle w:val="BodyText"/>
        <w:ind w:firstLine="360"/>
      </w:pPr>
      <w:r>
        <w:t>A menudo también una decisión empírica es seleccionar la fecha o edad en la cual se interrumpirá la quimioprofilaxia. Con base en un estudio multicéntrico, es posible interrumpir la profilaxia con penicilina aproximadamente a los cinco años de vida en menores con anemia drepanocítica que también reciben atención médica constante y que no han tenido una infección neumocócica grave ni se les ha extirpado el bazo. Se desconoce la duración adecuada de la profilaxia en niños con asplenia atribuible a otras causas. Algunos expertos continúan la profilaxia durante toda la niñez y la vida adulta, particularmente en el caso de sujetos de alto riesgo con asplenia.</w:t>
      </w:r>
    </w:p>
    <w:p w14:paraId="6A558BB8" w14:textId="77777777" w:rsidR="0072615D" w:rsidRDefault="0072615D">
      <w:pPr>
        <w:pStyle w:val="BodyText"/>
        <w:ind w:firstLine="360"/>
      </w:pPr>
      <w:r>
        <w:t>En el caso de la profilaxia con antimicrobianos, se recomienda la penicilina V ingerible (125 mg dos veces al día en niños menores de cinco años y 150 mg, dos veces al día, en caso de niños de cinco años y mayores). Algunos expertos recomiendan usar 20 mg de amoxicilina/kg de peso al día. En años recientes en casi todas las áreas de Estados Unidos ha aumentado la proporción de neumococos aislados que muestran resistencia de nivel intermedio o grande a la penicilina. Se necesita vigilancia constante para identificar neumococos resistentes y saber si se necesitarán modificaciones de la quimioprofilaxia recomendada.</w:t>
      </w:r>
    </w:p>
    <w:p w14:paraId="6EDE1125" w14:textId="77777777" w:rsidR="0072615D" w:rsidRDefault="0072615D">
      <w:pPr>
        <w:pStyle w:val="BodyText"/>
        <w:ind w:firstLine="360"/>
      </w:pPr>
      <w:r>
        <w:t xml:space="preserve">Cuando se utiliza la profilaxia con antimicrobianos, habrá que subrayar las limitaciones a los padres y a los propios pacientes, quienes deben reconocer que algunas bacterias que pueden causar sepsis fulminante no son susceptibles a la acción de los antimicrobianos administrados en la profilaxia. Los padres deben saber que todas las enfermedades febriles pueden ser graves en los niños sin bazo y que hay que solicitar inmediatamente la atención médica porque los signos y síntomas iniciales de la bacteriemia fulminante pueden ser sutiles. Si surge la posibilidad de bacteriemia, el médico debe hospitalizar al menor, obtener muestras de sangre y material de cultivo y de otro tipo, según lo indicado, y comenzar inmediatamente la administración de un régimen de antimicrobianos eficaces contra </w:t>
      </w:r>
      <w:r>
        <w:rPr>
          <w:rFonts w:ascii="Times New Roman" w:eastAsia="Times New Roman" w:hAnsi="Times New Roman" w:cs="Times New Roman"/>
          <w:i/>
          <w:iCs/>
          <w:sz w:val="16"/>
          <w:szCs w:val="16"/>
        </w:rPr>
        <w:t>5. pneumoniae</w:t>
      </w:r>
      <w:r>
        <w:rPr>
          <w:i/>
          <w:iCs/>
        </w:rPr>
        <w:t xml:space="preserve">, </w:t>
      </w:r>
      <w:r>
        <w:rPr>
          <w:rFonts w:ascii="Times New Roman" w:eastAsia="Times New Roman" w:hAnsi="Times New Roman" w:cs="Times New Roman"/>
          <w:i/>
          <w:iCs/>
          <w:sz w:val="16"/>
          <w:szCs w:val="16"/>
        </w:rPr>
        <w:t>H. influenzae</w:t>
      </w:r>
      <w:r>
        <w:t xml:space="preserve"> y </w:t>
      </w:r>
      <w:r>
        <w:rPr>
          <w:rFonts w:ascii="Times New Roman" w:eastAsia="Times New Roman" w:hAnsi="Times New Roman" w:cs="Times New Roman"/>
          <w:i/>
          <w:iCs/>
          <w:sz w:val="16"/>
          <w:szCs w:val="16"/>
        </w:rPr>
        <w:t xml:space="preserve">N. meningitidis. </w:t>
      </w:r>
      <w:r>
        <w:t>En algunas situaciones clínicas cabe utilizar otros antimicrobianos, como los aminoglucósidos. Si el niño asplénico viaja o reside en una zona donde no se dispone de atención médica, es necesario contar inmediatamente con algún agente antimicrobiano apropiado, y se orientará al cuidador respecto de su uso apropiado.</w:t>
      </w:r>
    </w:p>
    <w:p w14:paraId="5844A995" w14:textId="77777777" w:rsidR="0072615D" w:rsidRDefault="0072615D">
      <w:pPr>
        <w:pStyle w:val="BodyText"/>
        <w:spacing w:after="100"/>
        <w:ind w:firstLine="420"/>
      </w:pPr>
      <w:r>
        <w:t>En la medida de lo posible, hay que pensar en alternativas de la esplenectomía, es decir otros procedimientos posibles. Entre las opciones terapéuticas se incluyen diferir el mayor tiempo posible la práctica de esplenectomía en caso de anemias hemolíticas congénitas; conservar los bazos accesorios; practicar esplenectomía parcial para eliminar tumores benignos del bazo; aplicar tratamiento conservador (no quirúrgico) de traumatismos del bazo, y en la medida de lo posible, reparar y no extraer el bazo, y si es factible, no practicar esplenectomía en casos de inmunodeficiencia (como en el síndrome de Wiskott-Aldrich).</w:t>
      </w:r>
    </w:p>
    <w:p w14:paraId="5D2A9DC2" w14:textId="77777777" w:rsidR="0072615D" w:rsidRDefault="0072615D">
      <w:pPr>
        <w:pStyle w:val="Bodytext70"/>
      </w:pPr>
      <w:r>
        <w:t>Niños con el antecedente personal o familiar de convulsiones</w:t>
      </w:r>
    </w:p>
    <w:p w14:paraId="46F2F324" w14:textId="77777777" w:rsidR="0072615D" w:rsidRDefault="0072615D">
      <w:pPr>
        <w:pStyle w:val="BodyText"/>
        <w:ind w:firstLine="0"/>
      </w:pPr>
      <w:r>
        <w:t>Los lactantes y los niños con el antecedente personal o familiar de convulsiones están expuestos a un mayor peligro de mostrar una convulsión después de recibir DTP o vacuna contra el sarampión (por lo común en la triple). En casi todos los casos, dichas convulsiones son breves, ceden por sí solas y son generalizadas, y aparecen junto con la fiebre, lo cual denota que tales complicaciones de la vacunación por lo común son de origen febril. Ningún dato indica que estas convulsiones originen daño encefálico permanente ni epilepsia, no agravan trastornos neurológicos ni afectan el pronóstico de niños con enfermedades primarias.</w:t>
      </w:r>
    </w:p>
    <w:p w14:paraId="716699D8" w14:textId="77777777" w:rsidR="0072615D" w:rsidRDefault="0072615D">
      <w:pPr>
        <w:pStyle w:val="BodyText"/>
        <w:ind w:firstLine="420"/>
      </w:pPr>
      <w:r>
        <w:t>En el caso de la vacunación contra tos ferina en la lactancia, la aplicación de DTaP podría coincidir con la aparición de un cuadro acompañado de convulsiones o acelerar su aparición, como serían espasmos o epilepsia infantiles, y originar confusión en cuanto a la posibilidad de que se deba a la vacuna contra la tos ferina. Por tal razón, habrá que diferir la aplicación de dicha vacuna a lactantes con el antecedente de convulsiones recientes hasta que se descarte un cuadro neurológico progresivo o se identifique la causa de una convulsión anterior. A diferencia de ello, la vacuna contra el sarampión se aplica en cualquier edad cuando existe una mayor posibilidad de que se haya definido la causa y la naturaleza de cualquier convulsión y situaciones similares del sistema nervioso. La diferencia anterior sienta las bases para recomendar que no conviene diferir la aplicación de la vacuna contra el sarampión en niños con el antecedente de convulsiones recientes.</w:t>
      </w:r>
    </w:p>
    <w:p w14:paraId="0828F7A5" w14:textId="77777777" w:rsidR="0072615D" w:rsidRDefault="0072615D">
      <w:pPr>
        <w:pStyle w:val="BodyText"/>
        <w:ind w:firstLine="420"/>
      </w:pPr>
      <w:r>
        <w:t>El antecedente familiar de un cuadro convulsivo no constituye contraindicación para aplicar vacunas contra tos ferina o sarampión ni es una razón para diferir su aplicación. Las convulsiones después de la vacunación en estos niños por lo común dependen de fiebre, tienen un pronóstico benigno y es posible que no surja confusión con manifestaciones de un cuadro neurológico que no había sido identificado. Además, muchos niños tienen el antecedente familiar de convulsiones y seguirían siendo susceptibles a la tos ferina y al sarampión si el antecedente de ese tipo constituyera una contraindicación para la vacunación.</w:t>
      </w:r>
    </w:p>
    <w:p w14:paraId="26B1384E" w14:textId="77777777" w:rsidR="0072615D" w:rsidRDefault="0072615D">
      <w:pPr>
        <w:pStyle w:val="BodyText"/>
        <w:spacing w:after="100"/>
        <w:ind w:firstLine="360"/>
      </w:pPr>
      <w:r>
        <w:t>En los resúmenes que exponen las enfermedades en cuestión (“Tos ferina” y “Sarampión”, sección 3) se hacen recomendaciones específicas para la vacunación contra la tos ferina y el sarampión en niños con el antecedente personal o familiar de convulsiones; también se hacen comentarios y recomendaciones detalladas respecto de la vacunación contra la primera enfermedad en niños con trastornos del sistema nervioso.</w:t>
      </w:r>
    </w:p>
    <w:p w14:paraId="77C9C71F" w14:textId="77777777" w:rsidR="0072615D" w:rsidRDefault="0072615D">
      <w:pPr>
        <w:pStyle w:val="Bodytext70"/>
      </w:pPr>
      <w:r>
        <w:t>Niños con enfermedades crónicas</w:t>
      </w:r>
    </w:p>
    <w:p w14:paraId="12E8F8B6" w14:textId="77777777" w:rsidR="0072615D" w:rsidRDefault="0072615D">
      <w:pPr>
        <w:pStyle w:val="BodyText"/>
        <w:ind w:firstLine="0"/>
      </w:pPr>
      <w:r>
        <w:t xml:space="preserve">Algunas enfermedades crónicas hacen que los niños sean más susceptibles a las manifestaciones graves y complicaciones de infecciones comunes. En términos generales, habrá que aplicar a los niños con tales problemas las vacunas recomendadas para los niños sanos. Sin embargo, en el caso de menores con trastornos inmunitarios, por lo regular están contraindicadas las vacunas con virus vivos; la excepción principal sería la vacuna triple para usar en niños infectados por VIH que no tienen inmunodeficiencia profunda (véase antes en esta sección “Niños inmunodeficientes”). Los menores con algunas enfermedades crónicas (trastornos de aparato cardiorrespiratorio, alergias, hematopatías, metabolicopatías y nefropatías; fibrosis quística y diabetes mellitus) están expuestos a un mayor peligro de complicaciones de influenza, infección neumocócica o ambos cuadros, y conviene en ellos aplicar las vacunas contra la influenza, la de conjugado neumocócico, y la de polisacáridos o las tres en conjunto (véanse “Influenza” y “Neumococos, infección”, sección 3). Los niños con hepatopatías crónicas están en peligro de mostrar manifestaciones graves de la infección aguda con virus de hepatitis A </w:t>
      </w:r>
      <w:r>
        <w:rPr>
          <w:i/>
          <w:iCs/>
        </w:rPr>
        <w:t>(</w:t>
      </w:r>
      <w:r>
        <w:rPr>
          <w:rFonts w:ascii="Times New Roman" w:eastAsia="Times New Roman" w:hAnsi="Times New Roman" w:cs="Times New Roman"/>
          <w:i/>
          <w:iCs/>
          <w:sz w:val="16"/>
          <w:szCs w:val="16"/>
        </w:rPr>
        <w:t>hepatitis A virus</w:t>
      </w:r>
      <w:r>
        <w:rPr>
          <w:i/>
          <w:iCs/>
        </w:rPr>
        <w:t xml:space="preserve">, </w:t>
      </w:r>
      <w:r>
        <w:t>HAV). En consecuencia, dichos niños y adolescentes deben recibir la vacuna HAV después de los dos años de edad (véase “Hepatitis A”, sección 3).</w:t>
      </w:r>
    </w:p>
    <w:p w14:paraId="0E9A08C1" w14:textId="77777777" w:rsidR="0072615D" w:rsidRDefault="0072615D">
      <w:pPr>
        <w:pStyle w:val="BodyText"/>
        <w:spacing w:after="100"/>
        <w:ind w:firstLine="360"/>
      </w:pPr>
      <w:r>
        <w:t>Un problema del pediatra es decidir si es apropiado aplicar una vacuna de virus vivo a un niño específico con una enfermedad rara (como galactosemia o acidosis tubular renal), particularmente si ésta podría menoscabar la respuesta inmunitaria a la vacuna. Es reducida o no existe la experiencia corroborada con las vacunaciones y algunas de estas enfermedades, y el médico debe solicitar la orientación de un especialista antes de aplicar las vacunas.</w:t>
      </w:r>
    </w:p>
    <w:p w14:paraId="464E9527" w14:textId="77777777" w:rsidR="0072615D" w:rsidRDefault="0072615D">
      <w:pPr>
        <w:pStyle w:val="Bodytext70"/>
      </w:pPr>
      <w:r>
        <w:t>Inmunización activa después de exposición a enfermedades</w:t>
      </w:r>
    </w:p>
    <w:p w14:paraId="4FBCC61E" w14:textId="77777777" w:rsidR="0072615D" w:rsidRDefault="0072615D">
      <w:pPr>
        <w:pStyle w:val="BodyText"/>
        <w:ind w:firstLine="0"/>
      </w:pPr>
      <w:r>
        <w:t>No todas las personas susceptibles reciben la vacuna antes de la exposición a enfermedades, razón por la cual cabe pensar en la inmunización activa en el caso de una persona que ha estado expuesta a un padecimiento específico. Las situaciones que se expondrán son las más comunes (véase los resúmenes con enfermedades específicas, en la sección 3, en cuanto a recomendaciones detalladas).</w:t>
      </w:r>
    </w:p>
    <w:p w14:paraId="18095BA5" w14:textId="77777777" w:rsidR="0072615D" w:rsidRDefault="0072615D">
      <w:pPr>
        <w:pStyle w:val="BodyText"/>
        <w:tabs>
          <w:tab w:val="left" w:pos="278"/>
        </w:tabs>
        <w:ind w:firstLine="0"/>
      </w:pPr>
      <w:r>
        <w:t>•</w:t>
      </w:r>
      <w:r>
        <w:tab/>
      </w:r>
      <w:r>
        <w:rPr>
          <w:rFonts w:ascii="Times New Roman" w:eastAsia="Times New Roman" w:hAnsi="Times New Roman" w:cs="Times New Roman"/>
          <w:b/>
          <w:bCs/>
          <w:i/>
          <w:iCs/>
          <w:sz w:val="16"/>
          <w:szCs w:val="16"/>
        </w:rPr>
        <w:t>Sarampión.</w:t>
      </w:r>
      <w:r>
        <w:t xml:space="preserve"> Con la aplicación de la vacuna de virus vivos de sarampión en</w:t>
      </w:r>
    </w:p>
    <w:p w14:paraId="3A0D8E40" w14:textId="77777777" w:rsidR="0072615D" w:rsidRDefault="0072615D">
      <w:pPr>
        <w:pStyle w:val="BodyText"/>
        <w:ind w:left="360" w:firstLine="0"/>
      </w:pPr>
      <w:r>
        <w:t>término de 72 h de la exposición se deberá proteger contra la enfermedad en algunos casos. Es difícil precisar la fecha y duración de la exposición, porque las personas infectadas pueden dispersar el virus del sarampión tres a cinco días antes de que aparezca la erupción y uno a dos días antes de lo que hagan los síntomas.</w:t>
      </w:r>
    </w:p>
    <w:p w14:paraId="351707C4" w14:textId="77777777" w:rsidR="0072615D" w:rsidRDefault="0072615D">
      <w:pPr>
        <w:pStyle w:val="BodyText"/>
        <w:ind w:left="360" w:firstLine="380"/>
      </w:pPr>
      <w:r>
        <w:t>Es posible evitar o modificar el sarampión en un niño sano pero susceptible si se le aplica por vía intramuscular el concentrado inmunoglobulínico (IG), en una dosis de 0.25 ml/kg de peso (dosis máxima, 15 ml) en término de seis días de haber estado expuesto a la enfermedad. La cifra de morbilidad por sarampión es alta en niños menores de un año de vida, por lo que se recomienda aplicar el concentrado inmunoglobulínico a los pequeños expuestos al sarampión y en el caso de sujetos inmunodeficientes y embarazadas. Las personas inmunodeficientes expuestas deben recibir el concentrado a razón de 0.5 ml/kg de peso (dosis máxima, 15 ml). Se planteará la necesidad de proteger del sarampión a los niños inmunodeficientes que reciben regularmente el concentrado inmunoglobulínico intravenoso.</w:t>
      </w:r>
    </w:p>
    <w:p w14:paraId="4F91ADDD"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Varicela.</w:t>
      </w:r>
      <w:r>
        <w:t xml:space="preserve"> Conviene aplicar la vacuna contra la varicela en término de tres días de haber aparecido la erupción en el primer caso (índice) (véase “Varicela-zoster, infecciones por el virus”, sección 3) a todo niño susceptible inmunocompetente y contactos del círculo familiar expuestos a una persona con varicela. También se brindará protección pasiva con VZIG a todo niño inmunodeficiente susceptible, lo más tempranamente posible después de contacto con una persona infectada (véase “Varicela-Zoster, infecciones por el virus”, sección 3).</w:t>
      </w:r>
    </w:p>
    <w:p w14:paraId="22C7D1F3"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Hepatitis B.</w:t>
      </w:r>
      <w:r>
        <w:t xml:space="preserve"> La vacunación después de la exposición es muy eficaz si se combina con la administración del anticuerpo. La aplicación de concentrado HBIG no inhibe ni anula la necesidad de inmunización activa con vacuna contra HBV. En la profilaxia después de la exposición en un neonato con una madre portadora del antígeno de superficie de HB, es esencial administrar el concentrado HBIG y aplicar vacuna contra hepatitis B. En el caso de exposición percutánea o de mucosas a HBV, se recomienda la combinación de vacunación o inmunización activas y pasivas para personas susceptibles (véase “Hepatitis B”, sección 3). También hay que vacunar a personas que están permanentemente con un contacto del círculo familiar o de tipo sexual con un portador del antígeno de superficie de hepatitis B.</w:t>
      </w:r>
    </w:p>
    <w:p w14:paraId="66CE28DF"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Hepatitis A.</w:t>
      </w:r>
      <w:r>
        <w:t xml:space="preserve"> Los datos publicados no bastan para recomendar la aplicación de la sola vacuna contra HAV para profilaxia después de exposición. El concentrado inmunoglobulínico debe administrarse a los contactos del círculo familiar, sexuales y de otro tipo de personas infectadas por HAV lo más pronto posible después de la exposición. Si existe la posibilidad de una exposición constante a HAV, pueden aplicarse simultáneamente en sitios diferentes el concentrado inmunoglobulínico y la primera dosis de la vacuna contra virus de hepatitis A.</w:t>
      </w:r>
    </w:p>
    <w:p w14:paraId="0E02EBCD"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Tétanos.</w:t>
      </w:r>
      <w:r>
        <w:t xml:space="preserve"> En el cuidado de heridas, toda persona no vacunada o con inmunización incompleta debe recibir toxoide tetánico inmediatamente, además de TIG, conforme a las características de la herida y a los antecedentes de vacunaciones de la persona (véase cuadro 3-67).</w:t>
      </w:r>
    </w:p>
    <w:p w14:paraId="211CC375" w14:textId="77777777" w:rsidR="0072615D" w:rsidRDefault="0072615D">
      <w:pPr>
        <w:pStyle w:val="BodyText"/>
        <w:spacing w:line="283" w:lineRule="auto"/>
        <w:ind w:firstLine="0"/>
      </w:pPr>
      <w:r>
        <w:rPr>
          <w:rFonts w:ascii="Times New Roman" w:eastAsia="Times New Roman" w:hAnsi="Times New Roman" w:cs="Times New Roman"/>
          <w:b/>
          <w:bCs/>
          <w:i/>
          <w:iCs/>
          <w:sz w:val="16"/>
          <w:szCs w:val="16"/>
        </w:rPr>
        <w:t>Rabia.</w:t>
      </w:r>
      <w:r>
        <w:t xml:space="preserve"> La vacunación activa y pasiva después de exposición es un aspecto esencial de la inmunoprofilaxia contra la rabia después de exposición probada o sospechada con animales rabiosos (véase “Rabia”, sección 3).</w:t>
      </w:r>
    </w:p>
    <w:p w14:paraId="67832AE1"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Parotiditis y rubéola.</w:t>
      </w:r>
      <w:r>
        <w:t xml:space="preserve"> Las personas susceptibles expuestas no están protegidas necesariamente con la aplicación de la vacuna de virus vivos, después de exposición a las dos enfermedades. Sin embargo, una práctica frecuente en el caso de personas expuestas a una u otra, es aplicar la vacuna a quienes se presume que son susceptibles, de modo que con la vacunación se logre inmunidad permanente si con la exposición actual no surge cualquiera de las dos. En el caso de adultos expuestos nacidos en Estados Unidos en 1957 o después y que no habían sido vacunados ni inmunizados contra la parotiditis o la rubéola, se recomienda aplicar la vacuna con virus vivo.</w:t>
      </w:r>
    </w:p>
    <w:p w14:paraId="2E10EF9A" w14:textId="77777777" w:rsidR="0072615D" w:rsidRDefault="0072615D">
      <w:pPr>
        <w:pStyle w:val="Bodytext70"/>
      </w:pPr>
      <w:r>
        <w:t>Niños indios estadounidenses nativos/nativos de Alaska</w:t>
      </w:r>
    </w:p>
    <w:p w14:paraId="5AC4B611" w14:textId="77777777" w:rsidR="0072615D" w:rsidRDefault="0072615D">
      <w:pPr>
        <w:pStyle w:val="BodyText"/>
        <w:ind w:firstLine="0"/>
      </w:pPr>
      <w:r>
        <w:t xml:space="preserve">Los niños estadounidenses indios o de Alaska nativos están expuestos a un mayor peligro de algunas enfermedades evitables con vacunas como las hepatitis A y B y otras causadas por Hib y </w:t>
      </w:r>
      <w:r>
        <w:rPr>
          <w:rFonts w:ascii="Times New Roman" w:eastAsia="Times New Roman" w:hAnsi="Times New Roman" w:cs="Times New Roman"/>
          <w:i/>
          <w:iCs/>
          <w:sz w:val="16"/>
          <w:szCs w:val="16"/>
        </w:rPr>
        <w:t>S. pneumoniae</w:t>
      </w:r>
      <w:r>
        <w:rPr>
          <w:i/>
          <w:iCs/>
        </w:rPr>
        <w:t>,</w:t>
      </w:r>
      <w:r>
        <w:t xml:space="preserve"> que los niños de otros grupos étnicos. Por la razón comentada, los médicos que atienden a los niños nativos de las dos comunidades mencionadas deben pensar en las recomendaciones de vacunación especial que se mostrarán, que han sido incorporadas en los calendarios corrientes de la materia. A pesar de que por lo común se detecta un mayor peligro de que surjan las enfermedades en cuestión en los niños nativos indios o de Alaska estadounidenses que viven en reservaciones o en las aldeas rurales tradicionales y en ciudades, pudiera haber algunas diferencias en el riesgo de enfermedad, según el sitio en que vive el menor. Sin embargo, dada la dificultad de identificar con exactitud tales riesgos y el gran grado de movilidad de la población de los dos grupos étnicos entre las reservas, villorrios rurales y ciudades, todos los niños nativos de las dos etnias deben recibir el beneficio de estas recomendaciones especiales de vacunación.</w:t>
      </w:r>
    </w:p>
    <w:p w14:paraId="4789A32F" w14:textId="77777777" w:rsidR="0072615D" w:rsidRDefault="0072615D">
      <w:pPr>
        <w:pStyle w:val="BodyText"/>
        <w:ind w:firstLine="360"/>
      </w:pPr>
      <w:r>
        <w:rPr>
          <w:rFonts w:ascii="Times New Roman" w:eastAsia="Times New Roman" w:hAnsi="Times New Roman" w:cs="Times New Roman"/>
          <w:b/>
          <w:bCs/>
          <w:i/>
          <w:iCs/>
          <w:sz w:val="16"/>
          <w:szCs w:val="16"/>
        </w:rPr>
        <w:t>Hepatitis A.</w:t>
      </w:r>
      <w:r>
        <w:t xml:space="preserve"> Se ha demostrado que en los niños nativos indios/nativos de Alaska estadounidenses que viven en villorrios rurales, reservaciones y algunas ciudades muestran cifras endémicas altas de infección por HAV. Se recomienda sistemáticamente la vacunación contra dicha infección en todos los niños nativos de los dos grupos étnicos, a los dos años de vida. Además, los niños de mayor edad (incluso los que tienen 18 años) que viven en reservas de indios estadounidenses y villorrios con nativos de Alaska, así como en ciudades, deben ser vacunados. Muchos de tales menores residen en estados o comunidades que tuvieron cifras altas de hepatitis A y en las que se recomienda en la actualidad la vacunación universal de hepatitis A en niños (véase “Hepatitis A”, sección 3). En el caso de los niños nativos de una y otra etnias que no viven en tales áreas, se recomienda la vacunación universal contra hepatitis A.</w:t>
      </w:r>
    </w:p>
    <w:p w14:paraId="06462954" w14:textId="77777777" w:rsidR="0072615D" w:rsidRDefault="0072615D">
      <w:pPr>
        <w:pStyle w:val="BodyText"/>
        <w:ind w:firstLine="360"/>
      </w:pPr>
      <w:r>
        <w:rPr>
          <w:rFonts w:ascii="Times New Roman" w:eastAsia="Times New Roman" w:hAnsi="Times New Roman" w:cs="Times New Roman"/>
          <w:b/>
          <w:bCs/>
          <w:i/>
          <w:iCs/>
          <w:sz w:val="16"/>
          <w:szCs w:val="16"/>
        </w:rPr>
        <w:t>Hepatitis B.</w:t>
      </w:r>
      <w:r>
        <w:t xml:space="preserve"> Los niños nativos de Alaska mostraron una prevalencia alta de infección crónica por HBV antes de que se aplicara la vacunación universal de los lactantes contra la hepatitis B. No se ha identificado entre los niños indios estadounidenses una prevalencia alta de infección crónica por HBV, pero se ha observado también una elevada incidencia de dicho virus hepatítico en adolescentes de mayor edad y adultos jóvenes, y se vincula con conductas de alto riesgo y consumo de drogas inyectables. Es importante aplicar a todo niño de las etnias india y de Alaska estadounidenses, vacunas contra hepatitis B en su lactancia, de preferencia en el periodo neonatal. Además, habrá que emprender intentos especiales para asegurar que los adolescentes que no habían recibido las vacunas contra hepatitis B se pongan al día, incluidos los que están en correccionales o programas de tratamiento de toxicomanías.</w:t>
      </w:r>
    </w:p>
    <w:p w14:paraId="4CAC3A88" w14:textId="77777777" w:rsidR="0072615D" w:rsidRDefault="0072615D">
      <w:pPr>
        <w:pStyle w:val="BodyText"/>
        <w:ind w:firstLine="360"/>
      </w:pPr>
      <w:r>
        <w:t xml:space="preserve">Como ocurre con todas las embarazadas, las nativas de Alaska que no viven en su países de origen y todas las indígenas estadounidenses deben ser sometidas a pruebas para evaluar la presencia de antígeno de superficie de HB </w:t>
      </w:r>
      <w:r>
        <w:rPr>
          <w:i/>
          <w:iCs/>
        </w:rPr>
        <w:t>(</w:t>
      </w:r>
      <w:r>
        <w:rPr>
          <w:rFonts w:ascii="Times New Roman" w:eastAsia="Times New Roman" w:hAnsi="Times New Roman" w:cs="Times New Roman"/>
          <w:i/>
          <w:iCs/>
          <w:sz w:val="16"/>
          <w:szCs w:val="16"/>
        </w:rPr>
        <w:t>hepatitis B surface antigen</w:t>
      </w:r>
      <w:r>
        <w:rPr>
          <w:i/>
          <w:iCs/>
        </w:rPr>
        <w:t xml:space="preserve">, </w:t>
      </w:r>
      <w:r>
        <w:t>HBsAg) en el embarazo, y habrá que repetir los estudios a finales del embarazo en toda mujer con riesgo alto de infección por HBV en la gestación (p. ej., las que tienen alguna enfermedad de transmisión sexual o las que usan drogas inyectables). En el caso de embarazadas nativas de Alaska que viven en su país, no se recomienda someterlas sistemáticamente a la práctica de HBsAg, porque todos los lactantes son vacunados desde el nacimiento y con ello se logra una profilaxia activa posexposición contra la infección por HBV perinatal. La prevalencia corroborada de infección crónica por HBV en mujeres en edad de procreación ha disminuido hasta los niveles bajos gracias a los programas de vacunación contra hepatitis B que comenzaron en 1983. En todo producto de una mujer que tiene el antígeno de superficie de HB (Ag-positiva) se hará profilaxia después de exposición, con la vacuna contra HBV y el concentrado HBIG en término de las primeras 12 h de vida; la serie de vacunas se completará a los seis meses de edad y los métodos serológicos después de la inmunización se practicarán a los 12 a 15 meses de vida (véase “Hepatitis B”, sección 3).</w:t>
      </w:r>
    </w:p>
    <w:p w14:paraId="064E4408" w14:textId="77777777" w:rsidR="0072615D" w:rsidRDefault="0072615D">
      <w:pPr>
        <w:pStyle w:val="BodyText"/>
        <w:ind w:firstLine="360"/>
      </w:pPr>
      <w:r>
        <w:rPr>
          <w:b/>
          <w:bCs/>
        </w:rPr>
        <w:t xml:space="preserve">Haemophilus influenzae </w:t>
      </w:r>
      <w:r>
        <w:rPr>
          <w:rFonts w:ascii="Times New Roman" w:eastAsia="Times New Roman" w:hAnsi="Times New Roman" w:cs="Times New Roman"/>
          <w:b/>
          <w:bCs/>
          <w:i/>
          <w:iCs/>
          <w:sz w:val="16"/>
          <w:szCs w:val="16"/>
        </w:rPr>
        <w:t>tipo b.</w:t>
      </w:r>
      <w:r>
        <w:t xml:space="preserve"> La enfermedad invasora por Hib surgió con incidencia alta y en jóvenes y niños de muchas poblaciones nativas de indios y de nativos de Alaska, antes de que se pudiera contar con las vacunas conjugadas de Hib. Ante el considerable riesgo de enfermedad invasora por Hib en término de los primeros seis meses de vida en los neonatos nativos indios y de Alaska estadounidenses, entre las recomendaciones están que la primera dosis del conjugado Hib contenga la combinación de fosfato de polirribosilribitol y de proteína de membrana exterior meningocócica </w:t>
      </w:r>
      <w:r>
        <w:rPr>
          <w:i/>
          <w:iCs/>
        </w:rPr>
        <w:t>(</w:t>
      </w:r>
      <w:r>
        <w:rPr>
          <w:rFonts w:ascii="Times New Roman" w:eastAsia="Times New Roman" w:hAnsi="Times New Roman" w:cs="Times New Roman"/>
          <w:i/>
          <w:iCs/>
          <w:sz w:val="16"/>
          <w:szCs w:val="16"/>
        </w:rPr>
        <w:t>polyribosylribitolphosphate-meningococcal outer membrane protein</w:t>
      </w:r>
      <w:r>
        <w:rPr>
          <w:i/>
          <w:iCs/>
        </w:rPr>
        <w:t xml:space="preserve">, </w:t>
      </w:r>
      <w:r>
        <w:t xml:space="preserve">PRP-OMP) como vacuna monoantigénica o una vacuna mixta con otros antígenos. Esto originaría una seroconversión más rápida a concentraciones protectoras de anticuerpos en término de los primeros seis meses de vida, y no usar la vacuna mencionada en tal población haría que surgiera enfermedad invasora por Hib. Cabe utilizar las mismas vacunas de conjugado Hib o cualquiera de las demás de este tipo para dosis ulteriores, y su eficacia al parecer es igual (véase </w:t>
      </w:r>
      <w:r>
        <w:rPr>
          <w:i/>
          <w:iCs/>
        </w:rPr>
        <w:t>“</w:t>
      </w:r>
      <w:r>
        <w:rPr>
          <w:rFonts w:ascii="Times New Roman" w:eastAsia="Times New Roman" w:hAnsi="Times New Roman" w:cs="Times New Roman"/>
          <w:i/>
          <w:iCs/>
          <w:sz w:val="16"/>
          <w:szCs w:val="16"/>
        </w:rPr>
        <w:t>Haemophilus influenzae</w:t>
      </w:r>
      <w:r>
        <w:rPr>
          <w:i/>
          <w:iCs/>
        </w:rPr>
        <w:t xml:space="preserve">, </w:t>
      </w:r>
      <w:r>
        <w:t>infecciones”, sección 3).</w:t>
      </w:r>
    </w:p>
    <w:p w14:paraId="0394AB78" w14:textId="77777777" w:rsidR="0072615D" w:rsidRDefault="0072615D">
      <w:pPr>
        <w:pStyle w:val="BodyText"/>
        <w:ind w:firstLine="360"/>
      </w:pPr>
      <w:r>
        <w:rPr>
          <w:b/>
          <w:bCs/>
        </w:rPr>
        <w:t xml:space="preserve">Streptococcus pneumoniae. </w:t>
      </w:r>
      <w:r>
        <w:t>La incidencia de enfermedad invasora por neumococos fue 5 a 24 veces mayor en algunos niños nativos indígenas/de Alaska estadounidenses que otros niños de la misma nación antes de utilizar la vacuna con conjugado neumocócico. En la actualidad, tal como ocurre con otros niños estadounidenses, los niños nativos indios y de Alaska deben recibir vacuna conjugada neumocócica con base en el calendario recomendado (véase “Neumococos, infecciones”, sección 3). Los estudios de la vacuna mencionada en los lactantes nativos indios/de Alaska han indicado que su aplicación permitió disminuir satisfactoriamente la incidencia de enfermedad invasora en dicha población.</w:t>
      </w:r>
    </w:p>
    <w:p w14:paraId="7982D5C9" w14:textId="77777777" w:rsidR="0072615D" w:rsidRDefault="0072615D">
      <w:pPr>
        <w:pStyle w:val="BodyText"/>
        <w:spacing w:after="100"/>
        <w:ind w:firstLine="360"/>
      </w:pPr>
      <w:r>
        <w:t>Los niños de mayor edad estadounidenses nativos indios/de Alaska también están expuestos a un mayor peligro de enfermedad por neumococos, que los demás niños estadounidenses; por tal motivo habrá que considerar la vacunación de los niños nativos de las dos etnias, de dos a cinco años de edad, con el preparado conjugado neumocócico o con la vacuna de polisacáridos neumocócicos polivalente (23 valencias).</w:t>
      </w:r>
    </w:p>
    <w:p w14:paraId="2B506CE4" w14:textId="77777777" w:rsidR="0072615D" w:rsidRDefault="0072615D">
      <w:pPr>
        <w:pStyle w:val="Bodytext70"/>
      </w:pPr>
      <w:r>
        <w:t>Niños en instituciones de cuidado a largo plazo</w:t>
      </w:r>
    </w:p>
    <w:p w14:paraId="476E3DD2" w14:textId="77777777" w:rsidR="0072615D" w:rsidRDefault="0072615D">
      <w:pPr>
        <w:pStyle w:val="BodyText"/>
        <w:ind w:firstLine="0"/>
        <w:sectPr w:rsidR="0072615D" w:rsidSect="0072615D">
          <w:headerReference w:type="even" r:id="rId228"/>
          <w:headerReference w:type="default" r:id="rId229"/>
          <w:footerReference w:type="even" r:id="rId230"/>
          <w:footerReference w:type="default" r:id="rId231"/>
          <w:footnotePr>
            <w:numFmt w:val="chicago"/>
          </w:footnotePr>
          <w:pgSz w:w="8501" w:h="13022"/>
          <w:pgMar w:top="917" w:right="800" w:bottom="514" w:left="822" w:header="0" w:footer="3" w:gutter="0"/>
          <w:pgNumType w:start="78"/>
          <w:cols w:space="720"/>
          <w:noEndnote/>
          <w:docGrid w:linePitch="360"/>
          <w15:footnoteColumns w:val="1"/>
        </w:sectPr>
      </w:pPr>
      <w:r>
        <w:t xml:space="preserve">Los niños albergados en las instituciones mencionadas plantean problemas especiales en el control de algunas enfermedades infecciosas. Es importante asegurar su vacunación apropiada, dado el riesgo de transmisión dentro de la institución y porque los cuadros que propiciaron el internamiento pueden agravar el peligro de complicaciones por la enfermedad. En todo niño que es incorporado a una institución de cuidado a largo plazo se harán las vacunaciones recomendadas para su edad (fig. 1-1 y cuadro 1-6). Si no han sido vacunados apropiadamente se harán arreglos y trámites para cumplir con tales vacunaciones a la brevedad posible. Los miembros del personal deben conocer en </w:t>
      </w:r>
    </w:p>
    <w:p w14:paraId="6B4676B4" w14:textId="77777777" w:rsidR="0072615D" w:rsidRDefault="0072615D">
      <w:pPr>
        <w:pStyle w:val="BodyText"/>
        <w:ind w:firstLine="0"/>
      </w:pPr>
      <w:r>
        <w:t>infección por HBV perinatal. La prevalencia corroborada de infección crónica por HBV en mujeres en edad de procreación ha disminuido hasta los niveles bajos gracias a los programas de vacunación contra hepatitis B que comenzaron en 1983. En todo producto de una mujer que tiene el antígeno de superficie de HB (Ag-positiva) se hará profilaxia después de exposición, con la vacuna contra HBV y el concentrado HBIG en término de las primeras 12 h de vida; la serie de vacunas se completará a los seis meses de edad y los métodos serológicos después de la inmunización se practicarán a los 12 a 15 meses de vida (véase “Hepatitis B”, sección 3).</w:t>
      </w:r>
    </w:p>
    <w:p w14:paraId="0944DA4B" w14:textId="77777777" w:rsidR="0072615D" w:rsidRDefault="0072615D">
      <w:pPr>
        <w:pStyle w:val="BodyText"/>
        <w:ind w:firstLine="360"/>
      </w:pPr>
      <w:r>
        <w:rPr>
          <w:b/>
          <w:bCs/>
        </w:rPr>
        <w:t xml:space="preserve">Haemophilus influenzae </w:t>
      </w:r>
      <w:r>
        <w:rPr>
          <w:rFonts w:ascii="Times New Roman" w:eastAsia="Times New Roman" w:hAnsi="Times New Roman" w:cs="Times New Roman"/>
          <w:b/>
          <w:bCs/>
          <w:i/>
          <w:iCs/>
          <w:sz w:val="16"/>
          <w:szCs w:val="16"/>
        </w:rPr>
        <w:t>tipo b.</w:t>
      </w:r>
      <w:r>
        <w:t xml:space="preserve"> La enfermedad invasora por Hib surgió con incidencia alta y en jóvenes y niños de muchas poblaciones nativas de indios y de nativos de Alaska, antes de que se pudiera contar con las vacunas conjugadas de Hib. Ante el considerable riesgo de enfermedad invasora por Hib en término de los primeros seis meses de vida en los neonatos nativos indios y de Alaska estadounidenses, entre las recomendaciones están que la primera dosis del conjugado Hib contenga la combinación de fosfato de polirribosilribitol y de proteína de membrana exterior meningocócica </w:t>
      </w:r>
      <w:r>
        <w:rPr>
          <w:i/>
          <w:iCs/>
        </w:rPr>
        <w:t>(</w:t>
      </w:r>
      <w:r>
        <w:rPr>
          <w:rFonts w:ascii="Times New Roman" w:eastAsia="Times New Roman" w:hAnsi="Times New Roman" w:cs="Times New Roman"/>
          <w:i/>
          <w:iCs/>
          <w:sz w:val="16"/>
          <w:szCs w:val="16"/>
        </w:rPr>
        <w:t>polyribosylribitolphosphate-meningococcal outer membrane protein</w:t>
      </w:r>
      <w:r>
        <w:rPr>
          <w:i/>
          <w:iCs/>
        </w:rPr>
        <w:t xml:space="preserve">, </w:t>
      </w:r>
      <w:r>
        <w:t xml:space="preserve">PRP-OMP) como vacuna monoantigénica o una vacuna mixta con otros antígenos. Esto originaría una seroconversión más rápida a concentraciones protectoras de anticuerpos en término de los primeros seis meses de vida, y no usar la vacuna mencionada en tal población haría que surgiera enfermedad invasora por Hib. Cabe utilizar las mismas vacunas de conjugado Hib o cualquiera de las demás de este tipo para dosis ulteriores, y su eficacia al parecer es igual (véase </w:t>
      </w:r>
      <w:r>
        <w:rPr>
          <w:i/>
          <w:iCs/>
        </w:rPr>
        <w:t>“</w:t>
      </w:r>
      <w:r>
        <w:rPr>
          <w:rFonts w:ascii="Times New Roman" w:eastAsia="Times New Roman" w:hAnsi="Times New Roman" w:cs="Times New Roman"/>
          <w:i/>
          <w:iCs/>
          <w:sz w:val="16"/>
          <w:szCs w:val="16"/>
        </w:rPr>
        <w:t>Haemophilus influenzae</w:t>
      </w:r>
      <w:r>
        <w:rPr>
          <w:i/>
          <w:iCs/>
        </w:rPr>
        <w:t xml:space="preserve">, </w:t>
      </w:r>
      <w:r>
        <w:t>infecciones”, sección 3).</w:t>
      </w:r>
    </w:p>
    <w:p w14:paraId="31772F50" w14:textId="77777777" w:rsidR="0072615D" w:rsidRDefault="0072615D">
      <w:pPr>
        <w:pStyle w:val="BodyText"/>
        <w:ind w:firstLine="360"/>
      </w:pPr>
      <w:r>
        <w:rPr>
          <w:b/>
          <w:bCs/>
        </w:rPr>
        <w:t xml:space="preserve">Streptococcus pneumoniae. </w:t>
      </w:r>
      <w:r>
        <w:t>La incidencia de enfermedad invasora por neumococos fue 5 a 24 veces mayor en algunos niños nativos indígenas/de Alaska estadounidenses que otros niños de la misma nación antes de utilizar la vacuna con conjugado neumocócico. En la actualidad, tal como ocurre con otros niños estadounidenses, los niños nativos indios y de Alaska deben recibir vacuna conjugada neumocócica con base en el calendario recomendado (véase “Neumococos, infecciones”, sección 3). Los estudios de la vacuna mencionada en los lactantes nativos indios/de Alaska han indicado que su aplicación permitió disminuir satisfactoriamente la incidencia de enfermedad invasora en dicha población.</w:t>
      </w:r>
    </w:p>
    <w:p w14:paraId="445ECF27" w14:textId="77777777" w:rsidR="0072615D" w:rsidRDefault="0072615D">
      <w:pPr>
        <w:pStyle w:val="BodyText"/>
        <w:spacing w:after="100"/>
        <w:ind w:firstLine="360"/>
      </w:pPr>
      <w:r>
        <w:t>Los niños de mayor edad estadounidenses nativos indios/de Alaska también están expuestos a un mayor peligro de enfermedad por neumococos, que los demás niños estadounidenses; por tal motivo habrá que considerar la vacunación de los niños nativos de las dos etnias, de dos a cinco años de edad, con el preparado conjugado neumocócico o con la vacuna de polisacáridos neumocócicos polivalente (23 valencias).</w:t>
      </w:r>
    </w:p>
    <w:p w14:paraId="043DE2C3" w14:textId="77777777" w:rsidR="0072615D" w:rsidRDefault="0072615D">
      <w:pPr>
        <w:pStyle w:val="Bodytext70"/>
      </w:pPr>
      <w:r>
        <w:t>Niños en instituciones de cuidado a largo plazo</w:t>
      </w:r>
    </w:p>
    <w:p w14:paraId="55311347" w14:textId="77777777" w:rsidR="0072615D" w:rsidRDefault="0072615D">
      <w:pPr>
        <w:pStyle w:val="BodyText"/>
        <w:ind w:firstLine="0"/>
      </w:pPr>
      <w:r>
        <w:t>Los niños albergados en las instituciones mencionadas plantean problemas especiales en el control de algunas enfermedades infecciosas. Es importante asegurar su vacunación apropiada, dado el riesgo de transmisión dentro de la institución y porque los cuadros que propiciaron el internamiento pueden agravar el peligro de complicaciones por la enfermedad. En todo niño que es incorporado a una institución de cuidado a largo plazo se harán las vacunaciones recomendadas para su edad (fig. 1-1 y cuadro 1-6). Si no han sido vacunados apropiadamente se harán arreglos y trámites para cumplir con tales vacunaciones a la brevedad posible. Los miembros del personal deben conocer en detalle las precauciones estándar y los métodos para manipular sangre y líquidos corporales contaminados y atender traumatismos con hemorragia. También deben identificar a los niños infectados por HBV para asegurar el tratamiento inmediato y adecuado en tales circunstancias. Entre las enfermedades específicas de interés están las siguientes (véanse los resúmenes de enfermedades específicas, en la sección 3, para conocer las recomendaciones detalladas).</w:t>
      </w:r>
    </w:p>
    <w:p w14:paraId="56BD6CB9" w14:textId="77777777" w:rsidR="0072615D" w:rsidRDefault="0072615D">
      <w:pPr>
        <w:pStyle w:val="BodyText"/>
        <w:numPr>
          <w:ilvl w:val="0"/>
          <w:numId w:val="34"/>
        </w:numPr>
        <w:tabs>
          <w:tab w:val="left" w:pos="332"/>
        </w:tabs>
        <w:ind w:left="360" w:hanging="360"/>
      </w:pPr>
      <w:bookmarkStart w:id="314" w:name="bookmark314"/>
      <w:bookmarkEnd w:id="314"/>
      <w:r>
        <w:rPr>
          <w:rFonts w:ascii="Times New Roman" w:eastAsia="Times New Roman" w:hAnsi="Times New Roman" w:cs="Times New Roman"/>
          <w:b/>
          <w:bCs/>
          <w:i/>
          <w:iCs/>
          <w:sz w:val="16"/>
          <w:szCs w:val="16"/>
        </w:rPr>
        <w:t>Sarampión.</w:t>
      </w:r>
      <w:r>
        <w:t xml:space="preserve"> Pueden surgir epidemias en niños susceptibles dentro de instituciones de cuidado a largo plazo. Las recomendaciones para su tratamiento cuando se identifique un caso de sarampión incluyen: 1) en término de 72 h de la exposición aplicar la vacuna de virus vivos de sarampión (dentro de la vacuna triple) a todos los niños susceptibles de un año de edad o mayores en quienes no está contraindicada dicha vacunación; y 2) aplicar una dosis de concentrado inmunoglobulínico de 0.25 ml/kg de peso o 0.5 ml/kg de peso a niños inmunodeficientes (dosis máxima, 15 ml), a la brevedad posible y en término de seis días de exposición a todos los niños susceptibles y expuestos menores de un año de vida. Los pequeños que recibirán el concentrado IG necesitarán, de cualquier manera, vacunas de virus vivos (dentro de la vacuna MMR o triple) a los 12 meses de edad o después, según la edad y la dosis del concentrado inmunoglobulínico administrado (véase cuadro 3-62, para el intervalo adecuado entre la aplicación del concentrado y la de la vacuna triple).</w:t>
      </w:r>
    </w:p>
    <w:p w14:paraId="3C00DE8F" w14:textId="77777777" w:rsidR="0072615D" w:rsidRDefault="0072615D">
      <w:pPr>
        <w:pStyle w:val="BodyText"/>
        <w:numPr>
          <w:ilvl w:val="0"/>
          <w:numId w:val="34"/>
        </w:numPr>
        <w:tabs>
          <w:tab w:val="left" w:pos="332"/>
        </w:tabs>
        <w:ind w:left="360" w:hanging="360"/>
      </w:pPr>
      <w:bookmarkStart w:id="315" w:name="bookmark315"/>
      <w:bookmarkEnd w:id="315"/>
      <w:r>
        <w:rPr>
          <w:rFonts w:ascii="Times New Roman" w:eastAsia="Times New Roman" w:hAnsi="Times New Roman" w:cs="Times New Roman"/>
          <w:b/>
          <w:bCs/>
          <w:i/>
          <w:iCs/>
          <w:sz w:val="16"/>
          <w:szCs w:val="16"/>
        </w:rPr>
        <w:t>Parotiditis.</w:t>
      </w:r>
      <w:r>
        <w:t xml:space="preserve"> Pueden surgir epidemias en niños susceptibles no vacunados dentro de instituciones de cuidado a largo plazo. Los principales peligros son la interrupción de las actividades, la necesidad de cuidados intensivos de enfermería en situaciones difíciles y a veces complicaciones graves (como el caso del personal adulto susceptible).</w:t>
      </w:r>
    </w:p>
    <w:p w14:paraId="0866D644" w14:textId="77777777" w:rsidR="0072615D" w:rsidRDefault="0072615D">
      <w:pPr>
        <w:pStyle w:val="BodyText"/>
        <w:ind w:left="360" w:firstLine="380"/>
      </w:pPr>
      <w:r>
        <w:t>Si surge la parotiditis en una situación en que residen personas susceptibles, no se cuenta con medidas profilácticas que limiten la propagación o modifiquen la enfermedad en dichas personas. El concentrado inmunoglobulínico no es eficaz y no se cuentan con concentrados inmunoglobulínicos de parotiditis. La vacuna del virus de parotiditis quizá no sea eficaz después de la exposición, pero habrá que administrarla a personas susceptibles para protegerlas de infección resultante de exposiciones futuras.</w:t>
      </w:r>
    </w:p>
    <w:p w14:paraId="6C3698A9" w14:textId="77777777" w:rsidR="0072615D" w:rsidRDefault="0072615D">
      <w:pPr>
        <w:pStyle w:val="BodyText"/>
        <w:numPr>
          <w:ilvl w:val="0"/>
          <w:numId w:val="34"/>
        </w:numPr>
        <w:tabs>
          <w:tab w:val="left" w:pos="332"/>
        </w:tabs>
        <w:spacing w:line="276" w:lineRule="auto"/>
        <w:ind w:left="360" w:hanging="360"/>
      </w:pPr>
      <w:bookmarkStart w:id="316" w:name="bookmark316"/>
      <w:bookmarkEnd w:id="316"/>
      <w:r>
        <w:rPr>
          <w:rFonts w:ascii="Times New Roman" w:eastAsia="Times New Roman" w:hAnsi="Times New Roman" w:cs="Times New Roman"/>
          <w:b/>
          <w:bCs/>
          <w:i/>
          <w:iCs/>
          <w:sz w:val="16"/>
          <w:szCs w:val="16"/>
        </w:rPr>
        <w:t>Influenza.</w:t>
      </w:r>
      <w:r>
        <w:t xml:space="preserve"> La influenza puede ser una enfermedad devastadora en niños internados en instituciones de cuidado a largo plazo o en custodia. La propagación rápida, la exposición intensiva y la enfermedad primaria pueden originar un cuadro grave de alto riesgo que pudiera afectar a muchos residentes simultáneamente o en sucesión rápida. Entre las medidas actuales para erradicar la influenza en instituciones están: 1) un programa de vacunación anual contra influenza entre los niños internados y el personal y 2) uso adecuado de quimioprofilaxia durante la epidemia de influenza (véase “Influenza”, sección 3). Al considerar el empleo de quimioprofilaxia, los profesionales asistenciales deben obtener información de las cepas de influenza prevalentes en la comunidad, datos que podrán obtener del personal de los departamentos sanitarios locales y estatales.</w:t>
      </w:r>
    </w:p>
    <w:p w14:paraId="058B80D0" w14:textId="77777777" w:rsidR="0072615D" w:rsidRDefault="0072615D">
      <w:pPr>
        <w:pStyle w:val="BodyText"/>
        <w:numPr>
          <w:ilvl w:val="0"/>
          <w:numId w:val="34"/>
        </w:numPr>
        <w:tabs>
          <w:tab w:val="left" w:pos="332"/>
        </w:tabs>
        <w:spacing w:line="276" w:lineRule="auto"/>
        <w:ind w:left="360" w:hanging="360"/>
      </w:pPr>
      <w:bookmarkStart w:id="317" w:name="bookmark317"/>
      <w:bookmarkEnd w:id="317"/>
      <w:r>
        <w:rPr>
          <w:rFonts w:ascii="Times New Roman" w:eastAsia="Times New Roman" w:hAnsi="Times New Roman" w:cs="Times New Roman"/>
          <w:b/>
          <w:bCs/>
          <w:i/>
          <w:iCs/>
          <w:sz w:val="16"/>
          <w:szCs w:val="16"/>
        </w:rPr>
        <w:t>Tos ferina.</w:t>
      </w:r>
      <w:r>
        <w:t xml:space="preserve"> Es posible que el retraso progresivo del desarrollo origine el retraso en la vacunación contra la tos ferina, y por ello muchos niños dentro de instituciones de cuidado a largo plazo quizá no reciban la serie completa de vacunas o sean vacunados de manera incompleta contra la tos ferina. La vacuna contra la tos ferina no origina enfermedad progresiva del sistema nervioso y la propia tos ferina conlleva un riesgo más grande que la vacunación contra ella en un niño específico; por tal motivo, todo niño que no haya sido vacunado con la serie completa y que tenga menos de siete años de vida debe recibir la vacuna contra la tos ferina. Si se identifica la enfermedad en cuestión, los pacientes infectados y sus contactos cercanos deben recibir quimioprofilácticos.</w:t>
      </w:r>
    </w:p>
    <w:p w14:paraId="53D950F3"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Hepatitis A.</w:t>
      </w:r>
      <w:r>
        <w:t xml:space="preserve"> En instituciones de custodia pueden surgir brotes de hepatitis A que afecten a los niños internados y al personal, por la transmisión fecal-bucal. La infección suele ser leve o asintomática en niños de corta edad, pero puede ser grave en adultos. Se cuenta con una vacuna contra HAV que es eficaz para niños de dos años y mayores, pero no se ha definido la utilidad de tal vacuna para erradicar o evitar los brotes en las situaciones mencionadas. Al surgir un brote, debe aplicarse concentrado IG (0.02 ml/kg por vía intramuscular) a todos los niños internados susceptibles y miembros del personal en contacto personal cercano con los pacientes.</w:t>
      </w:r>
    </w:p>
    <w:p w14:paraId="53036C9E" w14:textId="77777777" w:rsidR="0072615D" w:rsidRDefault="0072615D">
      <w:pPr>
        <w:pStyle w:val="BodyText"/>
        <w:spacing w:line="271" w:lineRule="auto"/>
        <w:ind w:firstLine="0"/>
      </w:pPr>
      <w:r>
        <w:rPr>
          <w:rFonts w:ascii="Times New Roman" w:eastAsia="Times New Roman" w:hAnsi="Times New Roman" w:cs="Times New Roman"/>
          <w:b/>
          <w:bCs/>
          <w:i/>
          <w:iCs/>
          <w:sz w:val="16"/>
          <w:szCs w:val="16"/>
        </w:rPr>
        <w:t>Hepatitis B.</w:t>
      </w:r>
      <w:r>
        <w:t xml:space="preserve"> Se supone que todo niño que está en una institución de cuidado a largo plazo, en particular los que tienen retraso en el desarrollo, y también sus cuidadores, están expuestos a mayor peligro de contagiarse con HBV. La prevalencia alta de marcadores de HBV en niños que son atendidos dentro de las instalaciones en cuestión, indica que la hepatitis por virus B tiende a propagarse dentro de este tipo de instituciones, quizá por exposición a la sangre y líquidos corporales que contienen el virus de hepatitis B. Entre los factores vinculados con la prevalencia alta de marcadores de HBV están apiñamiento, proporciones altas entre internos y personal, así como la falta de programas educativos, dentro de los servicios, para el personal. En la presencia de los factores mencionados, la prevalencia de HBV aumenta con la duración del tiempo que pasan dentro de la institución. Por tal razón, hay que vacunar contra la hepatitis B a todos los niños internados y al personal que se incorpora o que ya residía en instituciones para los niños con discapacidades del desarrollo; quizá resulte costosa la búsqueda sistemática de marcadores serológicos de HBV antes de la inmunización.</w:t>
      </w:r>
    </w:p>
    <w:p w14:paraId="456ACA48" w14:textId="77777777" w:rsidR="0072615D" w:rsidRDefault="0072615D">
      <w:pPr>
        <w:pStyle w:val="BodyText"/>
        <w:ind w:firstLine="420"/>
      </w:pPr>
      <w:r>
        <w:t>Después de exposición parenteral o sexual a pacientes internados en una institución para cuidados a largo plazo, identificados como portadores del antígeno de superficie de HB, deben recibir inmunoprofilaxia activa y pasiva los pacientes y el personal no inmunizados y que son susceptibles.</w:t>
      </w:r>
    </w:p>
    <w:p w14:paraId="2CDF00AD"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Infecciones por neumococos.</w:t>
      </w:r>
      <w:r>
        <w:t xml:space="preserve"> Los niños con graves discapacidades físicas o psíquicas, en particular los que no abandonan su lecho y que tienen un estado deficiente de la respiración o son capaces sólo de actividad física limitada, pueden beneficiarse del conjugado neumocócico, la vacuna de polisacáridos, o de ambos (véase “Neumococos, infecciones”, sección 3).</w:t>
      </w:r>
    </w:p>
    <w:p w14:paraId="0229C27F"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Varicela.</w:t>
      </w:r>
      <w:r>
        <w:t xml:space="preserve"> La varicela es muy contagiosa y aparece en una proporción alta de niños susceptibles dentro de instituciones de cuidado a largo plazo. Deben ser vacunados todos los niños sanos de un año de vida o mayores que no tienen el antecedente fiable de varicela. En la actualidad se recomienda la profilaxia con VZIG (cuadro 3-77) sólo para niños susceptibles inmunodeficientes, en peligro de mostrar complicaciones graves o muerte por varicela.</w:t>
      </w:r>
    </w:p>
    <w:p w14:paraId="171726DB" w14:textId="77777777" w:rsidR="0072615D" w:rsidRDefault="0072615D">
      <w:pPr>
        <w:pStyle w:val="BodyText"/>
        <w:spacing w:line="286" w:lineRule="auto"/>
        <w:ind w:firstLine="0"/>
      </w:pPr>
      <w:r>
        <w:rPr>
          <w:rFonts w:ascii="Times New Roman" w:eastAsia="Times New Roman" w:hAnsi="Times New Roman" w:cs="Times New Roman"/>
          <w:b/>
          <w:bCs/>
          <w:i/>
          <w:iCs/>
          <w:sz w:val="16"/>
          <w:szCs w:val="16"/>
        </w:rPr>
        <w:t>Otras infecciones.</w:t>
      </w:r>
      <w:r>
        <w:t xml:space="preserve"> Otros microorganismos que originan enfermedades que se propagan en instituciones de cuidado a largo plazo y contra los cuales no se cuenta con vacunas son </w:t>
      </w:r>
      <w:r>
        <w:rPr>
          <w:rFonts w:ascii="Times New Roman" w:eastAsia="Times New Roman" w:hAnsi="Times New Roman" w:cs="Times New Roman"/>
          <w:i/>
          <w:iCs/>
          <w:sz w:val="16"/>
          <w:szCs w:val="16"/>
        </w:rPr>
        <w:t>Shigella, E. Coli</w:t>
      </w:r>
      <w:r>
        <w:t xml:space="preserve"> O157:H7, otros enteropatógenos, </w:t>
      </w:r>
      <w:r>
        <w:rPr>
          <w:rFonts w:ascii="Times New Roman" w:eastAsia="Times New Roman" w:hAnsi="Times New Roman" w:cs="Times New Roman"/>
          <w:i/>
          <w:iCs/>
          <w:sz w:val="16"/>
          <w:szCs w:val="16"/>
        </w:rPr>
        <w:t>Streptococcus pyogenes</w:t>
      </w:r>
      <w:r>
        <w:rPr>
          <w:i/>
          <w:iCs/>
        </w:rPr>
        <w:t xml:space="preserve">, </w:t>
      </w:r>
      <w:r>
        <w:rPr>
          <w:rFonts w:ascii="Times New Roman" w:eastAsia="Times New Roman" w:hAnsi="Times New Roman" w:cs="Times New Roman"/>
          <w:i/>
          <w:iCs/>
          <w:sz w:val="16"/>
          <w:szCs w:val="16"/>
        </w:rPr>
        <w:t>Staphylococcus aureus</w:t>
      </w:r>
      <w:r>
        <w:rPr>
          <w:i/>
          <w:iCs/>
        </w:rPr>
        <w:t>,</w:t>
      </w:r>
      <w:r>
        <w:t xml:space="preserve"> virus de vías respiratorias, virus citomegálicos, sarna y pediculosis.</w:t>
      </w:r>
    </w:p>
    <w:p w14:paraId="6E3A532F" w14:textId="77777777" w:rsidR="0072615D" w:rsidRDefault="0072615D">
      <w:pPr>
        <w:pStyle w:val="Bodytext70"/>
        <w:spacing w:after="0"/>
      </w:pPr>
      <w:r>
        <w:t>Niños en poblaciones militares</w:t>
      </w:r>
    </w:p>
    <w:p w14:paraId="4E9628AF" w14:textId="77777777" w:rsidR="0072615D" w:rsidRDefault="0072615D">
      <w:pPr>
        <w:pStyle w:val="BodyText"/>
        <w:spacing w:after="100"/>
        <w:ind w:firstLine="360"/>
      </w:pPr>
      <w:r>
        <w:t>En términos generales, los niños del personal militar activo necesitan las mismas vacunaciones que sus equivalentes civiles. Si por cualquier razón se recomienda diferir la vacunación contra tos ferina, habrá que señalar a los padres que es significativamente mayor el riesgo de contraer la enfermedad en países en que no se aplica sistemáticamente la vacuna contra la tos ferina, que en países en que se utiliza la vacuna eficaz. En el caso de dependientes militares que viajan a varias naciones, puede aumentar el peligro de exposición a HAV, HBV, sarampión, tos ferina, difteria, virus poliomielíticos, fiebre amarilla, encefalitis japonesa y otras infecciones, lo que tal vez obligue a vacunaciones complementarias (véase más adelante en esta sección “Viajes internacionales”). En tales casos, las vacunaciones seleccionadas dependerán del país de residencia futura, viaje previsto, así como la edad y salud del menor. Con respecto a información sobre el riesgo de enfermedades específicas en países diferentes y las medidas preventivas, véase el apartado de “Viajes internacionales” (más adelante en esta sección) o véase la página Web de CDC (ww.cdc.gov/travel).</w:t>
      </w:r>
    </w:p>
    <w:p w14:paraId="71A3B017" w14:textId="77777777" w:rsidR="0072615D" w:rsidRDefault="0072615D">
      <w:pPr>
        <w:pStyle w:val="Bodytext70"/>
      </w:pPr>
      <w:r>
        <w:t>Poblaciones de adolescentes</w:t>
      </w:r>
      <w:r>
        <w:footnoteReference w:id="27"/>
      </w:r>
      <w:r>
        <w:t xml:space="preserve"> y universitarios</w:t>
      </w:r>
    </w:p>
    <w:p w14:paraId="2FA75F7D" w14:textId="77777777" w:rsidR="0072615D" w:rsidRDefault="0072615D">
      <w:pPr>
        <w:pStyle w:val="BodyText"/>
        <w:ind w:firstLine="0"/>
      </w:pPr>
      <w:r>
        <w:t>Es posible que los adolescentes y los adultos jóvenes no estén protegidos de las enfermedades evitables con vacunas; dicho grupo de edad puede incluir personas que no sufrieron la infección natural y que: 1) no recibieron todas las vacunas recomendadas; 2) se les aplicaron las vacunas apropiadas, pero cuando estaban demasiado niños (p. ej., vacuna contra el sarampión, antes de cumplir 12 meses de vida); 3) fueron sometidos a regímenes de vacunación incompletos (p. ej., sólo una o dos dosis de la vacuna contra HBV), o 4) no reaccionaron a las vacunas aplicadas en edades apropiadas.</w:t>
      </w:r>
    </w:p>
    <w:p w14:paraId="4306FF13" w14:textId="77777777" w:rsidR="0072615D" w:rsidRDefault="0072615D">
      <w:pPr>
        <w:pStyle w:val="BodyText"/>
        <w:ind w:firstLine="360"/>
      </w:pPr>
      <w:r>
        <w:t>Para asegurar la vacunación adecuada a las edades en todos los niños se hará una cita sistemática en la etapa previa a la adolescencia, es decir a los 11 o 12 años de vida, para las finalidades siguientes: 1) vacunar a personas que no recibieron dos dosis de la vacuna triple; 2) aplicar las vacunas contra varicela, hepatitis B o ambas enfermedades según estén indicadas; 3) aplicar una dosis de refuerzo de los toxoides de difteria y tétanos (Td) y 4) aplicar otras vacunas y brindar servicios preventivos que estén indicados. Durante dicha visita en la etapa preadolescente, otras vacunas que pudieran estar indicadas incluyen las de influenza, neumococos y hepatitis A. En resúmenes específicos de la sección 3, al tratar de enfermedades respectivas se destacan las indicaciones propias de cada una de las vacunas.</w:t>
      </w:r>
    </w:p>
    <w:p w14:paraId="7E744C5F" w14:textId="77777777" w:rsidR="0072615D" w:rsidRDefault="0072615D">
      <w:pPr>
        <w:pStyle w:val="BodyText"/>
        <w:ind w:firstLine="360"/>
      </w:pPr>
      <w:r>
        <w:t>Es importante programar las citas para aplicar las dosis necesarias de vacunas que no se administraron en la visita mencionada. En las visitas ulteriores en la adolescencia, habrá que revisar el estado de vacunaciones e inmunización de la persona y corregir las deficiencias, como serían completar la serie de tres dosis de vacuna contra el virus de hepatitis B.</w:t>
      </w:r>
    </w:p>
    <w:p w14:paraId="4EA2DBDC" w14:textId="77777777" w:rsidR="0072615D" w:rsidRDefault="0072615D">
      <w:pPr>
        <w:pStyle w:val="BodyText"/>
        <w:spacing w:after="100"/>
        <w:ind w:firstLine="360"/>
        <w:sectPr w:rsidR="0072615D" w:rsidSect="0072615D">
          <w:headerReference w:type="even" r:id="rId232"/>
          <w:headerReference w:type="default" r:id="rId233"/>
          <w:footerReference w:type="even" r:id="rId234"/>
          <w:footerReference w:type="default" r:id="rId235"/>
          <w:footnotePr>
            <w:numFmt w:val="chicago"/>
          </w:footnotePr>
          <w:pgSz w:w="8501" w:h="13022"/>
          <w:pgMar w:top="917" w:right="800" w:bottom="514" w:left="822" w:header="0" w:footer="3" w:gutter="0"/>
          <w:pgNumType w:start="92"/>
          <w:cols w:space="720"/>
          <w:noEndnote/>
          <w:docGrid w:linePitch="360"/>
          <w15:footnoteColumns w:val="1"/>
        </w:sectPr>
      </w:pPr>
      <w:r>
        <w:t>Las leyes de vacunación escolar alientan programas para que los adolescentes de mayor edad se pongan al día en sus vacunaciones. Sobre tal base, los servicios sanitarios escolares y universitarios deben establecer un sistema para asegurar que todos los</w:t>
      </w:r>
    </w:p>
    <w:p w14:paraId="58D970CB" w14:textId="77777777" w:rsidR="0072615D" w:rsidRDefault="0072615D">
      <w:pPr>
        <w:pStyle w:val="Bodytext70"/>
        <w:spacing w:after="0"/>
      </w:pPr>
      <w:r>
        <w:t>Niños en poblaciones militares</w:t>
      </w:r>
    </w:p>
    <w:p w14:paraId="28C90ED6" w14:textId="77777777" w:rsidR="0072615D" w:rsidRDefault="0072615D">
      <w:pPr>
        <w:pStyle w:val="BodyText"/>
        <w:spacing w:after="100"/>
        <w:ind w:firstLine="360"/>
      </w:pPr>
      <w:r>
        <w:t>En términos generales, los niños del personal militar activo necesitan las mismas vacunaciones que sus equivalentes civiles. Si por cualquier razón se recomienda diferir la vacunación contra tos ferina, habrá que señalar a los padres que es significativamente mayor el riesgo de contraer la enfermedad en países en que no se aplica sistemáticamente la vacuna contra la tos ferina, que en países en que se utiliza la vacuna eficaz. En el caso de dependientes militares que viajan a varias naciones, puede aumentar el peligro de exposición a HAV, HBV, sarampión, tos ferina, difteria, virus poliomielíticos, fiebre amarilla, encefalitis japonesa y otras infecciones, lo que tal vez obligue a vacunaciones complementarias (véase más adelante en esta sección “Viajes internacionales”). En tales casos, las vacunaciones seleccionadas dependerán del país de residencia futura, viaje previsto, así como la edad y salud del menor. Con respecto a información sobre el riesgo de enfermedades específicas en países diferentes y las medidas preventivas, véase el apartado de “Viajes internacionales” (más adelante en esta sección) o véase la página Web de CDC (ww.cdc.gov/travel).</w:t>
      </w:r>
    </w:p>
    <w:p w14:paraId="444B0195" w14:textId="77777777" w:rsidR="0072615D" w:rsidRDefault="0072615D">
      <w:pPr>
        <w:pStyle w:val="Bodytext70"/>
      </w:pPr>
      <w:r>
        <w:t>Poblaciones de adolescentes</w:t>
      </w:r>
      <w:r>
        <w:footnoteReference w:id="28"/>
      </w:r>
      <w:r>
        <w:t xml:space="preserve"> y universitarios</w:t>
      </w:r>
    </w:p>
    <w:p w14:paraId="0C8882CE" w14:textId="77777777" w:rsidR="0072615D" w:rsidRDefault="0072615D">
      <w:pPr>
        <w:pStyle w:val="BodyText"/>
        <w:ind w:firstLine="0"/>
      </w:pPr>
      <w:r>
        <w:t>Es posible que los adolescentes y los adultos jóvenes no estén protegidos de las enfermedades evitables con vacunas; dicho grupo de edad puede incluir personas que no sufrieron la infección natural y que: 1) no recibieron todas las vacunas recomendadas; 2) se les aplicaron las vacunas apropiadas, pero cuando estaban demasiado niños (p. ej., vacuna contra el sarampión, antes de cumplir 12 meses de vida); 3) fueron sometidos a regímenes de vacunación incompletos (p. ej., sólo una o dos dosis de la vacuna contra HBV), o 4) no reaccionaron a las vacunas aplicadas en edades apropiadas.</w:t>
      </w:r>
    </w:p>
    <w:p w14:paraId="6C0ECBDC" w14:textId="77777777" w:rsidR="0072615D" w:rsidRDefault="0072615D">
      <w:pPr>
        <w:pStyle w:val="BodyText"/>
        <w:ind w:firstLine="360"/>
      </w:pPr>
      <w:r>
        <w:t>Para asegurar la vacunación adecuada a las edades en todos los niños se hará una cita sistemática en la etapa previa a la adolescencia, es decir a los 11 o 12 años de vida, para las finalidades siguientes: 1) vacunar a personas que no recibieron dos dosis de la vacuna triple; 2) aplicar las vacunas contra varicela, hepatitis B o ambas enfermedades según estén indicadas; 3) aplicar una dosis de refuerzo de los toxoides de difteria y tétanos (Td) y 4) aplicar otras vacunas y brindar servicios preventivos que estén indicados. Durante dicha visita en la etapa preadolescente, otras vacunas que pudieran estar indicadas incluyen las de influenza, neumococos y hepatitis A. En resúmenes específicos de la sección 3, al tratar de enfermedades respectivas se destacan las indicaciones propias de cada una de las vacunas.</w:t>
      </w:r>
    </w:p>
    <w:p w14:paraId="0EAFAB83" w14:textId="77777777" w:rsidR="0072615D" w:rsidRDefault="0072615D">
      <w:pPr>
        <w:pStyle w:val="BodyText"/>
        <w:ind w:firstLine="360"/>
      </w:pPr>
      <w:r>
        <w:t>Es importante programar las citas para aplicar las dosis necesarias de vacunas que no se administraron en la visita mencionada. En las visitas ulteriores en la adolescencia, habrá que revisar el estado de vacunaciones e inmunización de la persona y corregir las deficiencias, como serían completar la serie de tres dosis de vacuna contra el virus de hepatitis B.</w:t>
      </w:r>
    </w:p>
    <w:p w14:paraId="04538C59" w14:textId="77777777" w:rsidR="0072615D" w:rsidRDefault="0072615D">
      <w:pPr>
        <w:pStyle w:val="BodyText"/>
        <w:ind w:firstLine="360"/>
      </w:pPr>
      <w:r>
        <w:t xml:space="preserve">Las leyes de vacunación escolar alientan programas para que los adolescentes de mayor edad se pongan al día en sus vacunaciones. Sobre tal base, los servicios sanitarios escolares y universitarios deben establecer un sistema para asegurar que todos los educandos estén protegidos de enfermedades evitables por vacunas. Muchas universidades han llevado a la práctica las recomendaciones de la </w:t>
      </w:r>
      <w:r>
        <w:rPr>
          <w:rFonts w:ascii="Times New Roman" w:eastAsia="Times New Roman" w:hAnsi="Times New Roman" w:cs="Times New Roman"/>
          <w:i/>
          <w:iCs/>
          <w:sz w:val="16"/>
          <w:szCs w:val="16"/>
        </w:rPr>
        <w:t>American College Health Association</w:t>
      </w:r>
      <w:r>
        <w:t xml:space="preserve"> (ACHA) en cuanto a exigencias de vacunación antes de la matrícula, y obligan a la protección contra sarampión, parotiditis, rubéola, tétanos, difteria, poliomielitis, varicela y HBV (</w:t>
      </w:r>
      <w:hyperlink r:id="rId236" w:history="1">
        <w:r>
          <w:t>www.acha.org</w:t>
        </w:r>
      </w:hyperlink>
      <w:r>
        <w:t xml:space="preserve">). Además, en algunos colegios y universidades se recomienda la vacuna contra </w:t>
      </w:r>
      <w:r>
        <w:rPr>
          <w:rFonts w:ascii="Times New Roman" w:eastAsia="Times New Roman" w:hAnsi="Times New Roman" w:cs="Times New Roman"/>
          <w:i/>
          <w:iCs/>
          <w:sz w:val="16"/>
          <w:szCs w:val="16"/>
        </w:rPr>
        <w:t>N. meningitidis</w:t>
      </w:r>
      <w:r>
        <w:t xml:space="preserve"> y en muchos estados de la Unión Norteamericana es exigible por ley a los estudiantes de universidades.</w:t>
      </w:r>
    </w:p>
    <w:p w14:paraId="143BD7F3" w14:textId="77777777" w:rsidR="0072615D" w:rsidRDefault="0072615D">
      <w:pPr>
        <w:pStyle w:val="BodyText"/>
        <w:numPr>
          <w:ilvl w:val="0"/>
          <w:numId w:val="34"/>
        </w:numPr>
        <w:tabs>
          <w:tab w:val="left" w:pos="326"/>
        </w:tabs>
        <w:spacing w:line="276" w:lineRule="auto"/>
        <w:ind w:left="360" w:hanging="360"/>
      </w:pPr>
      <w:bookmarkStart w:id="318" w:name="bookmark318"/>
      <w:bookmarkEnd w:id="318"/>
      <w:r>
        <w:rPr>
          <w:rFonts w:ascii="Times New Roman" w:eastAsia="Times New Roman" w:hAnsi="Times New Roman" w:cs="Times New Roman"/>
          <w:b/>
          <w:bCs/>
          <w:i/>
          <w:iCs/>
          <w:sz w:val="16"/>
          <w:szCs w:val="16"/>
        </w:rPr>
        <w:t>Sarampión.</w:t>
      </w:r>
      <w:r>
        <w:t xml:space="preserve"> Desde 1990 en muchos colegios y universidades han surgido brotes de sarampión, y así se han retrasado los intentos de eliminar por completo tal enfermedad de Estados Unidos. Para evitar los brotes mencionados y asegurar niveles altos de inmunidad y vacunación en adultos jóvenes en las instalaciones universitarias y de colegios, ACHA ha recomendado exigir a ambos tipos de instituciones la aplicación de dosis de vacuna contra sarampión como condición para la matrícula. La primera dosis debió haber sido aplicada al cumplir el niño un año de vida o después de esa fecha; el intervalo entre la primera y la segunda dosis debe ser de un mes, como mínimo. En forma semejante, después de la escuela secundaria, la </w:t>
      </w:r>
      <w:r>
        <w:rPr>
          <w:rFonts w:ascii="Times New Roman" w:eastAsia="Times New Roman" w:hAnsi="Times New Roman" w:cs="Times New Roman"/>
          <w:i/>
          <w:iCs/>
          <w:sz w:val="16"/>
          <w:szCs w:val="16"/>
        </w:rPr>
        <w:t>American Academy of Pediatrics</w:t>
      </w:r>
      <w:r>
        <w:t xml:space="preserve"> (AAP) recomienda un plan de vacunaciones de dos dosis contra el sarampión, dentro de la vacuna triple, para personas nacidas en 1957 o fechas ulteriores.</w:t>
      </w:r>
    </w:p>
    <w:p w14:paraId="56D83FCC" w14:textId="77777777" w:rsidR="0072615D" w:rsidRDefault="0072615D">
      <w:pPr>
        <w:pStyle w:val="BodyText"/>
        <w:numPr>
          <w:ilvl w:val="0"/>
          <w:numId w:val="34"/>
        </w:numPr>
        <w:tabs>
          <w:tab w:val="left" w:pos="326"/>
        </w:tabs>
        <w:spacing w:line="276" w:lineRule="auto"/>
        <w:ind w:left="360" w:hanging="360"/>
      </w:pPr>
      <w:bookmarkStart w:id="319" w:name="bookmark319"/>
      <w:bookmarkEnd w:id="319"/>
      <w:r>
        <w:rPr>
          <w:rFonts w:ascii="Times New Roman" w:eastAsia="Times New Roman" w:hAnsi="Times New Roman" w:cs="Times New Roman"/>
          <w:b/>
          <w:bCs/>
          <w:i/>
          <w:iCs/>
          <w:sz w:val="16"/>
          <w:szCs w:val="16"/>
        </w:rPr>
        <w:t>Rubéola.</w:t>
      </w:r>
      <w:r>
        <w:t xml:space="preserve"> Hay que considerar como susceptibles a la rubéola a los adolescentes y adultos si no tienen corroboración escrita y pruebas de su inmunidad. La vacunación de adolescentes y adultos en las universidades aminora las posibilidades de brotes y ayuda a evitar el síndrome de rubéola congénita.</w:t>
      </w:r>
    </w:p>
    <w:p w14:paraId="411449A1" w14:textId="77777777" w:rsidR="0072615D" w:rsidRDefault="0072615D">
      <w:pPr>
        <w:pStyle w:val="BodyText"/>
        <w:numPr>
          <w:ilvl w:val="0"/>
          <w:numId w:val="34"/>
        </w:numPr>
        <w:tabs>
          <w:tab w:val="left" w:pos="326"/>
        </w:tabs>
        <w:spacing w:line="276" w:lineRule="auto"/>
        <w:ind w:left="360" w:hanging="360"/>
      </w:pPr>
      <w:bookmarkStart w:id="320" w:name="bookmark320"/>
      <w:bookmarkEnd w:id="320"/>
      <w:r>
        <w:rPr>
          <w:rFonts w:ascii="Times New Roman" w:eastAsia="Times New Roman" w:hAnsi="Times New Roman" w:cs="Times New Roman"/>
          <w:b/>
          <w:bCs/>
          <w:i/>
          <w:iCs/>
          <w:sz w:val="16"/>
          <w:szCs w:val="16"/>
        </w:rPr>
        <w:t>Varicela.</w:t>
      </w:r>
      <w:r>
        <w:t xml:space="preserve"> La vacunación contra la varicela es conveniente en adolescentes y adultos, especialmente los adultos en universidades y colegios y las mujeres no embarazadas que están en edad de procreación.</w:t>
      </w:r>
      <w:r>
        <w:footnoteReference w:id="29"/>
      </w:r>
      <w:r>
        <w:t xml:space="preserve"> Cabe suponer que estén inmunes adultos, adolescentes y niños con un antecedente fiable de haber padecido varicela, y en tales casos no se necesita la vacunación. En promedio, 70 a 90% de personas de</w:t>
      </w:r>
    </w:p>
    <w:p w14:paraId="42597B22" w14:textId="77777777" w:rsidR="0072615D" w:rsidRDefault="0072615D">
      <w:pPr>
        <w:pStyle w:val="BodyText"/>
        <w:ind w:left="360" w:firstLine="0"/>
      </w:pPr>
      <w:r>
        <w:t>18 años de vida o mayores sin el antecedente fiable de haber padecido varicela también serán inmunes, razón por la cual pudiera convenir económicamente realizar estudios serológicos de personas de 13 años y mayores y vacunar a personas seronegativas. Si se practican pruebas serológicas, hay que crear un sistema de identificación y seguimiento de personas seronegativas para asegurar que todas las que son susceptibles están vacunadas. Sin embargo, no se exigen las pruebas serológicas porque la vacuna contra la varicela es bien tolerada en personas inmunes por haber recibido vacunas o haber sufrido la enfermedad. En algunas situaciones pudiera ser más fácil la vacunación universal que la práctica de pruebas serológicas y la identificación y el seguimiento.</w:t>
      </w:r>
    </w:p>
    <w:p w14:paraId="7DD5926D" w14:textId="77777777" w:rsidR="0072615D" w:rsidRDefault="0072615D">
      <w:pPr>
        <w:pStyle w:val="BodyText"/>
        <w:numPr>
          <w:ilvl w:val="0"/>
          <w:numId w:val="34"/>
        </w:numPr>
        <w:tabs>
          <w:tab w:val="left" w:pos="326"/>
        </w:tabs>
        <w:spacing w:line="276" w:lineRule="auto"/>
        <w:ind w:left="360" w:hanging="360"/>
        <w:sectPr w:rsidR="0072615D" w:rsidSect="0072615D">
          <w:headerReference w:type="even" r:id="rId237"/>
          <w:headerReference w:type="default" r:id="rId238"/>
          <w:footerReference w:type="even" r:id="rId239"/>
          <w:footerReference w:type="default" r:id="rId240"/>
          <w:headerReference w:type="first" r:id="rId241"/>
          <w:footerReference w:type="first" r:id="rId242"/>
          <w:footnotePr>
            <w:numFmt w:val="chicago"/>
          </w:footnotePr>
          <w:pgSz w:w="8501" w:h="13022"/>
          <w:pgMar w:top="917" w:right="800" w:bottom="514" w:left="822" w:header="0" w:footer="3" w:gutter="0"/>
          <w:pgNumType w:start="95"/>
          <w:cols w:space="720"/>
          <w:noEndnote/>
          <w:titlePg/>
          <w:docGrid w:linePitch="360"/>
          <w15:footnoteColumns w:val="1"/>
        </w:sectPr>
      </w:pPr>
      <w:bookmarkStart w:id="321" w:name="bookmark321"/>
      <w:bookmarkEnd w:id="321"/>
      <w:r>
        <w:rPr>
          <w:rFonts w:ascii="Times New Roman" w:eastAsia="Times New Roman" w:hAnsi="Times New Roman" w:cs="Times New Roman"/>
          <w:b/>
          <w:bCs/>
          <w:i/>
          <w:iCs/>
          <w:sz w:val="16"/>
          <w:szCs w:val="16"/>
        </w:rPr>
        <w:t>Hepatitis B.</w:t>
      </w:r>
      <w:r>
        <w:t xml:space="preserve"> Se recomienda aplicar a todos los adolescentes la vacuna contra el virus de hepatitis B, especialmente a aquellos que tienen uno o más factores de riesgo de padecer la infección por tal virus. Entre los factores de riesgo están múltiples compañeros sexuales (que se define como más de un compañero en los seis meses anteriores), alguna enfermedad de transmisión sexual, comportamiento homosexual o bisexual activos, uso de drogas inyectables y ocupación o entrenamiento que incluye contacto con sangre o líquidos corporales.</w:t>
      </w:r>
    </w:p>
    <w:p w14:paraId="055F5FF4" w14:textId="77777777" w:rsidR="0072615D" w:rsidRDefault="0072615D">
      <w:pPr>
        <w:pStyle w:val="BodyText"/>
        <w:numPr>
          <w:ilvl w:val="0"/>
          <w:numId w:val="35"/>
        </w:numPr>
        <w:tabs>
          <w:tab w:val="left" w:pos="331"/>
        </w:tabs>
        <w:ind w:left="360" w:hanging="360"/>
      </w:pPr>
      <w:bookmarkStart w:id="322" w:name="bookmark322"/>
      <w:bookmarkEnd w:id="322"/>
      <w:r>
        <w:rPr>
          <w:rFonts w:ascii="Times New Roman" w:eastAsia="Times New Roman" w:hAnsi="Times New Roman" w:cs="Times New Roman"/>
          <w:b/>
          <w:bCs/>
          <w:i/>
          <w:iCs/>
          <w:sz w:val="16"/>
          <w:szCs w:val="16"/>
        </w:rPr>
        <w:t>Difteria, tétanos y tos ferina.</w:t>
      </w:r>
      <w:r>
        <w:t xml:space="preserve"> La vacuna de toxoides diftérico y tetánico del adulto (Td) debe aplicarse entre los 11 y 12 años de vida y no después de los 16 años. Después de esta última fecha cada 10 años se aplicarán dosis de refuerzo de Td. Están en marcha investigaciones para valorar la necesidad y la inocuidad de vacunas contra la tos ferina en adolescentes y adultos.</w:t>
      </w:r>
    </w:p>
    <w:p w14:paraId="36F0CCF6" w14:textId="77777777" w:rsidR="0072615D" w:rsidRDefault="0072615D">
      <w:pPr>
        <w:pStyle w:val="BodyText"/>
        <w:numPr>
          <w:ilvl w:val="0"/>
          <w:numId w:val="35"/>
        </w:numPr>
        <w:tabs>
          <w:tab w:val="left" w:pos="331"/>
        </w:tabs>
        <w:ind w:left="360" w:hanging="360"/>
      </w:pPr>
      <w:bookmarkStart w:id="323" w:name="bookmark323"/>
      <w:bookmarkEnd w:id="323"/>
      <w:r>
        <w:rPr>
          <w:rFonts w:ascii="Times New Roman" w:eastAsia="Times New Roman" w:hAnsi="Times New Roman" w:cs="Times New Roman"/>
          <w:b/>
          <w:bCs/>
          <w:i/>
          <w:iCs/>
          <w:sz w:val="16"/>
          <w:szCs w:val="16"/>
        </w:rPr>
        <w:t>Influenza.</w:t>
      </w:r>
      <w:r>
        <w:t xml:space="preserve"> La influenza epidémica puede afectar cualquier población en espacios cerrados. Los médicos encargados de la atención sanitaria en escuelas y universidades deben considerar la aplicación anual de vacunas contra influenza a los estudiantes, en particular aquellos que residen en dormitorios o que son miembros de equipos deportivos, para disminuir la morbilidad y llevar al mínimo la perturbación de las actividades cotidianas durante epidemias.</w:t>
      </w:r>
    </w:p>
    <w:p w14:paraId="4EF3D17B" w14:textId="77777777" w:rsidR="0072615D" w:rsidRDefault="0072615D">
      <w:pPr>
        <w:pStyle w:val="BodyText"/>
        <w:numPr>
          <w:ilvl w:val="0"/>
          <w:numId w:val="35"/>
        </w:numPr>
        <w:tabs>
          <w:tab w:val="left" w:pos="331"/>
        </w:tabs>
        <w:ind w:left="360" w:hanging="360"/>
      </w:pPr>
      <w:bookmarkStart w:id="324" w:name="bookmark324"/>
      <w:bookmarkEnd w:id="324"/>
      <w:r>
        <w:rPr>
          <w:b/>
          <w:bCs/>
        </w:rPr>
        <w:t xml:space="preserve">Neisseria meningitidis. </w:t>
      </w:r>
      <w:r>
        <w:t>En Estados Unidos, ACHA recomienda vacunar a los estudiantes universitarios, y en muchos estados de dicho país hay una exigencia legal de que así se haga en todos los estudiantes de ese nivel. Los pediatras deben informar y orientar a los estudiantes y sus padres sobre el peligro de enfermedad meningocócica y la existencia de una vacuna segura y eficaz, y así vacunar a los estudiantes por voluntad propia o porque lo exigen las leyes estatales o las instituciones educativas para ser admitidos en la institución.</w:t>
      </w:r>
    </w:p>
    <w:p w14:paraId="7AB84CE6" w14:textId="77777777" w:rsidR="0072615D" w:rsidRDefault="0072615D">
      <w:pPr>
        <w:pStyle w:val="BodyText"/>
        <w:numPr>
          <w:ilvl w:val="0"/>
          <w:numId w:val="35"/>
        </w:numPr>
        <w:tabs>
          <w:tab w:val="left" w:pos="331"/>
        </w:tabs>
        <w:ind w:left="360" w:hanging="360"/>
      </w:pPr>
      <w:bookmarkStart w:id="325" w:name="bookmark325"/>
      <w:bookmarkEnd w:id="325"/>
      <w:r>
        <w:rPr>
          <w:rFonts w:ascii="Times New Roman" w:eastAsia="Times New Roman" w:hAnsi="Times New Roman" w:cs="Times New Roman"/>
          <w:b/>
          <w:bCs/>
          <w:i/>
          <w:iCs/>
          <w:sz w:val="16"/>
          <w:szCs w:val="16"/>
        </w:rPr>
        <w:t>Otras recomendaciones.</w:t>
      </w:r>
      <w:r>
        <w:t xml:space="preserve"> Los adolescentes y los adultos jóvenes suelen viajar a otras naciones, razón por la cual habrá que revisar dos meses o más antes del viaje su estado de vacunaciones y planes de viaje, y así contar con tiempo para aplicar todas las vacunas necesarias (véase más adelante en esta sección “Viajes internacionales”). Algunos médicos no están enterados de los peligros que imponen enfermedades</w:t>
      </w:r>
    </w:p>
    <w:p w14:paraId="0B6AFF01" w14:textId="77777777" w:rsidR="0072615D" w:rsidRDefault="0072615D">
      <w:pPr>
        <w:pStyle w:val="BodyText"/>
        <w:ind w:firstLine="0"/>
      </w:pPr>
      <w:r>
        <w:t>que pueden evitarse con vacunaciones a los adolescentes y adultos jóvenes y no conceden prioridad a tal medida. Los pediatras deben brindar información sobre vacunaciones y las enfermedades comentadas al personal que atiende adolescentes en sus comunidades, y deben luchar para lograr una mayor conciencia de la importancia de vacunar a ambos grupos de la población.</w:t>
      </w:r>
    </w:p>
    <w:p w14:paraId="22C58F20" w14:textId="77777777" w:rsidR="0072615D" w:rsidRDefault="0072615D">
      <w:pPr>
        <w:pStyle w:val="BodyText"/>
        <w:spacing w:after="100"/>
        <w:ind w:firstLine="360"/>
      </w:pPr>
      <w:r>
        <w:t>La aparición posible de enfermedades como sarampión, parotiditis, rubéola, hepatitis A o B, tos ferina, influenza e infecciones por N. meningitidis en una escuela o universidad debe ser notificada inmediatamente a los funcionarios sanitarios de la localidad.</w:t>
      </w:r>
    </w:p>
    <w:p w14:paraId="1010763A" w14:textId="77777777" w:rsidR="0072615D" w:rsidRDefault="0072615D">
      <w:pPr>
        <w:pStyle w:val="Bodytext70"/>
      </w:pPr>
      <w:r>
        <w:t>Personal asistencial*</w:t>
      </w:r>
    </w:p>
    <w:p w14:paraId="62943A01" w14:textId="77777777" w:rsidR="0072615D" w:rsidRDefault="0072615D">
      <w:pPr>
        <w:pStyle w:val="BodyText"/>
        <w:spacing w:after="160"/>
        <w:ind w:firstLine="0"/>
        <w:sectPr w:rsidR="0072615D" w:rsidSect="0072615D">
          <w:headerReference w:type="even" r:id="rId243"/>
          <w:headerReference w:type="default" r:id="rId244"/>
          <w:footerReference w:type="even" r:id="rId245"/>
          <w:footerReference w:type="default" r:id="rId246"/>
          <w:footnotePr>
            <w:numFmt w:val="chicago"/>
          </w:footnotePr>
          <w:pgSz w:w="8501" w:h="13022"/>
          <w:pgMar w:top="941" w:right="523" w:bottom="1733" w:left="1128" w:header="0" w:footer="3" w:gutter="0"/>
          <w:cols w:space="720"/>
          <w:noEndnote/>
          <w:docGrid w:linePitch="360"/>
          <w15:footnoteColumns w:val="1"/>
        </w:sectPr>
      </w:pPr>
      <w:r>
        <w:t>Los adultos cuyo trabajo y ocupaciones los pone en contacto con sujetos con enfermedades contagiosas están expuestos a un mayor peligro de contraerlas, incluso las evitables por vacunas, y si se infectan, de transmitirlas a sus pacientes. El personal que labora en instituciones de cuidado a largo plazo y del tipo asistencial que incluyen médicos, enfermeras estudiantes y auxiliares, debe protegerse a sí mismo y a los pacientes susceptibles y para ello aplicarse las vacunas apropiadas. Los médicos, los hospitales y las escuelas de profesionales asistenciales deben intervenir de manera decisiva para llevar a la práctica tales normas. En párrafos siguientes presentaremos las infecciones evitables</w:t>
      </w:r>
    </w:p>
    <w:p w14:paraId="6B821546" w14:textId="77777777" w:rsidR="0072615D" w:rsidRDefault="0072615D">
      <w:pPr>
        <w:pStyle w:val="BodyText"/>
        <w:numPr>
          <w:ilvl w:val="0"/>
          <w:numId w:val="35"/>
        </w:numPr>
        <w:tabs>
          <w:tab w:val="left" w:pos="331"/>
        </w:tabs>
        <w:ind w:left="360" w:hanging="360"/>
      </w:pPr>
      <w:bookmarkStart w:id="326" w:name="bookmark326"/>
      <w:bookmarkEnd w:id="326"/>
      <w:r>
        <w:rPr>
          <w:rFonts w:ascii="Times New Roman" w:eastAsia="Times New Roman" w:hAnsi="Times New Roman" w:cs="Times New Roman"/>
          <w:b/>
          <w:bCs/>
          <w:i/>
          <w:iCs/>
          <w:sz w:val="16"/>
          <w:szCs w:val="16"/>
        </w:rPr>
        <w:t>Difteria, tétanos y tos ferina.</w:t>
      </w:r>
      <w:r>
        <w:t xml:space="preserve"> La vacuna de toxoides diftérico y tetánico del adulto (Td) debe aplicarse entre los 11 y 12 años de vida y no después de los 16 años. Después de esta última fecha cada 10 años se aplicarán dosis de refuerzo de Td. Están en marcha investigaciones para valorar la necesidad y la inocuidad de vacunas contra la tos ferina en adolescentes y adultos.</w:t>
      </w:r>
    </w:p>
    <w:p w14:paraId="78770142" w14:textId="77777777" w:rsidR="0072615D" w:rsidRDefault="0072615D">
      <w:pPr>
        <w:pStyle w:val="BodyText"/>
        <w:numPr>
          <w:ilvl w:val="0"/>
          <w:numId w:val="35"/>
        </w:numPr>
        <w:tabs>
          <w:tab w:val="left" w:pos="331"/>
        </w:tabs>
        <w:ind w:left="360" w:hanging="360"/>
      </w:pPr>
      <w:bookmarkStart w:id="327" w:name="bookmark327"/>
      <w:bookmarkEnd w:id="327"/>
      <w:r>
        <w:rPr>
          <w:rFonts w:ascii="Times New Roman" w:eastAsia="Times New Roman" w:hAnsi="Times New Roman" w:cs="Times New Roman"/>
          <w:b/>
          <w:bCs/>
          <w:i/>
          <w:iCs/>
          <w:sz w:val="16"/>
          <w:szCs w:val="16"/>
        </w:rPr>
        <w:t>Influenza.</w:t>
      </w:r>
      <w:r>
        <w:t xml:space="preserve"> La influenza epidémica puede afectar cualquier población en espacios cerrados. Los médicos encargados de la atención sanitaria en escuelas y universidades deben considerar la aplicación anual de vacunas contra influenza a los estudiantes, en particular aquellos que residen en dormitorios o que son miembros de equipos deportivos, para disminuir la morbilidad y llevar al mínimo la perturbación de las actividades cotidianas durante epidemias.</w:t>
      </w:r>
    </w:p>
    <w:p w14:paraId="0878314C" w14:textId="77777777" w:rsidR="0072615D" w:rsidRDefault="0072615D">
      <w:pPr>
        <w:pStyle w:val="BodyText"/>
        <w:numPr>
          <w:ilvl w:val="0"/>
          <w:numId w:val="35"/>
        </w:numPr>
        <w:tabs>
          <w:tab w:val="left" w:pos="331"/>
        </w:tabs>
        <w:ind w:left="360" w:hanging="360"/>
      </w:pPr>
      <w:bookmarkStart w:id="328" w:name="bookmark328"/>
      <w:bookmarkEnd w:id="328"/>
      <w:r>
        <w:rPr>
          <w:b/>
          <w:bCs/>
        </w:rPr>
        <w:t xml:space="preserve">Neisseria meningitidis. </w:t>
      </w:r>
      <w:r>
        <w:t>En Estados Unidos, ACHA recomienda vacunar a los estudiantes universitarios, y en muchos estados de dicho país hay una exigencia legal de que así se haga en todos los estudiantes de ese nivel. Los pediatras deben informar y orientar a los estudiantes y sus padres sobre el peligro de enfermedad meningocócica y la existencia de una vacuna segura y eficaz, y así vacunar a los estudiantes por voluntad propia o porque lo exigen las leyes estatales o las instituciones educativas para ser admitidos en la institución.</w:t>
      </w:r>
    </w:p>
    <w:p w14:paraId="0607EEE1" w14:textId="77777777" w:rsidR="0072615D" w:rsidRDefault="0072615D">
      <w:pPr>
        <w:pStyle w:val="BodyText"/>
        <w:numPr>
          <w:ilvl w:val="0"/>
          <w:numId w:val="35"/>
        </w:numPr>
        <w:tabs>
          <w:tab w:val="left" w:pos="331"/>
        </w:tabs>
        <w:ind w:left="360" w:hanging="360"/>
      </w:pPr>
      <w:bookmarkStart w:id="329" w:name="bookmark329"/>
      <w:bookmarkEnd w:id="329"/>
      <w:r>
        <w:rPr>
          <w:rFonts w:ascii="Times New Roman" w:eastAsia="Times New Roman" w:hAnsi="Times New Roman" w:cs="Times New Roman"/>
          <w:b/>
          <w:bCs/>
          <w:i/>
          <w:iCs/>
          <w:sz w:val="16"/>
          <w:szCs w:val="16"/>
        </w:rPr>
        <w:t>Otras recomendaciones.</w:t>
      </w:r>
      <w:r>
        <w:t xml:space="preserve"> Los adolescentes y los adultos jóvenes suelen viajar a otras naciones, razón por la cual habrá que revisar dos meses o más antes del viaje su estado de vacunaciones y planes de viaje, y así contar con tiempo para aplicar todas las vacunas necesarias (véase más adelante en esta sección “Viajes internacionales”). Algunos médicos no están enterados de los peligros que imponen enfermedades</w:t>
      </w:r>
    </w:p>
    <w:p w14:paraId="7963DF0A" w14:textId="77777777" w:rsidR="0072615D" w:rsidRDefault="0072615D">
      <w:pPr>
        <w:pStyle w:val="BodyText"/>
        <w:ind w:firstLine="0"/>
      </w:pPr>
      <w:r>
        <w:t>que pueden evitarse con vacunaciones a los adolescentes y adultos jóvenes y no conceden prioridad a tal medida. Los pediatras deben brindar información sobre vacunaciones y las enfermedades comentadas al personal que atiende adolescentes en sus comunidades, y deben luchar para lograr una mayor conciencia de la importancia de vacunar a ambos grupos de la población.</w:t>
      </w:r>
    </w:p>
    <w:p w14:paraId="07707068" w14:textId="77777777" w:rsidR="0072615D" w:rsidRDefault="0072615D">
      <w:pPr>
        <w:pStyle w:val="BodyText"/>
        <w:spacing w:after="100"/>
        <w:ind w:firstLine="360"/>
      </w:pPr>
      <w:r>
        <w:t>La aparición posible de enfermedades como sarampión, parotiditis, rubéola, hepatitis A o B, tos ferina, influenza e infecciones por N. meningitidis en una escuela o universidad debe ser notificada inmediatamente a los funcionarios sanitarios de la localidad.</w:t>
      </w:r>
    </w:p>
    <w:p w14:paraId="7F94FD4D" w14:textId="77777777" w:rsidR="0072615D" w:rsidRDefault="0072615D">
      <w:pPr>
        <w:pStyle w:val="Bodytext70"/>
      </w:pPr>
      <w:r>
        <w:t>Personal asistencial*</w:t>
      </w:r>
    </w:p>
    <w:p w14:paraId="11C663AB" w14:textId="77777777" w:rsidR="0072615D" w:rsidRDefault="0072615D">
      <w:pPr>
        <w:pStyle w:val="BodyText"/>
        <w:spacing w:after="160"/>
        <w:ind w:firstLine="0"/>
        <w:sectPr w:rsidR="0072615D" w:rsidSect="0072615D">
          <w:footnotePr>
            <w:numFmt w:val="chicago"/>
          </w:footnotePr>
          <w:pgSz w:w="8501" w:h="13022"/>
          <w:pgMar w:top="941" w:right="523" w:bottom="1733" w:left="1128" w:header="0" w:footer="3" w:gutter="0"/>
          <w:pgNumType w:start="97"/>
          <w:cols w:space="720"/>
          <w:noEndnote/>
          <w:docGrid w:linePitch="360"/>
          <w15:footnoteColumns w:val="1"/>
        </w:sectPr>
      </w:pPr>
      <w:r>
        <w:t>Los adultos cuyo trabajo y ocupaciones los pone en contacto con sujetos con enfermedades contagiosas están expuestos a un mayor peligro de contraerlas, incluso las evitables por vacunas, y si se infectan, de transmitirlas a sus pacientes. El personal que labora en instituciones de cuidado a largo plazo y del tipo asistencial que incluyen médicos, enfermeras estudiantes y auxiliares, debe protegerse a sí mismo y a los pacientes susceptibles y para ello aplicarse las vacunas apropiadas. Los médicos, los hospitales y las escuelas de profesionales asistenciales deben intervenir de manera decisiva para llevar a la práctica tales normas. En párrafos siguientes presentaremos las infecciones evitables</w:t>
      </w:r>
    </w:p>
    <w:p w14:paraId="02EA51CB" w14:textId="77777777" w:rsidR="0072615D" w:rsidRDefault="0072615D">
      <w:pPr>
        <w:pStyle w:val="BodyText"/>
        <w:spacing w:before="240"/>
        <w:ind w:firstLine="0"/>
      </w:pPr>
      <w:r>
        <w:t>por vacunas, que tienen interés especial para quienes participan en la asistencia de niños (véanse también los resúmenes de la sección 3, de enfermedades específicas, para recomendaciones más precisas).</w:t>
      </w:r>
    </w:p>
    <w:p w14:paraId="725094D6" w14:textId="77777777" w:rsidR="0072615D" w:rsidRDefault="0072615D">
      <w:pPr>
        <w:pStyle w:val="BodyText"/>
        <w:numPr>
          <w:ilvl w:val="0"/>
          <w:numId w:val="35"/>
        </w:numPr>
        <w:tabs>
          <w:tab w:val="left" w:pos="319"/>
        </w:tabs>
        <w:spacing w:line="276" w:lineRule="auto"/>
        <w:ind w:left="360" w:hanging="360"/>
      </w:pPr>
      <w:bookmarkStart w:id="330" w:name="bookmark330"/>
      <w:bookmarkEnd w:id="330"/>
      <w:r>
        <w:rPr>
          <w:rFonts w:ascii="Times New Roman" w:eastAsia="Times New Roman" w:hAnsi="Times New Roman" w:cs="Times New Roman"/>
          <w:b/>
          <w:bCs/>
          <w:i/>
          <w:iCs/>
          <w:sz w:val="16"/>
          <w:szCs w:val="16"/>
        </w:rPr>
        <w:t>Rubéola.</w:t>
      </w:r>
      <w:r>
        <w:t xml:space="preserve"> Se ha notificado brotes de rubéola en personal asistencial. El cuadro es leve en adultos, pero el peligro para el feto obliga a corroborar la inmunidad a la enfermedad en el personal hospitalario, de uno y otro sexos. Las personas en peligro de transmitir el virus de rubéola incluyen personal hospitalario en áreas de pediatría, médicos y enfermeras en la atención ambulatoria pediátrica y obstétrica (incluido en los departamentos de urgencias) y todo individuo que trabaja en áreas asistenciales donde hay mujeres embarazadas. Se considerará que una persona es inmune sólo si así lo demuestran las pruebas serológicas o hay una prueba corroborada de vacunación contra rubéola a los 12 meses de vida o después de esa fecha. El antecedente de haber padecido la rubéola no es fiable y no se le usará para corroborar el estado inmunitario. Toda persona susceptible debe recibir la vacuna triple (o la vacuna monocomponente de rubéola si se ha corroborado la inmunidad a sarampión y parotiditis) antes del contacto inicial o ininterrumpido con embarazadas.</w:t>
      </w:r>
    </w:p>
    <w:p w14:paraId="186AC983" w14:textId="77777777" w:rsidR="0072615D" w:rsidRDefault="0072615D">
      <w:pPr>
        <w:pStyle w:val="BodyText"/>
        <w:ind w:left="360" w:firstLine="380"/>
      </w:pPr>
      <w:r>
        <w:t>En Estados Unidos suele considerarse prueba aceptable de inmunidad a la rubéola el haber nacido antes de 1957, pero las instituciones asistenciales deben considerar la aplicación de una dosis de vacuna triple a trabajadores no inmunizados que nacieron antes de la fecha comentada y que no tienen datos de laboratorio que prueben que están inmunes a la enfermedad.</w:t>
      </w:r>
    </w:p>
    <w:p w14:paraId="53C1630E" w14:textId="77777777" w:rsidR="0072615D" w:rsidRDefault="0072615D">
      <w:pPr>
        <w:pStyle w:val="BodyText"/>
        <w:numPr>
          <w:ilvl w:val="0"/>
          <w:numId w:val="35"/>
        </w:numPr>
        <w:tabs>
          <w:tab w:val="left" w:pos="319"/>
        </w:tabs>
        <w:spacing w:line="276" w:lineRule="auto"/>
        <w:ind w:left="360" w:hanging="360"/>
      </w:pPr>
      <w:bookmarkStart w:id="331" w:name="bookmark331"/>
      <w:bookmarkEnd w:id="331"/>
      <w:r>
        <w:rPr>
          <w:rFonts w:ascii="Times New Roman" w:eastAsia="Times New Roman" w:hAnsi="Times New Roman" w:cs="Times New Roman"/>
          <w:b/>
          <w:bCs/>
          <w:i/>
          <w:iCs/>
          <w:sz w:val="16"/>
          <w:szCs w:val="16"/>
        </w:rPr>
        <w:t>Sarampión.</w:t>
      </w:r>
      <w:r>
        <w:t xml:space="preserve"> El sarampión en personal asistencial ha contribuido a la propagación de la enfermedad en los brotes, pero hay que exigir pruebas de inmunidad al personal asistencial nacido en 1957 o fechas ulteriores que estarán en contacto directo con los pacientes. La corroboración de la inmunidad (vacunación) es definida por el sarampión corroborado por el médico, una prueba serológica positiva que denota la presencia de anticuerpos contra la enfermedad o haber recibido en forma probada dos dosis de la vacuna de virus vivo, la primera aplicada a los 12 meses o después de tal fecha. Se considera que el personal asistencial que nació antes de 1957 es inmune al sarampión. Sin embargo, dado que han surgido casos de la enfermedad en el personal de dicho grupo de edad, las instituciones asistenciales deben considerar el planteamiento de que se aplique como mínimo una dosis de vacuna contra el sarampión a personas que no tienen pruebas de inmunidad a él, particularmente en comunidades con brotes corroborados</w:t>
      </w:r>
    </w:p>
    <w:p w14:paraId="3D020054" w14:textId="77777777" w:rsidR="0072615D" w:rsidRDefault="0072615D">
      <w:pPr>
        <w:pStyle w:val="BodyText"/>
        <w:ind w:firstLine="360"/>
      </w:pPr>
      <w:r>
        <w:t>de la enfermedad.</w:t>
      </w:r>
    </w:p>
    <w:p w14:paraId="10D3741B" w14:textId="77777777" w:rsidR="0072615D" w:rsidRDefault="0072615D">
      <w:pPr>
        <w:pStyle w:val="BodyText"/>
        <w:numPr>
          <w:ilvl w:val="0"/>
          <w:numId w:val="35"/>
        </w:numPr>
        <w:tabs>
          <w:tab w:val="left" w:pos="319"/>
        </w:tabs>
        <w:spacing w:line="283" w:lineRule="auto"/>
        <w:ind w:left="360" w:hanging="360"/>
      </w:pPr>
      <w:bookmarkStart w:id="332" w:name="bookmark332"/>
      <w:bookmarkEnd w:id="332"/>
      <w:r>
        <w:rPr>
          <w:rFonts w:ascii="Times New Roman" w:eastAsia="Times New Roman" w:hAnsi="Times New Roman" w:cs="Times New Roman"/>
          <w:b/>
          <w:bCs/>
          <w:i/>
          <w:iCs/>
          <w:sz w:val="16"/>
          <w:szCs w:val="16"/>
        </w:rPr>
        <w:t>Parotiditis.</w:t>
      </w:r>
      <w:r>
        <w:t xml:space="preserve"> La transmisión de parotiditis en las instituciones asistenciales puede ser perturbadora y costosa. Por lo común se considera que los adultos que nacieron antes de 1957 son inmunes a la parotiditis; los que nacieron en el año en cuestión</w:t>
      </w:r>
    </w:p>
    <w:p w14:paraId="1B19DE44" w14:textId="77777777" w:rsidR="0072615D" w:rsidRDefault="0072615D">
      <w:pPr>
        <w:pStyle w:val="BodyText"/>
        <w:ind w:left="360" w:firstLine="0"/>
      </w:pPr>
      <w:r>
        <w:t>o en fecha ulterior se consideran como inmunes si tienen corroboración de haber recibido una sola dosis de la vacuna antiparotidítica cuando cumplieron los 12 meses o después, o bien, datos de pruebas de laboratorio que señalen inmunidad.</w:t>
      </w:r>
    </w:p>
    <w:p w14:paraId="4A70A1DB" w14:textId="77777777" w:rsidR="0072615D" w:rsidRDefault="0072615D">
      <w:pPr>
        <w:pStyle w:val="BodyText"/>
        <w:numPr>
          <w:ilvl w:val="0"/>
          <w:numId w:val="35"/>
        </w:numPr>
        <w:tabs>
          <w:tab w:val="left" w:pos="319"/>
        </w:tabs>
        <w:spacing w:line="276" w:lineRule="auto"/>
        <w:ind w:left="360" w:hanging="360"/>
      </w:pPr>
      <w:bookmarkStart w:id="333" w:name="bookmark333"/>
      <w:bookmarkEnd w:id="333"/>
      <w:r>
        <w:rPr>
          <w:rFonts w:ascii="Times New Roman" w:eastAsia="Times New Roman" w:hAnsi="Times New Roman" w:cs="Times New Roman"/>
          <w:b/>
          <w:bCs/>
          <w:i/>
          <w:iCs/>
          <w:sz w:val="16"/>
          <w:szCs w:val="16"/>
        </w:rPr>
        <w:t>Hepatitis B.</w:t>
      </w:r>
      <w:r>
        <w:t xml:space="preserve"> Se recomienda aplicar la vacuna contra dicha enfermedad en el personal asistencial que posiblemente estará expuesto a sangre o líquidos corporales sanguinolentos. En Estados Unidos, la </w:t>
      </w:r>
      <w:r>
        <w:rPr>
          <w:rFonts w:ascii="Times New Roman" w:eastAsia="Times New Roman" w:hAnsi="Times New Roman" w:cs="Times New Roman"/>
          <w:i/>
          <w:iCs/>
          <w:sz w:val="16"/>
          <w:szCs w:val="16"/>
        </w:rPr>
        <w:t xml:space="preserve">Ocupational Safety and Health Administration </w:t>
      </w:r>
      <w:r>
        <w:t xml:space="preserve">del </w:t>
      </w:r>
      <w:r>
        <w:rPr>
          <w:rFonts w:ascii="Times New Roman" w:eastAsia="Times New Roman" w:hAnsi="Times New Roman" w:cs="Times New Roman"/>
          <w:i/>
          <w:iCs/>
          <w:sz w:val="16"/>
          <w:szCs w:val="16"/>
        </w:rPr>
        <w:t>US Department of Labor</w:t>
      </w:r>
      <w:r>
        <w:t xml:space="preserve"> ha emitido una norma que exige a los patrones de trabajadores en peligro de exposición ocupacional a HBV brindar la vacunación contra tal partícula a sus empleados, misma que sufragará el patrón. Los empleados que rechacen las vacunaciones recomendadas deben firmar un documento que acredite su negativa.</w:t>
      </w:r>
    </w:p>
    <w:p w14:paraId="5DFE2F84" w14:textId="77777777" w:rsidR="0072615D" w:rsidRDefault="0072615D">
      <w:pPr>
        <w:pStyle w:val="BodyText"/>
        <w:numPr>
          <w:ilvl w:val="0"/>
          <w:numId w:val="35"/>
        </w:numPr>
        <w:tabs>
          <w:tab w:val="left" w:pos="336"/>
        </w:tabs>
        <w:spacing w:line="276" w:lineRule="auto"/>
        <w:ind w:left="360" w:hanging="360"/>
      </w:pPr>
      <w:bookmarkStart w:id="334" w:name="bookmark334"/>
      <w:bookmarkEnd w:id="334"/>
      <w:r>
        <w:rPr>
          <w:rFonts w:ascii="Times New Roman" w:eastAsia="Times New Roman" w:hAnsi="Times New Roman" w:cs="Times New Roman"/>
          <w:b/>
          <w:bCs/>
          <w:i/>
          <w:iCs/>
          <w:sz w:val="16"/>
          <w:szCs w:val="16"/>
        </w:rPr>
        <w:t>Influenza.</w:t>
      </w:r>
      <w:r>
        <w:t xml:space="preserve"> Algunos grupos de sujetos como los que tienen enfermedades cardiovasculares o pulmonares crónicas están expuestos a un gran peligro de infección grave o complicada por influenza. El personal asistencial puede transmitir dicho virus a sus pacientes y así surgir brotes nosocomiales; por lo tanto, en cada otoño en el hemisferio septentrional se recomendará la práctica de programas de vacunaciones contra influenza en el personal hospitalario y otros profesionales asistenciales.</w:t>
      </w:r>
    </w:p>
    <w:p w14:paraId="7B71B670" w14:textId="77777777" w:rsidR="0072615D" w:rsidRDefault="0072615D">
      <w:pPr>
        <w:pStyle w:val="BodyText"/>
        <w:numPr>
          <w:ilvl w:val="0"/>
          <w:numId w:val="35"/>
        </w:numPr>
        <w:tabs>
          <w:tab w:val="left" w:pos="336"/>
        </w:tabs>
        <w:spacing w:line="276" w:lineRule="auto"/>
        <w:ind w:left="360" w:hanging="360"/>
      </w:pPr>
      <w:bookmarkStart w:id="335" w:name="bookmark335"/>
      <w:bookmarkEnd w:id="335"/>
      <w:r>
        <w:rPr>
          <w:rFonts w:ascii="Times New Roman" w:eastAsia="Times New Roman" w:hAnsi="Times New Roman" w:cs="Times New Roman"/>
          <w:b/>
          <w:bCs/>
          <w:i/>
          <w:iCs/>
          <w:sz w:val="16"/>
          <w:szCs w:val="16"/>
        </w:rPr>
        <w:t>Varicela.</w:t>
      </w:r>
      <w:r>
        <w:t xml:space="preserve"> Se recomienda obtener pruebas de la inmunidad a tal enfermedad en todo el personal asistencial susceptible. En instituciones de cuidados médicos, probablemente se justifique el costo de la detección serológica de personal que tiene un antecedente incierto de varicela, o no lo tiene, antes de la vacunación. La vacunación contra varicela es recomendable en todas las personas susceptibles.</w:t>
      </w:r>
    </w:p>
    <w:p w14:paraId="5470DE92" w14:textId="77777777" w:rsidR="0072615D" w:rsidRDefault="0072615D">
      <w:pPr>
        <w:pStyle w:val="BodyText"/>
        <w:numPr>
          <w:ilvl w:val="0"/>
          <w:numId w:val="35"/>
        </w:numPr>
        <w:tabs>
          <w:tab w:val="left" w:pos="336"/>
        </w:tabs>
        <w:ind w:left="360" w:hanging="360"/>
      </w:pPr>
      <w:bookmarkStart w:id="336" w:name="bookmark336"/>
      <w:bookmarkEnd w:id="336"/>
      <w:r>
        <w:t>En ocasiones, el personal asistencial susceptible vacunado adecuadamente contra sarampión, parotiditis, rubéola, varicela o hepatitis B no presenta pruebas serológicas de inmunidad contra uno o más de los antígenos mencionados. En tales casos cabe aplicar una a tres dosis complementarias de vacuna contra HBV, seguidas de nuevos estudios serológicos (véase “Hepatitis B”, sección 3). Las personas que no desarrollan inmunidad después de esa fecha posiblemente no se beneficien de vacunaciones ulteriores.</w:t>
      </w:r>
    </w:p>
    <w:p w14:paraId="091778DC" w14:textId="77777777" w:rsidR="0072615D" w:rsidRDefault="0072615D">
      <w:pPr>
        <w:pStyle w:val="BodyText"/>
        <w:numPr>
          <w:ilvl w:val="0"/>
          <w:numId w:val="35"/>
        </w:numPr>
        <w:tabs>
          <w:tab w:val="left" w:pos="336"/>
        </w:tabs>
        <w:spacing w:after="100" w:line="276" w:lineRule="auto"/>
        <w:ind w:left="360" w:hanging="360"/>
      </w:pPr>
      <w:bookmarkStart w:id="337" w:name="bookmark337"/>
      <w:bookmarkEnd w:id="337"/>
      <w:r>
        <w:rPr>
          <w:rFonts w:ascii="Times New Roman" w:eastAsia="Times New Roman" w:hAnsi="Times New Roman" w:cs="Times New Roman"/>
          <w:b/>
          <w:bCs/>
          <w:i/>
          <w:iCs/>
          <w:sz w:val="16"/>
          <w:szCs w:val="16"/>
        </w:rPr>
        <w:t>Tuberculosis.</w:t>
      </w:r>
      <w:r>
        <w:rPr>
          <w:rFonts w:ascii="Times New Roman" w:eastAsia="Times New Roman" w:hAnsi="Times New Roman" w:cs="Times New Roman"/>
          <w:b/>
          <w:bCs/>
          <w:i/>
          <w:iCs/>
          <w:sz w:val="16"/>
          <w:szCs w:val="16"/>
        </w:rPr>
        <w:footnoteReference w:id="30"/>
      </w:r>
      <w:r>
        <w:t xml:space="preserve"> Se recomienda la detección y el tratamiento tempranos de pacientes (o visitantes) con tuberculosis contagiosa para evitar la infección tuberculosa en personal asistencial. El peligro de transmisión de la enfermedad varía mucho; la posibilidad de que una institución específica sea el sitio de contagio de </w:t>
      </w:r>
      <w:r>
        <w:rPr>
          <w:rFonts w:ascii="Times New Roman" w:eastAsia="Times New Roman" w:hAnsi="Times New Roman" w:cs="Times New Roman"/>
          <w:i/>
          <w:iCs/>
          <w:sz w:val="16"/>
          <w:szCs w:val="16"/>
        </w:rPr>
        <w:t>Mycobacteria tuberculosis</w:t>
      </w:r>
      <w:r>
        <w:t xml:space="preserve"> se podrá conocer sólo por los datos epidemiológicos locales. Las normas para realizar cutirreacciones con tuberculina en el personal asistencial deben reflejar los índices de incidencia locales. La vacunación con BCG no es recomendable para el personal en casi cualquier circunstancia. Conforme a las recomendaciones actuales de los CDC, habrá que pensar en la posibilidad de aplicar la vacuna BCG a una persona individual en situaciones en que hay una prevalencia alta de infección por </w:t>
      </w:r>
      <w:r>
        <w:rPr>
          <w:rFonts w:ascii="Times New Roman" w:eastAsia="Times New Roman" w:hAnsi="Times New Roman" w:cs="Times New Roman"/>
          <w:i/>
          <w:iCs/>
          <w:sz w:val="16"/>
          <w:szCs w:val="16"/>
        </w:rPr>
        <w:t>M. tuberculosis</w:t>
      </w:r>
      <w:r>
        <w:t xml:space="preserve"> resistente a múltiples fármacos, en situaciones en las que es probable el contagio de los microorganismos resistentes y en instalaciones donde se han seguido precauciones rigurosas para controlar la infección y prevenir la transmisión de </w:t>
      </w:r>
      <w:r>
        <w:rPr>
          <w:rFonts w:ascii="Times New Roman" w:eastAsia="Times New Roman" w:hAnsi="Times New Roman" w:cs="Times New Roman"/>
          <w:i/>
          <w:iCs/>
          <w:sz w:val="16"/>
          <w:szCs w:val="16"/>
        </w:rPr>
        <w:t>M. tuberculosis</w:t>
      </w:r>
      <w:r>
        <w:t>, pero no han dado resultado.</w:t>
      </w:r>
      <w:r>
        <w:rPr>
          <w:vertAlign w:val="superscript"/>
        </w:rPr>
        <w:t>+</w:t>
      </w:r>
    </w:p>
    <w:p w14:paraId="64844006" w14:textId="77777777" w:rsidR="0072615D" w:rsidRDefault="0072615D">
      <w:pPr>
        <w:pStyle w:val="Bodytext70"/>
      </w:pPr>
      <w:r>
        <w:t>Refugiados y migrantes</w:t>
      </w:r>
    </w:p>
    <w:p w14:paraId="4099178C" w14:textId="77777777" w:rsidR="0072615D" w:rsidRDefault="0072615D">
      <w:pPr>
        <w:pStyle w:val="BodyText"/>
        <w:ind w:firstLine="0"/>
        <w:sectPr w:rsidR="0072615D" w:rsidSect="0072615D">
          <w:headerReference w:type="even" r:id="rId247"/>
          <w:headerReference w:type="default" r:id="rId248"/>
          <w:footerReference w:type="even" r:id="rId249"/>
          <w:footerReference w:type="default" r:id="rId250"/>
          <w:headerReference w:type="first" r:id="rId251"/>
          <w:footerReference w:type="first" r:id="rId252"/>
          <w:footnotePr>
            <w:numFmt w:val="chicago"/>
          </w:footnotePr>
          <w:pgSz w:w="8501" w:h="13022"/>
          <w:pgMar w:top="691" w:right="741" w:bottom="475" w:left="837" w:header="0" w:footer="3" w:gutter="0"/>
          <w:cols w:space="720"/>
          <w:noEndnote/>
          <w:titlePg/>
          <w:docGrid w:linePitch="360"/>
          <w15:footnoteColumns w:val="1"/>
        </w:sectPr>
      </w:pPr>
      <w:r>
        <w:t xml:space="preserve">La prevención de enfermedades infecciosas en niños refugiados y migrantes plantea problemas especiales por las enfermedades a las cuales estuvieron expuestos y las prácticas de vacunación que son peculiares de sus países de origen. En 1996 en Estados </w:t>
      </w:r>
    </w:p>
    <w:p w14:paraId="4C2928E1" w14:textId="77777777" w:rsidR="0072615D" w:rsidRDefault="0072615D">
      <w:pPr>
        <w:pStyle w:val="BodyText"/>
        <w:ind w:firstLine="0"/>
      </w:pPr>
      <w:r>
        <w:t>que rechacen las vacunaciones recomendadas deben firmar un documento que acredite su negativa.</w:t>
      </w:r>
    </w:p>
    <w:p w14:paraId="62122377" w14:textId="77777777" w:rsidR="0072615D" w:rsidRDefault="0072615D">
      <w:pPr>
        <w:pStyle w:val="BodyText"/>
        <w:numPr>
          <w:ilvl w:val="0"/>
          <w:numId w:val="35"/>
        </w:numPr>
        <w:tabs>
          <w:tab w:val="left" w:pos="336"/>
        </w:tabs>
        <w:spacing w:line="276" w:lineRule="auto"/>
        <w:ind w:left="360" w:hanging="360"/>
      </w:pPr>
      <w:bookmarkStart w:id="338" w:name="bookmark338"/>
      <w:bookmarkEnd w:id="338"/>
      <w:r>
        <w:rPr>
          <w:rFonts w:ascii="Times New Roman" w:eastAsia="Times New Roman" w:hAnsi="Times New Roman" w:cs="Times New Roman"/>
          <w:b/>
          <w:bCs/>
          <w:i/>
          <w:iCs/>
          <w:sz w:val="16"/>
          <w:szCs w:val="16"/>
        </w:rPr>
        <w:t>Influenza.</w:t>
      </w:r>
      <w:r>
        <w:t xml:space="preserve"> Algunos grupos de sujetos como los que tienen enfermedades cardiovasculares o pulmonares crónicas están expuestos a un gran peligro de infección grave o complicada por influenza. El personal asistencial puede transmitir dicho virus a sus pacientes y así surgir brotes nosocomiales; por lo tanto, en cada otoño en el hemisferio septentrional se recomendará la práctica de programas de vacunaciones contra influenza en el personal hospitalario y otros profesionales asistenciales.</w:t>
      </w:r>
    </w:p>
    <w:p w14:paraId="6CE7835D" w14:textId="77777777" w:rsidR="0072615D" w:rsidRDefault="0072615D">
      <w:pPr>
        <w:pStyle w:val="BodyText"/>
        <w:numPr>
          <w:ilvl w:val="0"/>
          <w:numId w:val="35"/>
        </w:numPr>
        <w:tabs>
          <w:tab w:val="left" w:pos="336"/>
        </w:tabs>
        <w:spacing w:line="276" w:lineRule="auto"/>
        <w:ind w:left="360" w:hanging="360"/>
      </w:pPr>
      <w:bookmarkStart w:id="339" w:name="bookmark339"/>
      <w:bookmarkEnd w:id="339"/>
      <w:r>
        <w:rPr>
          <w:rFonts w:ascii="Times New Roman" w:eastAsia="Times New Roman" w:hAnsi="Times New Roman" w:cs="Times New Roman"/>
          <w:b/>
          <w:bCs/>
          <w:i/>
          <w:iCs/>
          <w:sz w:val="16"/>
          <w:szCs w:val="16"/>
        </w:rPr>
        <w:t>Varicela.</w:t>
      </w:r>
      <w:r>
        <w:t xml:space="preserve"> Se recomienda obtener pruebas de la inmunidad a tal enfermedad en todo el personal asistencial susceptible. En instituciones de cuidados médicos, probablemente se justifique el costo de la detección serológica de personal que tiene un antecedente incierto de varicela, o no lo tiene, antes de la vacunación. La vacunación contra varicela es recomendable en todas las personas susceptibles.</w:t>
      </w:r>
    </w:p>
    <w:p w14:paraId="08A77FA6" w14:textId="77777777" w:rsidR="0072615D" w:rsidRDefault="0072615D">
      <w:pPr>
        <w:pStyle w:val="BodyText"/>
        <w:numPr>
          <w:ilvl w:val="0"/>
          <w:numId w:val="35"/>
        </w:numPr>
        <w:tabs>
          <w:tab w:val="left" w:pos="336"/>
        </w:tabs>
        <w:ind w:left="360" w:hanging="360"/>
      </w:pPr>
      <w:bookmarkStart w:id="340" w:name="bookmark340"/>
      <w:bookmarkEnd w:id="340"/>
      <w:r>
        <w:t>En ocasiones, el personal asistencial susceptible vacunado adecuadamente contra sarampión, parotiditis, rubéola, varicela o hepatitis B no presenta pruebas serológicas de inmunidad contra uno o más de los antígenos mencionados. En tales casos cabe aplicar una a tres dosis complementarias de vacuna contra HBV, seguidas de nuevos estudios serológicos (véase “Hepatitis B”, sección 3). Las personas que no desarrollan inmunidad después de esa fecha posiblemente no se beneficien de vacunaciones ulteriores.</w:t>
      </w:r>
    </w:p>
    <w:p w14:paraId="1CD8B655" w14:textId="77777777" w:rsidR="0072615D" w:rsidRDefault="0072615D">
      <w:pPr>
        <w:pStyle w:val="BodyText"/>
        <w:numPr>
          <w:ilvl w:val="0"/>
          <w:numId w:val="35"/>
        </w:numPr>
        <w:tabs>
          <w:tab w:val="left" w:pos="336"/>
        </w:tabs>
        <w:spacing w:after="100" w:line="276" w:lineRule="auto"/>
        <w:ind w:left="360" w:hanging="360"/>
      </w:pPr>
      <w:bookmarkStart w:id="341" w:name="bookmark341"/>
      <w:bookmarkEnd w:id="341"/>
      <w:r>
        <w:rPr>
          <w:rFonts w:ascii="Times New Roman" w:eastAsia="Times New Roman" w:hAnsi="Times New Roman" w:cs="Times New Roman"/>
          <w:b/>
          <w:bCs/>
          <w:i/>
          <w:iCs/>
          <w:sz w:val="16"/>
          <w:szCs w:val="16"/>
        </w:rPr>
        <w:t>Tuberculosis.</w:t>
      </w:r>
      <w:r>
        <w:rPr>
          <w:rFonts w:ascii="Times New Roman" w:eastAsia="Times New Roman" w:hAnsi="Times New Roman" w:cs="Times New Roman"/>
          <w:b/>
          <w:bCs/>
          <w:i/>
          <w:iCs/>
          <w:sz w:val="16"/>
          <w:szCs w:val="16"/>
        </w:rPr>
        <w:footnoteReference w:id="31"/>
      </w:r>
      <w:r>
        <w:t xml:space="preserve"> Se recomienda la detección y el tratamiento tempranos de pacientes (o visitantes) con tuberculosis contagiosa para evitar la infección tuberculosa en personal asistencial. El peligro de transmisión de la enfermedad varía mucho; la posibilidad de que una institución específica sea el sitio de contagio de </w:t>
      </w:r>
      <w:r>
        <w:rPr>
          <w:rFonts w:ascii="Times New Roman" w:eastAsia="Times New Roman" w:hAnsi="Times New Roman" w:cs="Times New Roman"/>
          <w:i/>
          <w:iCs/>
          <w:sz w:val="16"/>
          <w:szCs w:val="16"/>
        </w:rPr>
        <w:t>Mycobacteria tuberculosis</w:t>
      </w:r>
      <w:r>
        <w:t xml:space="preserve"> se podrá conocer sólo por los datos epidemiológicos locales. Las normas para realizar cutirreacciones con tuberculina en el personal asistencial deben reflejar los índices de incidencia locales. La vacunación con BCG no es recomendable para el personal en casi cualquier circunstancia. Conforme a las recomendaciones actuales de los CDC, habrá que pensar en la posibilidad de aplicar la vacuna BCG a una persona individual en situaciones en que hay una prevalencia alta de infección por </w:t>
      </w:r>
      <w:r>
        <w:rPr>
          <w:rFonts w:ascii="Times New Roman" w:eastAsia="Times New Roman" w:hAnsi="Times New Roman" w:cs="Times New Roman"/>
          <w:i/>
          <w:iCs/>
          <w:sz w:val="16"/>
          <w:szCs w:val="16"/>
        </w:rPr>
        <w:t>M. tuberculosis</w:t>
      </w:r>
      <w:r>
        <w:t xml:space="preserve"> resistente a múltiples fármacos, en situaciones en las que es probable el contagio de los microorganismos resistentes y en instalaciones donde se han seguido precauciones rigurosas para controlar la infección y prevenir la transmisión de </w:t>
      </w:r>
      <w:r>
        <w:rPr>
          <w:rFonts w:ascii="Times New Roman" w:eastAsia="Times New Roman" w:hAnsi="Times New Roman" w:cs="Times New Roman"/>
          <w:i/>
          <w:iCs/>
          <w:sz w:val="16"/>
          <w:szCs w:val="16"/>
        </w:rPr>
        <w:t>M. tuberculosis</w:t>
      </w:r>
      <w:r>
        <w:t>, pero no han dado resultado.</w:t>
      </w:r>
      <w:r>
        <w:rPr>
          <w:vertAlign w:val="superscript"/>
        </w:rPr>
        <w:t>+</w:t>
      </w:r>
    </w:p>
    <w:p w14:paraId="40D7A91B" w14:textId="77777777" w:rsidR="0072615D" w:rsidRDefault="0072615D">
      <w:pPr>
        <w:pStyle w:val="Bodytext70"/>
      </w:pPr>
      <w:r>
        <w:t>Refugiados y migrantes</w:t>
      </w:r>
    </w:p>
    <w:p w14:paraId="2C7F3C90" w14:textId="77777777" w:rsidR="0072615D" w:rsidRDefault="0072615D">
      <w:pPr>
        <w:pStyle w:val="BodyText"/>
        <w:ind w:firstLine="0"/>
      </w:pPr>
      <w:r>
        <w:t xml:space="preserve">La prevención de enfermedades infecciosas en niños refugiados y migrantes plantea problemas especiales por las enfermedades a las cuales estuvieron expuestos y las prácticas de vacunación que son peculiares de sus países de origen. En 1996 en Estados Unidos se agregó una nueva subsección a la Ley de Migración y Nacionalización </w:t>
      </w:r>
      <w:r>
        <w:rPr>
          <w:i/>
          <w:iCs/>
        </w:rPr>
        <w:t>(</w:t>
      </w:r>
      <w:r>
        <w:rPr>
          <w:rFonts w:ascii="Times New Roman" w:eastAsia="Times New Roman" w:hAnsi="Times New Roman" w:cs="Times New Roman"/>
          <w:i/>
          <w:iCs/>
          <w:sz w:val="16"/>
          <w:szCs w:val="16"/>
        </w:rPr>
        <w:t>Immigration and Nationality Act</w:t>
      </w:r>
      <w:r>
        <w:rPr>
          <w:i/>
          <w:iCs/>
        </w:rPr>
        <w:t>,</w:t>
      </w:r>
      <w:r>
        <w:t xml:space="preserve"> INA) en la cual se exige por primera vez que las personas que solicitan una visa de migrantes para residencia permanente deben demostrar que recibieron las vacunas recomendadas, como lo establece ACIP. Las normas en cuestión son válidas para casi todos los niños migrantes que llegan a Estados Unidos, pero se ha hecho una exención de las exigencias de vacunación internacional a los niños adoptados de otras naciones que tienen menos de 10 años de vida. Se solicita a los padres adoptivos firmar una dispensa que indica su intención de cumplir con sus exigencias de vacunación de ACIP después de la llegada del menor a Estados Unidos. No se obliga a los refugiados a cumplir con las exigencias de vacunación de la Ley de Migración de Nacionalización en la fecha de su ingreso inicial a Estados Unidos, pero deben mostrar pruebas de su vacunación para la fecha en que solicitan la residencia permanente, por lo general a los tres años de su arribo.</w:t>
      </w:r>
    </w:p>
    <w:p w14:paraId="28432C4B" w14:textId="77777777" w:rsidR="0072615D" w:rsidRDefault="0072615D">
      <w:pPr>
        <w:pStyle w:val="BodyText"/>
        <w:ind w:firstLine="360"/>
      </w:pPr>
      <w:r>
        <w:t>Los niños refugiados que han estado en campos de concentración durante unos meses a menudo han recibido valoración y tratamiento médicos que quizá incluyeron algunas vacunaciones. Sin embargo, es posible que el número de vacunaciones sea menor del exigido o que no existan registros de tal práctica. En el caso de niños refugiados con vacunaciones no actualizadas, como se corrobora por un registro escrito en este sentido (véase antes en esta sección “Vacunaciones hechas fuera de Estados Unidos”), habrá que aplicar las vacunas recomendadas que convengan para su edad (fig. 1-1 y cuadro 1-6). En el caso de niños sin documentos que prueben las vacunaciones, habrá que emprender un nuevo calendario de vacunación. Como otra posibilidad, cabe pensar la medición de las concentraciones de anticuerpos contra los gérmenes de la difteria, el tétanos, el sarampión, la parotiditis, la rubéola, la varicela, cada serotipo del virus de poliomielitis y también el antígeno de superficie de hepatitis B para saber si el niño necesita más vacunaciones o si convendría el calendario de vacunas que es adecuado para la edad del pequeño (véase cuadro 2-18, “Estrategias para la valoración y la inmunización de niños adoptados de otras naciones”). Muchos niños quizá recibieron ya vacunas como DTP, antipoliomielítica, contra el sarampión y la hepatitis B, pero muchos no han recibido las vacunas contra Hib, neumococos, hepatitis A, vacuna triple y contra la varicela. Se pueden medir los anticuerpos contra el sarampión para saber si el niño es inmune a la enfermedad, pero muchos pequeños quizá necesiten una dosis de vacuna contra parotiditis y rubéola, porque es posible que no se hayan aplicado las vacunas correspondientes en países en desarrollo. En muchos países no se aplica la vacuna contra la varicela y tal vez no se pueda obtener de tales poblaciones (o es un dato no fiable) el antecedente de haber padecido la infección; por esta razón, habrá que aplicar vacuna contra varicela en dichos menores o hacer pruebas para valorar sus anticuerpos.</w:t>
      </w:r>
    </w:p>
    <w:p w14:paraId="3406F3C4" w14:textId="77777777" w:rsidR="0072615D" w:rsidRDefault="0072615D">
      <w:pPr>
        <w:pStyle w:val="BodyText"/>
        <w:ind w:firstLine="360"/>
      </w:pPr>
      <w:r>
        <w:t>La tuberculosis es un importante problema de salud pública en refugiados y migrantes. Ambas poblaciones han aportado una proporción sustancial y cada vez mayor de nuevos casos de la enfermedad en Estados Unidos, en los últimos 10 años. En lo que toca a las recomendaciones del diagnóstico y tratamiento, véanse “Tuberculosis” en la sección 3 y más adelante en esta sección “Viajes internacionales”.</w:t>
      </w:r>
    </w:p>
    <w:p w14:paraId="09C27ABA" w14:textId="77777777" w:rsidR="0072615D" w:rsidRDefault="0072615D">
      <w:pPr>
        <w:pStyle w:val="BodyText"/>
        <w:spacing w:after="100"/>
        <w:ind w:firstLine="360"/>
      </w:pPr>
      <w:r>
        <w:t>Todos los refugiados inmigrantes que provienen de zonas donde es endémica la hepatitis B, en particular Asia y Africa, deben ser sometidos a pruebas sistemáticas de detección de tal virus con métodos serológicos para identificar el antígeno de superficie de dicho virus, el anticuerpo contra el antígeno mencionado y el anticuerpo central contra hepatitis B. Si el niño tiene el antígeno de superficie, es infectante y se le puede definir como un portador crónico si el antígeno en cuestión persiste por más de seis meses. Casi todos los niños portadores del antígeno de superficie son asintomáticos, y por tal motivo es importante la detección sistemática de modo que pueda frenarse la transmisión de la enfermedad. Los riesgos de transmisión deben ser mínimos en los niños por los programas de vacunación universal contra HBV en lactantes de Estados Unidos. Sin embargo, los cuidadores adultos tal vez no estén vacunados y por ello se les aplicará la vacuna contra HBV si son susceptibles, y el concentrado HBIG, si han tenido una exposición considerable a la sangre de un portador (véase “Hepatitis B”, sección 3). La detección serológica sistemática y el antígeno de superficie de HB en todas las refugiadas inmigrantes embarazadas es indispensable para identificar a aquellas cuyos productos necesitarán inmunoprofilaxia pasiva y también activa.</w:t>
      </w:r>
    </w:p>
    <w:p w14:paraId="04EAE0DB" w14:textId="77777777" w:rsidR="0072615D" w:rsidRDefault="0072615D">
      <w:pPr>
        <w:pStyle w:val="Bodytext70"/>
        <w:spacing w:after="220"/>
      </w:pPr>
      <w:r>
        <w:t>Viajes internacionales</w:t>
      </w:r>
    </w:p>
    <w:p w14:paraId="41C0D646" w14:textId="77777777" w:rsidR="0072615D" w:rsidRDefault="0072615D">
      <w:pPr>
        <w:pStyle w:val="BodyText"/>
        <w:ind w:firstLine="0"/>
      </w:pPr>
      <w:r>
        <w:t>Los niños y los adolescentes deben tener perfectamente actualizadas todas sus vacunaciones recomendadas en forma sistemática antes de viajar a otros países. Además, cada viaje obliga a pensar en la necesidad de otras vacunas para evitar hepatitis A, fiebre amarilla, enfermedad por meningococos, fiebre tifoidea, rabia y encefalitis japonesa. A veces se exige o recomienda la vacunación según el destino y el tipo de viaje internacional (cuadro 1-14). Las personas que viajan a zonas tropicales y subtropicales a menudo se exponen al peligro de contraer paludismo, dengue, leptospirosis, diarrea y otras enfermedades contra las cuales no hay vacunas. En el caso de viajeros en peligro, otras medidas preventivas importantes son la quimioprofilaxia antipalúdica, precauciones contra insectos y cuidado de la higiene con alimentos y bebidas (véase “Paludismo”, sección 3).</w:t>
      </w:r>
    </w:p>
    <w:p w14:paraId="1DE9156C" w14:textId="77777777" w:rsidR="0072615D" w:rsidRDefault="0072615D">
      <w:pPr>
        <w:pStyle w:val="BodyText"/>
        <w:spacing w:after="220" w:line="276" w:lineRule="auto"/>
        <w:ind w:firstLine="360"/>
      </w:pPr>
      <w:r>
        <w:t xml:space="preserve">Una fuente excelente de información en Estados Unidos es </w:t>
      </w:r>
      <w:r>
        <w:rPr>
          <w:rFonts w:ascii="Times New Roman" w:eastAsia="Times New Roman" w:hAnsi="Times New Roman" w:cs="Times New Roman"/>
          <w:i/>
          <w:iCs/>
          <w:sz w:val="16"/>
          <w:szCs w:val="16"/>
        </w:rPr>
        <w:t>Health Information for International Travel</w:t>
      </w:r>
      <w:r>
        <w:t xml:space="preserve"> (el “Libro Amarillo”) que los CDC publican cada dos años como obra de consulta para personas que orientan a los viajeros internacionales respecto de peligros para la salud. Cada 15 días los CDC también publican un </w:t>
      </w:r>
      <w:r>
        <w:rPr>
          <w:rFonts w:ascii="Times New Roman" w:eastAsia="Times New Roman" w:hAnsi="Times New Roman" w:cs="Times New Roman"/>
          <w:i/>
          <w:iCs/>
          <w:sz w:val="16"/>
          <w:szCs w:val="16"/>
        </w:rPr>
        <w:t>Summary of Health Information</w:t>
      </w:r>
      <w:r>
        <w:t xml:space="preserve"> (“La hoja azul”) que señala zonas afectadas por fiebre amarilla y cólera y también indica cualquier cambio en las recomendaciones publicadas por los CDC o la OMS para internarse en algunos países. La información y las recomendaciones mencionadas se obtienen del fax de los CDC (888-232-3299) o teléfonos (877-394</w:t>
      </w:r>
      <w:r>
        <w:softHyphen/>
        <w:t>8747 o 877-FYI-TRIP) o por línea directa (</w:t>
      </w:r>
      <w:hyperlink r:id="rId253" w:history="1">
        <w:r>
          <w:t>www.cdc.gov/travel</w:t>
        </w:r>
      </w:hyperlink>
      <w:r>
        <w:t>). El libro amarillo y la hoja azul también pueden obtenerse en la página web de los CDC. Los departamentos sanitarios locales y estatales, así como las clínicas de viajes también aportan información actualizada.</w:t>
      </w:r>
    </w:p>
    <w:p w14:paraId="11E7897C" w14:textId="77777777" w:rsidR="0072615D" w:rsidRDefault="0072615D">
      <w:pPr>
        <w:pStyle w:val="BodyText"/>
        <w:spacing w:after="220"/>
        <w:ind w:firstLine="0"/>
      </w:pPr>
      <w:r>
        <w:t>VACUNACIONES RECOMENDADAS</w:t>
      </w:r>
    </w:p>
    <w:p w14:paraId="7A9204D4" w14:textId="77777777" w:rsidR="0072615D" w:rsidRDefault="0072615D">
      <w:pPr>
        <w:pStyle w:val="BodyText"/>
        <w:spacing w:after="220"/>
        <w:ind w:firstLine="0"/>
        <w:sectPr w:rsidR="0072615D" w:rsidSect="0072615D">
          <w:headerReference w:type="even" r:id="rId254"/>
          <w:headerReference w:type="default" r:id="rId255"/>
          <w:footerReference w:type="even" r:id="rId256"/>
          <w:footerReference w:type="default" r:id="rId257"/>
          <w:footnotePr>
            <w:numFmt w:val="chicago"/>
          </w:footnotePr>
          <w:pgSz w:w="8501" w:h="13022"/>
          <w:pgMar w:top="691" w:right="741" w:bottom="475" w:left="837" w:header="0" w:footer="3" w:gutter="0"/>
          <w:pgNumType w:start="99"/>
          <w:cols w:space="720"/>
          <w:noEndnote/>
          <w:docGrid w:linePitch="360"/>
          <w15:footnoteColumns w:val="1"/>
        </w:sectPr>
      </w:pPr>
      <w:r>
        <w:t>Lactantes y niños que emprenderán viajes internacionales deben contar con vacunaciones actualizadas y adecuadas para su edad; incluyen la aplicación de las vacunas DTaP, IPV, Hib, MMR (triple), varicela, contra neumococos y HBV (véase fig. 1-1). En el caso de viajar a muchos países y algunas zonas de Estados Unidos con cifras endémicas altas de infección por hepatitis A, quizá también se recomiende la vacunación contra HAV (véase “Hepatitis A”, sección 3). Para asegurar la obtención de inmunidad antes del viaje, a veces se necesita aplicar las vacunas siguiendo un calendario “acelerado” (cuadro 1-14).</w:t>
      </w:r>
    </w:p>
    <w:p w14:paraId="4ED02E5A" w14:textId="77777777" w:rsidR="0072615D" w:rsidRDefault="0072615D">
      <w:pPr>
        <w:pStyle w:val="BodyText"/>
        <w:spacing w:after="100"/>
        <w:ind w:firstLine="0"/>
      </w:pPr>
      <w:r>
        <w:t>definir como un portador crónico si el antígeno en cuestión persiste por más de seis meses. Casi todos los niños portadores del antígeno de superficie son asintomáticos, y por tal motivo es importante la detección sistemática de modo que pueda frenarse la transmisión de la enfermedad. Los riesgos de transmisión deben ser mínimos en los niños por los programas de vacunación universal contra HBV en lactantes de Estados Unidos. Sin embargo, los cuidadores adultos tal vez no estén vacunados y por ello se les aplicará la vacuna contra HBV si son susceptibles, y el concentrado HBIG, si han tenido una exposición considerable a la sangre de un portador (véase “Hepatitis B”, sección 3). La detección serológica sistemática y el antígeno de superficie de HB en todas las refugiadas inmigrantes embarazadas es indispensable para identificar a aquellas cuyos productos necesitarán inmunoprofilaxia pasiva y también activa.</w:t>
      </w:r>
    </w:p>
    <w:p w14:paraId="238F1DEB" w14:textId="77777777" w:rsidR="0072615D" w:rsidRDefault="0072615D">
      <w:pPr>
        <w:pStyle w:val="Bodytext70"/>
        <w:spacing w:after="220"/>
      </w:pPr>
      <w:r>
        <w:t>Viajes internacionales</w:t>
      </w:r>
    </w:p>
    <w:p w14:paraId="447B9770" w14:textId="77777777" w:rsidR="0072615D" w:rsidRDefault="0072615D">
      <w:pPr>
        <w:pStyle w:val="BodyText"/>
        <w:ind w:firstLine="0"/>
      </w:pPr>
      <w:r>
        <w:t>Los niños y los adolescentes deben tener perfectamente actualizadas todas sus vacunaciones recomendadas en forma sistemática antes de viajar a otros países. Además, cada viaje obliga a pensar en la necesidad de otras vacunas para evitar hepatitis A, fiebre amarilla, enfermedad por meningococos, fiebre tifoidea, rabia y encefalitis japonesa. A veces se exige o recomienda la vacunación según el destino y el tipo de viaje internacional (cuadro 1-14). Las personas que viajan a zonas tropicales y subtropicales a menudo se exponen al peligro de contraer paludismo, dengue, leptospirosis, diarrea y otras enfermedades contra las cuales no hay vacunas. En el caso de viajeros en peligro, otras medidas preventivas importantes son la quimioprofilaxia antipalúdica, precauciones contra insectos y cuidado de la higiene con alimentos y bebidas (véase “Paludismo”, sección 3).</w:t>
      </w:r>
    </w:p>
    <w:p w14:paraId="546D8013" w14:textId="77777777" w:rsidR="0072615D" w:rsidRDefault="0072615D">
      <w:pPr>
        <w:pStyle w:val="BodyText"/>
        <w:spacing w:after="220" w:line="276" w:lineRule="auto"/>
        <w:ind w:firstLine="360"/>
      </w:pPr>
      <w:r>
        <w:t xml:space="preserve">Una fuente excelente de información en Estados Unidos es </w:t>
      </w:r>
      <w:r>
        <w:rPr>
          <w:rFonts w:ascii="Times New Roman" w:eastAsia="Times New Roman" w:hAnsi="Times New Roman" w:cs="Times New Roman"/>
          <w:i/>
          <w:iCs/>
          <w:sz w:val="16"/>
          <w:szCs w:val="16"/>
        </w:rPr>
        <w:t>Health Information for International Travel</w:t>
      </w:r>
      <w:r>
        <w:t xml:space="preserve"> (el “Libro Amarillo”) que los CDC publican cada dos años como obra de consulta para personas que orientan a los viajeros internacionales respecto de peligros para la salud. Cada 15 días los CDC también publican un </w:t>
      </w:r>
      <w:r>
        <w:rPr>
          <w:rFonts w:ascii="Times New Roman" w:eastAsia="Times New Roman" w:hAnsi="Times New Roman" w:cs="Times New Roman"/>
          <w:i/>
          <w:iCs/>
          <w:sz w:val="16"/>
          <w:szCs w:val="16"/>
        </w:rPr>
        <w:t>Summary of Health Information</w:t>
      </w:r>
      <w:r>
        <w:t xml:space="preserve"> (“La hoja azul”) que señala zonas afectadas por fiebre amarilla y cólera y también indica cualquier cambio en las recomendaciones publicadas por los CDC o la OMS para internarse en algunos países. La información y las recomendaciones mencionadas se obtienen del fax de los CDC (888-232-3299) o teléfonos (877-394</w:t>
      </w:r>
      <w:r>
        <w:softHyphen/>
        <w:t>8747 o 877-FYI-TRIP) o por línea directa (</w:t>
      </w:r>
      <w:hyperlink r:id="rId258" w:history="1">
        <w:r>
          <w:t>www.cdc.gov/travel</w:t>
        </w:r>
      </w:hyperlink>
      <w:r>
        <w:t>). El libro amarillo y la hoja azul también pueden obtenerse en la página web de los CDC. Los departamentos sanitarios locales y estatales, así como las clínicas de viajes también aportan información actualizada.</w:t>
      </w:r>
    </w:p>
    <w:p w14:paraId="07D73152" w14:textId="77777777" w:rsidR="0072615D" w:rsidRDefault="0072615D">
      <w:pPr>
        <w:pStyle w:val="BodyText"/>
        <w:spacing w:after="220"/>
        <w:ind w:firstLine="0"/>
      </w:pPr>
      <w:r>
        <w:t>VACUNACIONES RECOMENDADAS</w:t>
      </w:r>
    </w:p>
    <w:p w14:paraId="658BD727" w14:textId="77777777" w:rsidR="0072615D" w:rsidRDefault="0072615D">
      <w:pPr>
        <w:pStyle w:val="BodyText"/>
        <w:spacing w:after="220"/>
        <w:ind w:firstLine="0"/>
      </w:pPr>
      <w:r>
        <w:t>Lactantes y niños que emprenderán viajes internacionales deben contar con vacunaciones actualizadas y adecuadas para su edad; incluyen la aplicación de las vacunas DTaP, IPV, Hib, MMR (triple), varicela, contra neumococos y HBV (véase fig. 1-1). En el caso de viajar a muchos países y algunas zonas de Estados Unidos con cifras endémicas altas de infección por hepatitis A, quizá también se recomiende la vacunación contra HAV (véase “Hepatitis A”, sección 3). Para asegurar la obtención de inmunidad antes del viaje, a veces se necesita aplicar las vacunas siguiendo un calendario “acelerado” (cuadro 1-14).</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3091"/>
        <w:gridCol w:w="792"/>
        <w:gridCol w:w="1728"/>
        <w:gridCol w:w="1310"/>
      </w:tblGrid>
      <w:tr w:rsidR="0072615D" w14:paraId="18F5B576" w14:textId="77777777">
        <w:tblPrEx>
          <w:tblCellMar>
            <w:top w:w="0" w:type="dxa"/>
            <w:bottom w:w="0" w:type="dxa"/>
          </w:tblCellMar>
        </w:tblPrEx>
        <w:trPr>
          <w:trHeight w:hRule="exact" w:val="878"/>
          <w:jc w:val="center"/>
        </w:trPr>
        <w:tc>
          <w:tcPr>
            <w:tcW w:w="6921" w:type="dxa"/>
            <w:gridSpan w:val="4"/>
            <w:tcBorders>
              <w:top w:val="single" w:sz="4" w:space="0" w:color="auto"/>
            </w:tcBorders>
            <w:shd w:val="clear" w:color="auto" w:fill="FFFFFF"/>
            <w:vAlign w:val="bottom"/>
          </w:tcPr>
          <w:p w14:paraId="40C9CE22" w14:textId="77777777" w:rsidR="0072615D" w:rsidRDefault="0072615D">
            <w:pPr>
              <w:pStyle w:val="Other0"/>
              <w:spacing w:line="221" w:lineRule="auto"/>
              <w:ind w:firstLine="0"/>
              <w:jc w:val="center"/>
              <w:rPr>
                <w:sz w:val="26"/>
                <w:szCs w:val="26"/>
              </w:rPr>
            </w:pPr>
            <w:r>
              <w:rPr>
                <w:rFonts w:ascii="Arial" w:eastAsia="Arial" w:hAnsi="Arial" w:cs="Arial"/>
                <w:w w:val="70"/>
                <w:sz w:val="26"/>
                <w:szCs w:val="26"/>
              </w:rPr>
              <w:t xml:space="preserve">Cuadro 1 - 14. </w:t>
            </w:r>
            <w:r>
              <w:rPr>
                <w:rFonts w:ascii="Arial" w:eastAsia="Arial" w:hAnsi="Arial" w:cs="Arial"/>
                <w:b/>
                <w:bCs/>
                <w:w w:val="70"/>
                <w:sz w:val="26"/>
                <w:szCs w:val="26"/>
              </w:rPr>
              <w:t>Vacunaciones recomendadas para personas que viajarán a países en desarrollo</w:t>
            </w:r>
            <w:r>
              <w:rPr>
                <w:rFonts w:ascii="Arial" w:eastAsia="Arial" w:hAnsi="Arial" w:cs="Arial"/>
                <w:b/>
                <w:bCs/>
                <w:w w:val="70"/>
                <w:sz w:val="26"/>
                <w:szCs w:val="26"/>
                <w:vertAlign w:val="superscript"/>
              </w:rPr>
              <w:t>1</w:t>
            </w:r>
          </w:p>
        </w:tc>
      </w:tr>
      <w:tr w:rsidR="0072615D" w14:paraId="465AEFD5" w14:textId="77777777">
        <w:tblPrEx>
          <w:tblCellMar>
            <w:top w:w="0" w:type="dxa"/>
            <w:bottom w:w="0" w:type="dxa"/>
          </w:tblCellMar>
        </w:tblPrEx>
        <w:trPr>
          <w:trHeight w:hRule="exact" w:val="283"/>
          <w:jc w:val="center"/>
        </w:trPr>
        <w:tc>
          <w:tcPr>
            <w:tcW w:w="3091" w:type="dxa"/>
            <w:shd w:val="clear" w:color="auto" w:fill="231F20"/>
          </w:tcPr>
          <w:p w14:paraId="253F31CE" w14:textId="77777777" w:rsidR="0072615D" w:rsidRDefault="0072615D">
            <w:pPr>
              <w:rPr>
                <w:sz w:val="10"/>
                <w:szCs w:val="10"/>
              </w:rPr>
            </w:pPr>
          </w:p>
        </w:tc>
        <w:tc>
          <w:tcPr>
            <w:tcW w:w="792" w:type="dxa"/>
            <w:shd w:val="clear" w:color="auto" w:fill="231F20"/>
          </w:tcPr>
          <w:p w14:paraId="04667FAF" w14:textId="77777777" w:rsidR="0072615D" w:rsidRDefault="0072615D">
            <w:pPr>
              <w:rPr>
                <w:sz w:val="10"/>
                <w:szCs w:val="10"/>
              </w:rPr>
            </w:pPr>
          </w:p>
        </w:tc>
        <w:tc>
          <w:tcPr>
            <w:tcW w:w="1728" w:type="dxa"/>
            <w:shd w:val="clear" w:color="auto" w:fill="231F20"/>
          </w:tcPr>
          <w:p w14:paraId="6B3D19DD"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Duración del viaje</w:t>
            </w:r>
          </w:p>
        </w:tc>
        <w:tc>
          <w:tcPr>
            <w:tcW w:w="1310" w:type="dxa"/>
            <w:shd w:val="clear" w:color="auto" w:fill="231F20"/>
          </w:tcPr>
          <w:p w14:paraId="22162374" w14:textId="77777777" w:rsidR="0072615D" w:rsidRDefault="0072615D">
            <w:pPr>
              <w:rPr>
                <w:sz w:val="10"/>
                <w:szCs w:val="10"/>
              </w:rPr>
            </w:pPr>
          </w:p>
        </w:tc>
      </w:tr>
      <w:tr w:rsidR="0072615D" w14:paraId="4AD2414E" w14:textId="77777777">
        <w:tblPrEx>
          <w:tblCellMar>
            <w:top w:w="0" w:type="dxa"/>
            <w:bottom w:w="0" w:type="dxa"/>
          </w:tblCellMar>
        </w:tblPrEx>
        <w:trPr>
          <w:trHeight w:hRule="exact" w:val="1114"/>
          <w:jc w:val="center"/>
        </w:trPr>
        <w:tc>
          <w:tcPr>
            <w:tcW w:w="3091" w:type="dxa"/>
            <w:shd w:val="clear" w:color="auto" w:fill="231F20"/>
          </w:tcPr>
          <w:p w14:paraId="29AF9E4A"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Vacunaciones</w:t>
            </w:r>
          </w:p>
        </w:tc>
        <w:tc>
          <w:tcPr>
            <w:tcW w:w="2520" w:type="dxa"/>
            <w:gridSpan w:val="2"/>
            <w:tcBorders>
              <w:top w:val="single" w:sz="4" w:space="0" w:color="auto"/>
            </w:tcBorders>
            <w:shd w:val="clear" w:color="auto" w:fill="231F20"/>
          </w:tcPr>
          <w:p w14:paraId="5158438A"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tabs>
                <w:tab w:val="left" w:pos="1186"/>
              </w:tabs>
              <w:spacing w:line="240" w:lineRule="auto"/>
              <w:ind w:firstLine="0"/>
              <w:rPr>
                <w:sz w:val="24"/>
                <w:szCs w:val="24"/>
              </w:rPr>
            </w:pPr>
            <w:r>
              <w:rPr>
                <w:rFonts w:ascii="Arial" w:eastAsia="Arial" w:hAnsi="Arial" w:cs="Arial"/>
                <w:b/>
                <w:bCs/>
                <w:color w:val="FFFFFF"/>
                <w:w w:val="70"/>
                <w:sz w:val="24"/>
                <w:szCs w:val="24"/>
              </w:rPr>
              <w:t>Breve,</w:t>
            </w:r>
            <w:r>
              <w:rPr>
                <w:rFonts w:ascii="Arial" w:eastAsia="Arial" w:hAnsi="Arial" w:cs="Arial"/>
                <w:b/>
                <w:bCs/>
                <w:color w:val="FFFFFF"/>
                <w:w w:val="70"/>
                <w:sz w:val="24"/>
                <w:szCs w:val="24"/>
              </w:rPr>
              <w:tab/>
              <w:t>Intermedio,</w:t>
            </w:r>
          </w:p>
          <w:p w14:paraId="4223E9FD"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left="1300" w:hanging="1300"/>
              <w:rPr>
                <w:sz w:val="24"/>
                <w:szCs w:val="24"/>
              </w:rPr>
            </w:pPr>
            <w:r>
              <w:rPr>
                <w:rFonts w:ascii="Arial" w:eastAsia="Arial" w:hAnsi="Arial" w:cs="Arial"/>
                <w:b/>
                <w:bCs/>
                <w:color w:val="FFFFFF"/>
                <w:w w:val="70"/>
                <w:sz w:val="24"/>
                <w:szCs w:val="24"/>
              </w:rPr>
              <w:t>&lt;2 semanas de 2 semanas a 3 meses</w:t>
            </w:r>
          </w:p>
        </w:tc>
        <w:tc>
          <w:tcPr>
            <w:tcW w:w="1310" w:type="dxa"/>
            <w:tcBorders>
              <w:top w:val="single" w:sz="4" w:space="0" w:color="auto"/>
            </w:tcBorders>
            <w:shd w:val="clear" w:color="auto" w:fill="231F20"/>
          </w:tcPr>
          <w:p w14:paraId="76D4551D"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Residencia por largo tiempo, &gt;3 meses</w:t>
            </w:r>
          </w:p>
        </w:tc>
      </w:tr>
      <w:tr w:rsidR="0072615D" w14:paraId="02CFCA29" w14:textId="77777777">
        <w:tblPrEx>
          <w:tblCellMar>
            <w:top w:w="0" w:type="dxa"/>
            <w:bottom w:w="0" w:type="dxa"/>
          </w:tblCellMar>
        </w:tblPrEx>
        <w:trPr>
          <w:trHeight w:hRule="exact" w:val="3110"/>
          <w:jc w:val="center"/>
        </w:trPr>
        <w:tc>
          <w:tcPr>
            <w:tcW w:w="3091" w:type="dxa"/>
            <w:shd w:val="clear" w:color="auto" w:fill="FFFFFF"/>
            <w:vAlign w:val="bottom"/>
          </w:tcPr>
          <w:p w14:paraId="7F202C44" w14:textId="77777777" w:rsidR="0072615D" w:rsidRDefault="0072615D">
            <w:pPr>
              <w:pStyle w:val="Other0"/>
              <w:spacing w:line="283" w:lineRule="auto"/>
              <w:ind w:left="180" w:hanging="180"/>
              <w:rPr>
                <w:sz w:val="16"/>
                <w:szCs w:val="16"/>
              </w:rPr>
            </w:pPr>
            <w:r>
              <w:rPr>
                <w:rFonts w:ascii="Times New Roman" w:eastAsia="Times New Roman" w:hAnsi="Times New Roman" w:cs="Times New Roman"/>
                <w:sz w:val="16"/>
                <w:szCs w:val="16"/>
              </w:rPr>
              <w:t>Revisar y completar el calendario conforme a las edades en los niños (véase el texto)</w:t>
            </w:r>
          </w:p>
          <w:p w14:paraId="104F323B" w14:textId="77777777" w:rsidR="0072615D" w:rsidRDefault="0072615D">
            <w:pPr>
              <w:pStyle w:val="Other0"/>
              <w:numPr>
                <w:ilvl w:val="0"/>
                <w:numId w:val="36"/>
              </w:numPr>
              <w:tabs>
                <w:tab w:val="left" w:pos="339"/>
              </w:tabs>
              <w:spacing w:line="283" w:lineRule="auto"/>
              <w:ind w:left="320" w:hanging="120"/>
              <w:rPr>
                <w:sz w:val="16"/>
                <w:szCs w:val="16"/>
              </w:rPr>
            </w:pPr>
            <w:r>
              <w:rPr>
                <w:rFonts w:ascii="Times New Roman" w:eastAsia="Times New Roman" w:hAnsi="Times New Roman" w:cs="Times New Roman"/>
                <w:sz w:val="16"/>
                <w:szCs w:val="16"/>
              </w:rPr>
              <w:t xml:space="preserve">Las vacunas DTaP, de virus poliomielítico y de </w:t>
            </w:r>
            <w:r>
              <w:rPr>
                <w:rFonts w:ascii="Times New Roman" w:eastAsia="Times New Roman" w:hAnsi="Times New Roman" w:cs="Times New Roman"/>
                <w:i/>
                <w:iCs/>
                <w:sz w:val="16"/>
                <w:szCs w:val="16"/>
              </w:rPr>
              <w:t>Haemophilus influenzae</w:t>
            </w:r>
            <w:r>
              <w:rPr>
                <w:rFonts w:ascii="Times New Roman" w:eastAsia="Times New Roman" w:hAnsi="Times New Roman" w:cs="Times New Roman"/>
                <w:sz w:val="16"/>
                <w:szCs w:val="16"/>
              </w:rPr>
              <w:t xml:space="preserve"> tipo b pueden aplicarse a intervalos de cuatro semanas si es necesario para completar el calendario recomendado, antes del viaje</w:t>
            </w:r>
          </w:p>
          <w:p w14:paraId="4946A8EC" w14:textId="77777777" w:rsidR="0072615D" w:rsidRDefault="0072615D">
            <w:pPr>
              <w:pStyle w:val="Other0"/>
              <w:numPr>
                <w:ilvl w:val="0"/>
                <w:numId w:val="36"/>
              </w:numPr>
              <w:tabs>
                <w:tab w:val="left" w:pos="339"/>
              </w:tabs>
              <w:spacing w:line="283" w:lineRule="auto"/>
              <w:ind w:left="320" w:hanging="120"/>
              <w:rPr>
                <w:sz w:val="16"/>
                <w:szCs w:val="16"/>
              </w:rPr>
            </w:pPr>
            <w:r>
              <w:rPr>
                <w:rFonts w:ascii="Times New Roman" w:eastAsia="Times New Roman" w:hAnsi="Times New Roman" w:cs="Times New Roman"/>
                <w:sz w:val="16"/>
                <w:szCs w:val="16"/>
              </w:rPr>
              <w:t>Sarampión: si el niño tenía menos de 12 meses de edad al recibir la primera dosis se administrarán dos dosis más</w:t>
            </w:r>
          </w:p>
          <w:p w14:paraId="36CB3502" w14:textId="77777777" w:rsidR="0072615D" w:rsidRDefault="0072615D">
            <w:pPr>
              <w:pStyle w:val="Other0"/>
              <w:numPr>
                <w:ilvl w:val="0"/>
                <w:numId w:val="36"/>
              </w:numPr>
              <w:tabs>
                <w:tab w:val="left" w:pos="305"/>
              </w:tabs>
              <w:spacing w:line="283" w:lineRule="auto"/>
              <w:ind w:firstLine="180"/>
              <w:rPr>
                <w:sz w:val="16"/>
                <w:szCs w:val="16"/>
              </w:rPr>
            </w:pPr>
            <w:r>
              <w:rPr>
                <w:rFonts w:ascii="Times New Roman" w:eastAsia="Times New Roman" w:hAnsi="Times New Roman" w:cs="Times New Roman"/>
                <w:sz w:val="16"/>
                <w:szCs w:val="16"/>
              </w:rPr>
              <w:t>Varicela</w:t>
            </w:r>
          </w:p>
          <w:p w14:paraId="2CBD6E50" w14:textId="77777777" w:rsidR="0072615D" w:rsidRDefault="0072615D">
            <w:pPr>
              <w:pStyle w:val="Other0"/>
              <w:numPr>
                <w:ilvl w:val="0"/>
                <w:numId w:val="36"/>
              </w:numPr>
              <w:tabs>
                <w:tab w:val="left" w:pos="319"/>
              </w:tabs>
              <w:spacing w:line="283" w:lineRule="auto"/>
              <w:ind w:firstLine="180"/>
              <w:rPr>
                <w:sz w:val="16"/>
                <w:szCs w:val="16"/>
              </w:rPr>
            </w:pPr>
            <w:r>
              <w:rPr>
                <w:rFonts w:ascii="Times New Roman" w:eastAsia="Times New Roman" w:hAnsi="Times New Roman" w:cs="Times New Roman"/>
                <w:sz w:val="16"/>
                <w:szCs w:val="16"/>
              </w:rPr>
              <w:t>Hepatitis B</w:t>
            </w:r>
            <w:r>
              <w:rPr>
                <w:rFonts w:ascii="Times New Roman" w:eastAsia="Times New Roman" w:hAnsi="Times New Roman" w:cs="Times New Roman"/>
                <w:sz w:val="16"/>
                <w:szCs w:val="16"/>
                <w:vertAlign w:val="superscript"/>
              </w:rPr>
              <w:t>2</w:t>
            </w:r>
          </w:p>
        </w:tc>
        <w:tc>
          <w:tcPr>
            <w:tcW w:w="792" w:type="dxa"/>
            <w:shd w:val="clear" w:color="auto" w:fill="FFFFFF"/>
          </w:tcPr>
          <w:p w14:paraId="7A3DABB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c>
          <w:tcPr>
            <w:tcW w:w="1728" w:type="dxa"/>
            <w:shd w:val="clear" w:color="auto" w:fill="FFFFFF"/>
          </w:tcPr>
          <w:p w14:paraId="2AF124E2"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w:t>
            </w:r>
          </w:p>
        </w:tc>
        <w:tc>
          <w:tcPr>
            <w:tcW w:w="1310" w:type="dxa"/>
            <w:shd w:val="clear" w:color="auto" w:fill="FFFFFF"/>
          </w:tcPr>
          <w:p w14:paraId="0020BBC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r>
      <w:tr w:rsidR="0072615D" w14:paraId="2ABB4413" w14:textId="77777777">
        <w:tblPrEx>
          <w:tblCellMar>
            <w:top w:w="0" w:type="dxa"/>
            <w:bottom w:w="0" w:type="dxa"/>
          </w:tblCellMar>
        </w:tblPrEx>
        <w:trPr>
          <w:trHeight w:hRule="exact" w:val="206"/>
          <w:jc w:val="center"/>
        </w:trPr>
        <w:tc>
          <w:tcPr>
            <w:tcW w:w="3091" w:type="dxa"/>
            <w:shd w:val="clear" w:color="auto" w:fill="FFFFFF"/>
            <w:vAlign w:val="bottom"/>
          </w:tcPr>
          <w:p w14:paraId="788B41B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Fiebre amarilla</w:t>
            </w:r>
            <w:r>
              <w:rPr>
                <w:rFonts w:ascii="Times New Roman" w:eastAsia="Times New Roman" w:hAnsi="Times New Roman" w:cs="Times New Roman"/>
                <w:sz w:val="16"/>
                <w:szCs w:val="16"/>
                <w:vertAlign w:val="superscript"/>
              </w:rPr>
              <w:t>3</w:t>
            </w:r>
          </w:p>
        </w:tc>
        <w:tc>
          <w:tcPr>
            <w:tcW w:w="792" w:type="dxa"/>
            <w:shd w:val="clear" w:color="auto" w:fill="FFFFFF"/>
            <w:vAlign w:val="bottom"/>
          </w:tcPr>
          <w:p w14:paraId="1164E1E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c>
          <w:tcPr>
            <w:tcW w:w="1728" w:type="dxa"/>
            <w:shd w:val="clear" w:color="auto" w:fill="FFFFFF"/>
            <w:vAlign w:val="bottom"/>
          </w:tcPr>
          <w:p w14:paraId="663A81FA"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w:t>
            </w:r>
          </w:p>
        </w:tc>
        <w:tc>
          <w:tcPr>
            <w:tcW w:w="1310" w:type="dxa"/>
            <w:shd w:val="clear" w:color="auto" w:fill="FFFFFF"/>
            <w:vAlign w:val="bottom"/>
          </w:tcPr>
          <w:p w14:paraId="6D993CB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r>
      <w:tr w:rsidR="0072615D" w14:paraId="402757F2" w14:textId="77777777">
        <w:tblPrEx>
          <w:tblCellMar>
            <w:top w:w="0" w:type="dxa"/>
            <w:bottom w:w="0" w:type="dxa"/>
          </w:tblCellMar>
        </w:tblPrEx>
        <w:trPr>
          <w:trHeight w:hRule="exact" w:val="240"/>
          <w:jc w:val="center"/>
        </w:trPr>
        <w:tc>
          <w:tcPr>
            <w:tcW w:w="3091" w:type="dxa"/>
            <w:shd w:val="clear" w:color="auto" w:fill="FFFFFF"/>
            <w:vAlign w:val="bottom"/>
          </w:tcPr>
          <w:p w14:paraId="6D2F4FA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Hepatitis A</w:t>
            </w:r>
            <w:r>
              <w:rPr>
                <w:rFonts w:ascii="Times New Roman" w:eastAsia="Times New Roman" w:hAnsi="Times New Roman" w:cs="Times New Roman"/>
                <w:sz w:val="16"/>
                <w:szCs w:val="16"/>
                <w:vertAlign w:val="superscript"/>
              </w:rPr>
              <w:t>4</w:t>
            </w:r>
          </w:p>
        </w:tc>
        <w:tc>
          <w:tcPr>
            <w:tcW w:w="792" w:type="dxa"/>
            <w:shd w:val="clear" w:color="auto" w:fill="FFFFFF"/>
            <w:vAlign w:val="bottom"/>
          </w:tcPr>
          <w:p w14:paraId="4B10008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c>
          <w:tcPr>
            <w:tcW w:w="1728" w:type="dxa"/>
            <w:shd w:val="clear" w:color="auto" w:fill="FFFFFF"/>
            <w:vAlign w:val="bottom"/>
          </w:tcPr>
          <w:p w14:paraId="3FF117E1"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w:t>
            </w:r>
          </w:p>
        </w:tc>
        <w:tc>
          <w:tcPr>
            <w:tcW w:w="1310" w:type="dxa"/>
            <w:shd w:val="clear" w:color="auto" w:fill="FFFFFF"/>
            <w:vAlign w:val="bottom"/>
          </w:tcPr>
          <w:p w14:paraId="1F2DEE9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r>
      <w:tr w:rsidR="0072615D" w14:paraId="5B9BA6F1" w14:textId="77777777">
        <w:tblPrEx>
          <w:tblCellMar>
            <w:top w:w="0" w:type="dxa"/>
            <w:bottom w:w="0" w:type="dxa"/>
          </w:tblCellMar>
        </w:tblPrEx>
        <w:trPr>
          <w:trHeight w:hRule="exact" w:val="206"/>
          <w:jc w:val="center"/>
        </w:trPr>
        <w:tc>
          <w:tcPr>
            <w:tcW w:w="3091" w:type="dxa"/>
            <w:shd w:val="clear" w:color="auto" w:fill="FFFFFF"/>
            <w:vAlign w:val="bottom"/>
          </w:tcPr>
          <w:p w14:paraId="4065BC2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Fiebre tifoidea</w:t>
            </w:r>
            <w:r>
              <w:rPr>
                <w:rFonts w:ascii="Times New Roman" w:eastAsia="Times New Roman" w:hAnsi="Times New Roman" w:cs="Times New Roman"/>
                <w:sz w:val="16"/>
                <w:szCs w:val="16"/>
                <w:vertAlign w:val="superscript"/>
              </w:rPr>
              <w:t>4</w:t>
            </w:r>
          </w:p>
        </w:tc>
        <w:tc>
          <w:tcPr>
            <w:tcW w:w="792" w:type="dxa"/>
            <w:shd w:val="clear" w:color="auto" w:fill="FFFFFF"/>
            <w:vAlign w:val="bottom"/>
          </w:tcPr>
          <w:p w14:paraId="19EEEFF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c>
          <w:tcPr>
            <w:tcW w:w="1728" w:type="dxa"/>
            <w:shd w:val="clear" w:color="auto" w:fill="FFFFFF"/>
            <w:vAlign w:val="bottom"/>
          </w:tcPr>
          <w:p w14:paraId="7E78B67C"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w:t>
            </w:r>
          </w:p>
        </w:tc>
        <w:tc>
          <w:tcPr>
            <w:tcW w:w="1310" w:type="dxa"/>
            <w:shd w:val="clear" w:color="auto" w:fill="FFFFFF"/>
            <w:vAlign w:val="bottom"/>
          </w:tcPr>
          <w:p w14:paraId="77FDB87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r>
      <w:tr w:rsidR="0072615D" w14:paraId="1C340E88" w14:textId="77777777">
        <w:tblPrEx>
          <w:tblCellMar>
            <w:top w:w="0" w:type="dxa"/>
            <w:bottom w:w="0" w:type="dxa"/>
          </w:tblCellMar>
        </w:tblPrEx>
        <w:trPr>
          <w:trHeight w:hRule="exact" w:val="240"/>
          <w:jc w:val="center"/>
        </w:trPr>
        <w:tc>
          <w:tcPr>
            <w:tcW w:w="3091" w:type="dxa"/>
            <w:shd w:val="clear" w:color="auto" w:fill="FFFFFF"/>
            <w:vAlign w:val="bottom"/>
          </w:tcPr>
          <w:p w14:paraId="7D605E6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Enfermedad meningocócica</w:t>
            </w:r>
            <w:r>
              <w:rPr>
                <w:rFonts w:ascii="Times New Roman" w:eastAsia="Times New Roman" w:hAnsi="Times New Roman" w:cs="Times New Roman"/>
                <w:sz w:val="16"/>
                <w:szCs w:val="16"/>
                <w:vertAlign w:val="superscript"/>
              </w:rPr>
              <w:t>5</w:t>
            </w:r>
          </w:p>
        </w:tc>
        <w:tc>
          <w:tcPr>
            <w:tcW w:w="792" w:type="dxa"/>
            <w:shd w:val="clear" w:color="auto" w:fill="FFFFFF"/>
            <w:vAlign w:val="bottom"/>
          </w:tcPr>
          <w:p w14:paraId="7512F3C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c>
          <w:tcPr>
            <w:tcW w:w="1728" w:type="dxa"/>
            <w:shd w:val="clear" w:color="auto" w:fill="FFFFFF"/>
            <w:vAlign w:val="bottom"/>
          </w:tcPr>
          <w:p w14:paraId="732003DE"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w:t>
            </w:r>
          </w:p>
        </w:tc>
        <w:tc>
          <w:tcPr>
            <w:tcW w:w="1310" w:type="dxa"/>
            <w:shd w:val="clear" w:color="auto" w:fill="FFFFFF"/>
            <w:vAlign w:val="bottom"/>
          </w:tcPr>
          <w:p w14:paraId="2E415A5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r>
      <w:tr w:rsidR="0072615D" w14:paraId="65DF605A" w14:textId="77777777">
        <w:tblPrEx>
          <w:tblCellMar>
            <w:top w:w="0" w:type="dxa"/>
            <w:bottom w:w="0" w:type="dxa"/>
          </w:tblCellMar>
        </w:tblPrEx>
        <w:trPr>
          <w:trHeight w:hRule="exact" w:val="206"/>
          <w:jc w:val="center"/>
        </w:trPr>
        <w:tc>
          <w:tcPr>
            <w:tcW w:w="3091" w:type="dxa"/>
            <w:shd w:val="clear" w:color="auto" w:fill="FFFFFF"/>
            <w:vAlign w:val="bottom"/>
          </w:tcPr>
          <w:p w14:paraId="141E371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Rabia</w:t>
            </w:r>
            <w:r>
              <w:rPr>
                <w:rFonts w:ascii="Times New Roman" w:eastAsia="Times New Roman" w:hAnsi="Times New Roman" w:cs="Times New Roman"/>
                <w:sz w:val="16"/>
                <w:szCs w:val="16"/>
                <w:vertAlign w:val="superscript"/>
              </w:rPr>
              <w:t>6</w:t>
            </w:r>
          </w:p>
        </w:tc>
        <w:tc>
          <w:tcPr>
            <w:tcW w:w="792" w:type="dxa"/>
            <w:shd w:val="clear" w:color="auto" w:fill="FFFFFF"/>
            <w:vAlign w:val="bottom"/>
          </w:tcPr>
          <w:p w14:paraId="66347CB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c>
          <w:tcPr>
            <w:tcW w:w="1728" w:type="dxa"/>
            <w:shd w:val="clear" w:color="auto" w:fill="FFFFFF"/>
            <w:vAlign w:val="bottom"/>
          </w:tcPr>
          <w:p w14:paraId="06A07E80"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w:t>
            </w:r>
          </w:p>
        </w:tc>
        <w:tc>
          <w:tcPr>
            <w:tcW w:w="1310" w:type="dxa"/>
            <w:shd w:val="clear" w:color="auto" w:fill="FFFFFF"/>
            <w:vAlign w:val="bottom"/>
          </w:tcPr>
          <w:p w14:paraId="5621B31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r>
      <w:tr w:rsidR="0072615D" w14:paraId="1278A686" w14:textId="77777777">
        <w:tblPrEx>
          <w:tblCellMar>
            <w:top w:w="0" w:type="dxa"/>
            <w:bottom w:w="0" w:type="dxa"/>
          </w:tblCellMar>
        </w:tblPrEx>
        <w:trPr>
          <w:trHeight w:hRule="exact" w:val="331"/>
          <w:jc w:val="center"/>
        </w:trPr>
        <w:tc>
          <w:tcPr>
            <w:tcW w:w="3091" w:type="dxa"/>
            <w:tcBorders>
              <w:bottom w:val="single" w:sz="4" w:space="0" w:color="auto"/>
            </w:tcBorders>
            <w:shd w:val="clear" w:color="auto" w:fill="FFFFFF"/>
            <w:vAlign w:val="center"/>
          </w:tcPr>
          <w:p w14:paraId="458039F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Encefalitis japonesa</w:t>
            </w:r>
            <w:r>
              <w:rPr>
                <w:rFonts w:ascii="Times New Roman" w:eastAsia="Times New Roman" w:hAnsi="Times New Roman" w:cs="Times New Roman"/>
                <w:sz w:val="16"/>
                <w:szCs w:val="16"/>
                <w:vertAlign w:val="superscript"/>
              </w:rPr>
              <w:t>7</w:t>
            </w:r>
          </w:p>
        </w:tc>
        <w:tc>
          <w:tcPr>
            <w:tcW w:w="792" w:type="dxa"/>
            <w:tcBorders>
              <w:bottom w:val="single" w:sz="4" w:space="0" w:color="auto"/>
            </w:tcBorders>
            <w:shd w:val="clear" w:color="auto" w:fill="FFFFFF"/>
            <w:vAlign w:val="center"/>
          </w:tcPr>
          <w:p w14:paraId="633D317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c>
          <w:tcPr>
            <w:tcW w:w="1728" w:type="dxa"/>
            <w:tcBorders>
              <w:bottom w:val="single" w:sz="4" w:space="0" w:color="auto"/>
            </w:tcBorders>
            <w:shd w:val="clear" w:color="auto" w:fill="FFFFFF"/>
            <w:vAlign w:val="center"/>
          </w:tcPr>
          <w:p w14:paraId="3DA08A69" w14:textId="77777777" w:rsidR="0072615D" w:rsidRDefault="0072615D">
            <w:pPr>
              <w:pStyle w:val="Other0"/>
              <w:spacing w:line="240" w:lineRule="auto"/>
              <w:ind w:firstLine="500"/>
              <w:rPr>
                <w:sz w:val="16"/>
                <w:szCs w:val="16"/>
              </w:rPr>
            </w:pPr>
            <w:r>
              <w:rPr>
                <w:rFonts w:ascii="Times New Roman" w:eastAsia="Times New Roman" w:hAnsi="Times New Roman" w:cs="Times New Roman"/>
                <w:sz w:val="16"/>
                <w:szCs w:val="16"/>
              </w:rPr>
              <w:t>±</w:t>
            </w:r>
          </w:p>
        </w:tc>
        <w:tc>
          <w:tcPr>
            <w:tcW w:w="1310" w:type="dxa"/>
            <w:tcBorders>
              <w:bottom w:val="single" w:sz="4" w:space="0" w:color="auto"/>
            </w:tcBorders>
            <w:shd w:val="clear" w:color="auto" w:fill="FFFFFF"/>
            <w:vAlign w:val="center"/>
          </w:tcPr>
          <w:p w14:paraId="52EABD9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w:t>
            </w:r>
          </w:p>
        </w:tc>
      </w:tr>
    </w:tbl>
    <w:p w14:paraId="39991389" w14:textId="77777777" w:rsidR="0072615D" w:rsidRDefault="0072615D">
      <w:pPr>
        <w:spacing w:after="99" w:line="1" w:lineRule="exact"/>
      </w:pPr>
    </w:p>
    <w:p w14:paraId="408F32BB" w14:textId="77777777" w:rsidR="0072615D" w:rsidRDefault="0072615D">
      <w:pPr>
        <w:pStyle w:val="Bodytext20"/>
        <w:spacing w:line="252" w:lineRule="auto"/>
        <w:ind w:left="260"/>
        <w:rPr>
          <w:sz w:val="15"/>
          <w:szCs w:val="15"/>
        </w:rPr>
      </w:pPr>
      <w:r>
        <w:rPr>
          <w:sz w:val="15"/>
          <w:szCs w:val="15"/>
        </w:rPr>
        <w:t xml:space="preserve">DTaP, toxoides de difteria y tétanos y la vacuna de tos ferina acelular </w:t>
      </w:r>
      <w:r>
        <w:rPr>
          <w:i/>
          <w:iCs/>
          <w:sz w:val="15"/>
          <w:szCs w:val="15"/>
        </w:rPr>
        <w:t>(diphtheria and tetanus toxoids and acellular pertussis);</w:t>
      </w:r>
      <w:r>
        <w:rPr>
          <w:sz w:val="15"/>
          <w:szCs w:val="15"/>
        </w:rPr>
        <w:t xml:space="preserve"> +, recomendado; ±, considerar.</w:t>
      </w:r>
    </w:p>
    <w:p w14:paraId="509A001B" w14:textId="77777777" w:rsidR="0072615D" w:rsidRDefault="0072615D">
      <w:pPr>
        <w:pStyle w:val="Bodytext20"/>
        <w:numPr>
          <w:ilvl w:val="0"/>
          <w:numId w:val="37"/>
        </w:numPr>
        <w:tabs>
          <w:tab w:val="left" w:pos="175"/>
        </w:tabs>
        <w:spacing w:line="252" w:lineRule="auto"/>
        <w:ind w:left="260" w:hanging="260"/>
        <w:rPr>
          <w:sz w:val="15"/>
          <w:szCs w:val="15"/>
        </w:rPr>
      </w:pPr>
      <w:bookmarkStart w:id="342" w:name="bookmark342"/>
      <w:bookmarkEnd w:id="342"/>
      <w:r>
        <w:rPr>
          <w:sz w:val="15"/>
          <w:szCs w:val="15"/>
        </w:rPr>
        <w:t>Consúltense los capítulos específicos de enfermedades en la sección 3 en busca de detalles. Si se desean otras fuentes de información, véase el texto.</w:t>
      </w:r>
    </w:p>
    <w:p w14:paraId="3F02F349" w14:textId="77777777" w:rsidR="0072615D" w:rsidRDefault="0072615D">
      <w:pPr>
        <w:pStyle w:val="Bodytext20"/>
        <w:numPr>
          <w:ilvl w:val="0"/>
          <w:numId w:val="37"/>
        </w:numPr>
        <w:tabs>
          <w:tab w:val="left" w:pos="178"/>
        </w:tabs>
        <w:spacing w:line="252" w:lineRule="auto"/>
        <w:ind w:left="260" w:hanging="260"/>
        <w:rPr>
          <w:sz w:val="15"/>
          <w:szCs w:val="15"/>
        </w:rPr>
      </w:pPr>
      <w:bookmarkStart w:id="343" w:name="bookmark343"/>
      <w:bookmarkEnd w:id="343"/>
      <w:r>
        <w:rPr>
          <w:sz w:val="15"/>
          <w:szCs w:val="15"/>
        </w:rPr>
        <w:t>Si no ha habido tiempo suficiente para completar la serie primaria semestral pueden utilizarse series “aceleradas” (consúltese el texto).</w:t>
      </w:r>
    </w:p>
    <w:p w14:paraId="6F3C0B70" w14:textId="77777777" w:rsidR="0072615D" w:rsidRDefault="0072615D">
      <w:pPr>
        <w:pStyle w:val="Bodytext20"/>
        <w:numPr>
          <w:ilvl w:val="0"/>
          <w:numId w:val="37"/>
        </w:numPr>
        <w:tabs>
          <w:tab w:val="left" w:pos="178"/>
        </w:tabs>
        <w:spacing w:line="252" w:lineRule="auto"/>
        <w:ind w:left="260" w:hanging="260"/>
        <w:rPr>
          <w:sz w:val="15"/>
          <w:szCs w:val="15"/>
        </w:rPr>
      </w:pPr>
      <w:bookmarkStart w:id="344" w:name="bookmark344"/>
      <w:bookmarkEnd w:id="344"/>
      <w:r>
        <w:rPr>
          <w:sz w:val="15"/>
          <w:szCs w:val="15"/>
        </w:rPr>
        <w:t>Para regiones endémicas (véase en esta sección “</w:t>
      </w:r>
      <w:r>
        <w:rPr>
          <w:i/>
          <w:iCs/>
          <w:sz w:val="15"/>
          <w:szCs w:val="15"/>
        </w:rPr>
        <w:t>Health Information for International Travel?</w:t>
      </w:r>
      <w:r>
        <w:rPr>
          <w:sz w:val="15"/>
          <w:szCs w:val="15"/>
        </w:rPr>
        <w:t xml:space="preserve"> en Fuentes de información sobre vacunas).</w:t>
      </w:r>
    </w:p>
    <w:p w14:paraId="6D8FB24F" w14:textId="77777777" w:rsidR="0072615D" w:rsidRDefault="0072615D">
      <w:pPr>
        <w:pStyle w:val="Bodytext20"/>
        <w:numPr>
          <w:ilvl w:val="0"/>
          <w:numId w:val="37"/>
        </w:numPr>
        <w:tabs>
          <w:tab w:val="left" w:pos="178"/>
        </w:tabs>
        <w:spacing w:line="252" w:lineRule="auto"/>
        <w:rPr>
          <w:sz w:val="15"/>
          <w:szCs w:val="15"/>
        </w:rPr>
      </w:pPr>
      <w:bookmarkStart w:id="345" w:name="bookmark345"/>
      <w:bookmarkEnd w:id="345"/>
      <w:r>
        <w:rPr>
          <w:sz w:val="15"/>
          <w:szCs w:val="15"/>
        </w:rPr>
        <w:t>Indicado para viajeros que consumirán agua y líquidos en zonas con deficiencias sanitarias.</w:t>
      </w:r>
    </w:p>
    <w:p w14:paraId="3CB86CD2" w14:textId="77777777" w:rsidR="0072615D" w:rsidRDefault="0072615D">
      <w:pPr>
        <w:pStyle w:val="Bodytext20"/>
        <w:numPr>
          <w:ilvl w:val="0"/>
          <w:numId w:val="37"/>
        </w:numPr>
        <w:tabs>
          <w:tab w:val="left" w:pos="178"/>
        </w:tabs>
        <w:spacing w:line="252" w:lineRule="auto"/>
        <w:ind w:left="260" w:hanging="260"/>
        <w:rPr>
          <w:sz w:val="15"/>
          <w:szCs w:val="15"/>
        </w:rPr>
      </w:pPr>
      <w:bookmarkStart w:id="346" w:name="bookmark346"/>
      <w:bookmarkEnd w:id="346"/>
      <w:r>
        <w:rPr>
          <w:sz w:val="15"/>
          <w:szCs w:val="15"/>
        </w:rPr>
        <w:t>Recomendable en regiones endémicas de África, durante epidemias locales y como condición para viajar a Arabia Saudita en lo que toca a Hajj.</w:t>
      </w:r>
    </w:p>
    <w:p w14:paraId="0A339254" w14:textId="77777777" w:rsidR="0072615D" w:rsidRDefault="0072615D">
      <w:pPr>
        <w:pStyle w:val="Bodytext20"/>
        <w:numPr>
          <w:ilvl w:val="0"/>
          <w:numId w:val="37"/>
        </w:numPr>
        <w:tabs>
          <w:tab w:val="left" w:pos="178"/>
        </w:tabs>
        <w:spacing w:line="252" w:lineRule="auto"/>
        <w:ind w:left="260" w:hanging="260"/>
        <w:rPr>
          <w:sz w:val="15"/>
          <w:szCs w:val="15"/>
        </w:rPr>
      </w:pPr>
      <w:bookmarkStart w:id="347" w:name="bookmark347"/>
      <w:bookmarkEnd w:id="347"/>
      <w:r>
        <w:rPr>
          <w:sz w:val="15"/>
          <w:szCs w:val="15"/>
        </w:rPr>
        <w:t>Indicado en personas con alto riesgo de exposición a animales (especialmente perros) y para viajeros a países endémicos.</w:t>
      </w:r>
    </w:p>
    <w:p w14:paraId="7781526A" w14:textId="77777777" w:rsidR="0072615D" w:rsidRDefault="0072615D">
      <w:pPr>
        <w:pStyle w:val="Bodytext20"/>
        <w:numPr>
          <w:ilvl w:val="0"/>
          <w:numId w:val="37"/>
        </w:numPr>
        <w:tabs>
          <w:tab w:val="left" w:pos="183"/>
        </w:tabs>
        <w:spacing w:after="560" w:line="252" w:lineRule="auto"/>
        <w:ind w:left="260" w:hanging="260"/>
        <w:rPr>
          <w:sz w:val="15"/>
          <w:szCs w:val="15"/>
        </w:rPr>
      </w:pPr>
      <w:bookmarkStart w:id="348" w:name="bookmark348"/>
      <w:bookmarkEnd w:id="348"/>
      <w:r>
        <w:rPr>
          <w:sz w:val="15"/>
          <w:szCs w:val="15"/>
        </w:rPr>
        <w:t>En regiones endémicas (véase en esta sección “</w:t>
      </w:r>
      <w:r>
        <w:rPr>
          <w:i/>
          <w:iCs/>
          <w:sz w:val="15"/>
          <w:szCs w:val="15"/>
        </w:rPr>
        <w:t>Health Information for International Travel?</w:t>
      </w:r>
      <w:r>
        <w:rPr>
          <w:sz w:val="15"/>
          <w:szCs w:val="15"/>
        </w:rPr>
        <w:t xml:space="preserve"> en Fuentes de información sobre vacunas). En el caso de actividades de alto riesgo en zonas en que han surgido brotes, se recomienda aplicar la vacuna incluso si los viajes son breves.</w:t>
      </w:r>
    </w:p>
    <w:p w14:paraId="3743ABA9" w14:textId="77777777" w:rsidR="0072615D" w:rsidRDefault="0072615D">
      <w:pPr>
        <w:pStyle w:val="BodyText"/>
        <w:ind w:firstLine="380"/>
      </w:pPr>
      <w:r>
        <w:t>Los intentos de erradicar el virus poliomielitico a nivel mundial han permitido disminuir el número de países en que los viajeros están en peligro de infectarse por él. En 1994 se declaró al hemisferio occidental libre del virus natural de la poliomielitis, y en el año 2000 se declaró libre a la región del pacífico occidental. Sin embargo, aún surgen brotes de la enfermedad; en julio de 2000, en la República Dominicana y en Haití se notificó un brote del virus de tipo 1 de poliomielitis derivado de vacuna. Para obtener protección, deben estar totalmente vacunados los niños viajantes, contra el virus mencionado. Habrá que aplicar antes de su viaje tres dosis de la IPV. Si es necesario, las dosis se aplican a intervalos de cuatro semanas, aunque se prefieren los intervalos de seis a ocho semanas. Los niños deben recibir una cuarta dosis suplementaria entre los cuatro y los seis años de vida (véase “Poliomielítico, infecciones por virus”, sección 3).</w:t>
      </w:r>
    </w:p>
    <w:p w14:paraId="3A1D55AD" w14:textId="77777777" w:rsidR="0072615D" w:rsidRDefault="0072615D">
      <w:pPr>
        <w:pStyle w:val="BodyText"/>
        <w:ind w:firstLine="360"/>
      </w:pPr>
      <w:r>
        <w:t>Los casos de sarampión importados siguen siendo una causa importante de esta enfermedad en el territorio estadounidense. Por tal motivo, las personas que viajan al extranjero deben ser inmunes a la enfermedad para contar con protección personal y reducir al mínimo la importación de la infección. Habrá que considerar a toda persona como susceptible al sarampión, salvo que tenga pruebas estrictas de vacunaciones apropiadas, sarampión diagnosticado por un médico o datos de estudios de laboratorio de inmunidad a la enfermedad, o bien que haya nacido en Estados Unidos antes de 1957. En el caso de individuos nacidos en ese país en 1957 o fechas ulteriores, se necesitan dos dosis de vacuna contra el sarampión para asegurar la inmunidad, la primera aplicada a los 12 meses de vida o después (véase “Sarampión”, sección 3). Es posible comenzar la vacunación contra la enfermedad antes de la edad señalada en el caso de niños que viajan a zonas con una frecuencia alta de contagio de la misma. Los lactantes de seis a 11 meses deben recibir una dosis de vacuna que incluya la fracción antisarampionosa. Tales niños recibirán dos dosis más de la misma vacuna, con una diferencia de un mes como mínimo, comenzando a los 12 a 15 meses de vida.</w:t>
      </w:r>
    </w:p>
    <w:p w14:paraId="126C9B2D" w14:textId="77777777" w:rsidR="0072615D" w:rsidRDefault="0072615D">
      <w:pPr>
        <w:pStyle w:val="BodyText"/>
        <w:spacing w:after="220" w:line="276" w:lineRule="auto"/>
        <w:ind w:firstLine="360"/>
      </w:pPr>
      <w:r>
        <w:t xml:space="preserve">En la actualidad se recomienda aplicar la vacuna contra la hepatitis B en todos los niños, pero habrá que considerar su uso particularmente en personas de cualquier edad que viajan a zonas donde la enfermedad es fuertemente endémica, como países de Asia y África y otros más de América del Sur (véase “Hepatitis B”, sección 3). Entre los factores de riesgo para contraer dicha infección están el contacto muy cercano con la población local por lapsos largos (más de seis meses), contacto con sangre o líquidos corporales sanguinolentos o relación sexual con residentes de tales áreas. Se ha aprobado un plan acelerado respecto de una vacuna contra hepatitis B (Engerix-B, </w:t>
      </w:r>
      <w:r>
        <w:rPr>
          <w:rFonts w:ascii="Times New Roman" w:eastAsia="Times New Roman" w:hAnsi="Times New Roman" w:cs="Times New Roman"/>
          <w:i/>
          <w:iCs/>
          <w:sz w:val="16"/>
          <w:szCs w:val="16"/>
        </w:rPr>
        <w:t>GlaxoSmithKline Biologicals, Rixensart</w:t>
      </w:r>
      <w:r>
        <w:rPr>
          <w:i/>
          <w:iCs/>
        </w:rPr>
        <w:t>,</w:t>
      </w:r>
      <w:r>
        <w:t xml:space="preserve"> Bélgica) en el cual se aplican las primeras tres dosis al nacimiento, uno y dos meses. Dicho plan tal vez beneficie a los viajeros que no cuentan con tiempo suficiente (es decir, menos de seis meses) para completar el calendario habitual con tres dosis antes del viaje. Si se usa el plan acelerado, habrá que aplicar una cuarta dosis 12 meses después de la tercera (véase “Hepatitis B”, sección 3).</w:t>
      </w:r>
    </w:p>
    <w:p w14:paraId="6B89D234" w14:textId="77777777" w:rsidR="0072615D" w:rsidRDefault="0072615D">
      <w:pPr>
        <w:pStyle w:val="BodyText"/>
        <w:spacing w:after="220"/>
        <w:ind w:firstLine="0"/>
      </w:pPr>
      <w:r>
        <w:t>VACUNACIONES EXIGIDAS O RECOMENDADAS ANTES DE VIAJAR</w:t>
      </w:r>
    </w:p>
    <w:p w14:paraId="21521253" w14:textId="77777777" w:rsidR="0072615D" w:rsidRDefault="0072615D">
      <w:pPr>
        <w:pStyle w:val="BodyText"/>
        <w:ind w:firstLine="0"/>
      </w:pPr>
      <w:r>
        <w:t>Conforme al destino del viaje, la actividad planeada, el tiempo que se permanecerá el extranjero, se necesitan o recomiendan otras vacunaciones (véanse cuadro 1-14 y los resúmenes de enfermedades específicas en la sección 3).</w:t>
      </w:r>
    </w:p>
    <w:p w14:paraId="6495B053" w14:textId="77777777" w:rsidR="0072615D" w:rsidRDefault="0072615D">
      <w:pPr>
        <w:pStyle w:val="BodyText"/>
        <w:ind w:firstLine="360"/>
      </w:pPr>
      <w:r>
        <w:t>La inmunoprofilaxia contra la hepatitis A está indicada para personas susceptibles que viajan a otras naciones, y en particular zonas con cifras intermedias o altas de infección por HAV; incluye todas las zonas del mundo, excepto Australia, Canadá, Japón, Nueva Zelanda y el Occidente de Europa. Para tal fin, son eficaces las vacunas hechas de virus inactivados y el concentrado inmunoglobulínico intramuscular (IG); sin embargo, la protección a largo plazo se logra sólo con los productos con virus inactivados. Para niños de dos años y mayores se prefiere la vacuna. Para asegurar la protección inmediata de personas cuya salida es inminente habrá que aplicar juntas en sitios diferentes el concentrado IG y la vacuna (véase “Hepatitis A”, sección 3). En el caso de niños menores de dos años de edad, el concentrado IG está indicado porque la vacuna contra hepatitis A no ha sido aprobada en Estados Unidos para usar en este grupo de edad. El concentrado inmunoglobulínico puede interferir en la respuesta inmunitaria que surja con la aplicación de las vacunas contra varicela, sarampión parotiditis y rubéola.</w:t>
      </w:r>
    </w:p>
    <w:p w14:paraId="5D9A4681" w14:textId="77777777" w:rsidR="0072615D" w:rsidRDefault="0072615D">
      <w:pPr>
        <w:pStyle w:val="BodyText"/>
        <w:ind w:firstLine="360"/>
      </w:pPr>
      <w:r>
        <w:t>En algunos países se exige la aplicación de la vacuna contra la fiebre amarilla hecha de un virus vivo atenuado, como requisito de ingreso, incluidos los viajeros que llegan de regiones endémicas.</w:t>
      </w:r>
      <w:r>
        <w:footnoteReference w:id="32"/>
      </w:r>
      <w:r>
        <w:t xml:space="preserve"> En Estados Unidos se puede obtener la vacuna sólo en centros designados por los departamentos de salud estatal. Las exigencias y recomendaciones actuales para la vacunación contra fiebre amarilla, basadas en el destino del viaje, se incluyen en la página web de </w:t>
      </w:r>
      <w:r>
        <w:rPr>
          <w:rFonts w:ascii="Times New Roman" w:eastAsia="Times New Roman" w:hAnsi="Times New Roman" w:cs="Times New Roman"/>
          <w:i/>
          <w:iCs/>
          <w:sz w:val="16"/>
          <w:szCs w:val="16"/>
        </w:rPr>
        <w:t>Traveler’s Health</w:t>
      </w:r>
      <w:r>
        <w:t xml:space="preserve"> de los CDC (</w:t>
      </w:r>
      <w:hyperlink r:id="rId259" w:history="1">
        <w:r>
          <w:t>www.cdc.gov/travel</w:t>
        </w:r>
      </w:hyperlink>
      <w:r>
        <w:t xml:space="preserve">) o del libro amarillo del CDC </w:t>
      </w:r>
      <w:r>
        <w:rPr>
          <w:rFonts w:ascii="Times New Roman" w:eastAsia="Times New Roman" w:hAnsi="Times New Roman" w:cs="Times New Roman"/>
          <w:i/>
          <w:iCs/>
          <w:sz w:val="16"/>
          <w:szCs w:val="16"/>
        </w:rPr>
        <w:t>Health Information for International Travel</w:t>
      </w:r>
      <w:r>
        <w:rPr>
          <w:i/>
          <w:iCs/>
        </w:rPr>
        <w:t>.</w:t>
      </w:r>
      <w:r>
        <w:t xml:space="preserve"> La fiebre amarilla ataca todos los meses del año en zonas predominantemente rurales de países subsaharianos en África, y en América del Sur; en años recientes se han multiplicado los brotes incluso en algunas zonas urbanas. La fiebre en cuestión, a pesar de ser rara, sigue afectado a algunos viajeros, en particular los que no están vacunados, y por lo regular es una enfermedad letal. Entre las medidas de prevención deben estar la vacunación y protección contra los mosquitos. La vacuna contra la fiebre mencionada por lo común se considera inocua y eficaz. Sin embargo, en raras ocasiones se la ha vinculado con el peligro de enfermedad viscerotrópica (insuficiencia de múltiples órganos y sistemas) y ataque neurotrópico (encefalitis posvacunal). El preparado no debe utilizarse en niños menores de cuatro meses y se le aplicará con cautela en niños de cuatro a ocho meses y sólo después de consultar con un médico experto en medicina de viajes, los CDC o ambos elementos para comparar riesgos y beneficios (es decir, pensar en la vacunación si es imperioso el viaje a una zona donde hay constante transmisión de la fiebre amarilla y no es posible lograr una buena protección contra picaduras de mosquitos). En la medida de lo posible, habrá que diferir la vacunación hasta que el niño tenga nueve meses de vida para reducir al mínimo el peligro de encefalitis vinculada con la vacuna. Pueden darse dispensas médicas a niños demasiado pequeños para ser vacunados, y también a quienes tienen otras contraindicaciones para la vacunación, como inmunodeficiencia. En Estados Unidos, los CDC han planteado que ante el riesgo de enfermedad grave y muerte atribuibles a la fiebre amarilla, las pruebas de un contagio cada más frecuente de la enfermedad y la eficacia sabida de la vacuna, los clínicos deben seguir aplicando la vacuna contra la enfermedad para proteger a los viajeros. Sin embargo, los CDC recomiendan que los profesionales asistenciales revisen con gran cuidado los itinerarios del viaje, de tal forma que se les aplique la vacuna sólo a personas que viajarán a áreas endémicas o zonas en que se ha notificado actividad de fiebre amarilla.</w:t>
      </w:r>
    </w:p>
    <w:p w14:paraId="028FA15A" w14:textId="77777777" w:rsidR="0072615D" w:rsidRDefault="0072615D">
      <w:pPr>
        <w:pStyle w:val="BodyText"/>
        <w:ind w:firstLine="360"/>
      </w:pPr>
      <w:r>
        <w:t>En Estados Unidos no se produce más la vacuna contra el cólera hecha de gérmenes enteros inactivados. Según las normas de la OMS, ningún país puede exigir la vacunación contra dicha enfermedad como condición de ingreso. Sin embargo, a pesar de tales recomendaciones algunas autoridades locales exigen corroboración escrita de la vacunación, y en estos casos bastará una nota de contraindicación respecto de tal vacuna para cumplir con las exigencias mencionadas.</w:t>
      </w:r>
    </w:p>
    <w:p w14:paraId="5B2DAF0B" w14:textId="77777777" w:rsidR="0072615D" w:rsidRDefault="0072615D">
      <w:pPr>
        <w:pStyle w:val="BodyText"/>
        <w:spacing w:line="271" w:lineRule="auto"/>
        <w:ind w:firstLine="360"/>
      </w:pPr>
      <w:r>
        <w:t xml:space="preserve">Se recomienda aplicar la vacuna contra la tifoidea en viajeros que pueden estar expuestos a agua o alimentos contaminados. En particular, los sujetos que anticipan un viaje o residencia larga en zonas con deficiencias sanitarias y los que visitan zonas remotas son los que están expuestos al mayor riesgo. En Estados Unidos se dispone de dos vacunas contra tal enfermedad para uso de civiles: una vacuna ingerible (oral) que contiene </w:t>
      </w:r>
      <w:r>
        <w:rPr>
          <w:rFonts w:ascii="Times New Roman" w:eastAsia="Times New Roman" w:hAnsi="Times New Roman" w:cs="Times New Roman"/>
          <w:i/>
          <w:iCs/>
          <w:sz w:val="16"/>
          <w:szCs w:val="16"/>
        </w:rPr>
        <w:t>5. typhi</w:t>
      </w:r>
      <w:r>
        <w:t xml:space="preserve"> vivos atenuados (cepa Ty21a) y otra vacuna parenteral hecha del polisacárido capsular Vi </w:t>
      </w:r>
      <w:r>
        <w:rPr>
          <w:i/>
          <w:iCs/>
        </w:rPr>
        <w:t>(</w:t>
      </w:r>
      <w:r>
        <w:rPr>
          <w:rFonts w:ascii="Times New Roman" w:eastAsia="Times New Roman" w:hAnsi="Times New Roman" w:cs="Times New Roman"/>
          <w:i/>
          <w:iCs/>
          <w:sz w:val="16"/>
          <w:szCs w:val="16"/>
        </w:rPr>
        <w:t>Vi capsular polysaccharide</w:t>
      </w:r>
      <w:r>
        <w:rPr>
          <w:i/>
          <w:iCs/>
        </w:rPr>
        <w:t>,</w:t>
      </w:r>
      <w:r>
        <w:t xml:space="preserve"> ViCPS) (véase </w:t>
      </w:r>
      <w:r>
        <w:rPr>
          <w:rFonts w:ascii="Times New Roman" w:eastAsia="Times New Roman" w:hAnsi="Times New Roman" w:cs="Times New Roman"/>
          <w:i/>
          <w:iCs/>
          <w:sz w:val="16"/>
          <w:szCs w:val="16"/>
        </w:rPr>
        <w:t xml:space="preserve">“Salmonella, </w:t>
      </w:r>
      <w:r>
        <w:t xml:space="preserve">infecciones”, sección 3). Ya no se fabrica en Estados Unidos la vacuna hecha de gérmenes completos inactivados. Sobre las recomendaciones específicas, véase el resumen de </w:t>
      </w:r>
      <w:r>
        <w:rPr>
          <w:i/>
          <w:iCs/>
        </w:rPr>
        <w:t>“</w:t>
      </w:r>
      <w:r>
        <w:rPr>
          <w:rFonts w:ascii="Times New Roman" w:eastAsia="Times New Roman" w:hAnsi="Times New Roman" w:cs="Times New Roman"/>
          <w:i/>
          <w:iCs/>
          <w:sz w:val="16"/>
          <w:szCs w:val="16"/>
        </w:rPr>
        <w:t>Salmonella</w:t>
      </w:r>
      <w:r>
        <w:rPr>
          <w:i/>
          <w:iCs/>
        </w:rPr>
        <w:t>,</w:t>
      </w:r>
      <w:r>
        <w:t xml:space="preserve"> infecciones” (sección 3). Los antimicrobianos y la mefloquina, un antipalúdico (pero no la cloroquina) inhiben la proliferación de la cepa vacunal de </w:t>
      </w:r>
      <w:r>
        <w:rPr>
          <w:rFonts w:ascii="Times New Roman" w:eastAsia="Times New Roman" w:hAnsi="Times New Roman" w:cs="Times New Roman"/>
          <w:i/>
          <w:iCs/>
          <w:sz w:val="16"/>
          <w:szCs w:val="16"/>
        </w:rPr>
        <w:t>S. typhi</w:t>
      </w:r>
      <w:r>
        <w:rPr>
          <w:i/>
          <w:iCs/>
        </w:rPr>
        <w:t>;</w:t>
      </w:r>
      <w:r>
        <w:t xml:space="preserve"> por tal razón, la vacuna ingerible debe administrarse como mínimo 24 h antes o después de administrar cualquiera de los agentes mencionados. Es necesario refrigerar las cápsulas con la vacuna ingerible. Dicho producto biológico no es totalmente eficaz y por ello la vacunación contra tifoidea no sustituye a la selección cuidadosa de alimentos y bebidas higiénicos.</w:t>
      </w:r>
    </w:p>
    <w:p w14:paraId="02A11F6E" w14:textId="77777777" w:rsidR="0072615D" w:rsidRDefault="0072615D">
      <w:pPr>
        <w:pStyle w:val="BodyText"/>
        <w:ind w:firstLine="360"/>
      </w:pPr>
      <w:r>
        <w:t>Es importante plantear a los viajeros que se dirigen a zonas donde surgen a menudo epidemias, como los países subsaharianos y otros con epidemias actuales por meningococos, la aplicación de vacuna con el polisacárido meningocócico (grupos tetravalentes A, C, Y y W-135). Arabia Saudita exige un certificado de vacunación a todo peregrino que va a la Meca o Medina, sitios en que se ha notificado brotes con los serogrupos A y W-135 en viajeros que participan en la ceremonia Hajj. Es importante consultar la sección de viajes de la página Web de los CDC (</w:t>
      </w:r>
      <w:hyperlink r:id="rId260" w:history="1">
        <w:r>
          <w:t>www.cdc.gov/travel</w:t>
        </w:r>
      </w:hyperlink>
      <w:r>
        <w:t>). Al igual que en Estados Unidos, hay que plantear la posibilidad de aplicar también la vacuna mencionada a todos los universitarios de primer año que viajan a países extranjeros para entrenamiento profesional o los que viven en Estados Unidos y hacen uso de dormitorios (véase “Meningocócicas, infecciones”, sección 3).</w:t>
      </w:r>
    </w:p>
    <w:p w14:paraId="7A3F6EB0" w14:textId="77777777" w:rsidR="0072615D" w:rsidRDefault="0072615D">
      <w:pPr>
        <w:pStyle w:val="BodyText"/>
        <w:ind w:firstLine="360"/>
      </w:pPr>
      <w:r>
        <w:t>Habrá que plantear la posibilidad de vacunar contra la rabia a todo niño que viajará a zonas donde puede toparse con animales rabiosos (particularmente perros en países en desarrollo), o si participará en actividades que entrañan un mayor peligro de transmisión de la enfermedad (como la exploración de cavernas); ello adquiere importancia particular si no van a tener acceso inmediato a instituciones médicas apropiadas y a agentes biológicos antirrábicos. La serie de tres dosis antes de la exposición se aplica por inyección intramuscular (véase “Rabia”, sección 3). En caso de mordedura de un animal posiblemente rabioso, habrá que aconsejar a todos los viajeros (hayan recibido o no vacuna antirrábica antes de la exposición) que limpien perfectamente la herida con agua y jabón e inmediatamente se sometan a tratamiento posexposición que incluya dosis de refuerzo de la vacuna antirrábica.</w:t>
      </w:r>
    </w:p>
    <w:p w14:paraId="6E864AD3" w14:textId="77777777" w:rsidR="0072615D" w:rsidRDefault="0072615D">
      <w:pPr>
        <w:pStyle w:val="BodyText"/>
        <w:ind w:firstLine="360"/>
      </w:pPr>
      <w:r>
        <w:t xml:space="preserve">Un riesgo posible que surge en el sureste asiático, China, Rusia Oriental y el subcontinente indio es el ataque del virus de encefalitis japonesa, que es propagado por mosquitos </w:t>
      </w:r>
      <w:r>
        <w:rPr>
          <w:rFonts w:ascii="Times New Roman" w:eastAsia="Times New Roman" w:hAnsi="Times New Roman" w:cs="Times New Roman"/>
          <w:i/>
          <w:iCs/>
          <w:sz w:val="16"/>
          <w:szCs w:val="16"/>
        </w:rPr>
        <w:t>Culex</w:t>
      </w:r>
      <w:r>
        <w:t xml:space="preserve"> que pican del atardecer al amanecer. Hay que plantear la posibilidad de vacunación a viajeros que viven durante largo tiempo en zonas endémicas o epidémicas (en particular granjas rurales) durante la estación de transmisión y a viajeros que participarán en actividades de alto riesgo que entraña la exposición amplia a medios a cielo abierto como campamento, ciclismo y trabajos de campo, sea cual sea la duración del viaje. Los peligros geográficos y estacionales se exponen en el Libro Amarillo de los CDC. Dado que pueden surgir en alrededor del 0.5% de las personas que reciben la vacuna, reacciones inmediatas graves o alérgicas tardías a la vacuna de la encefalitis japonesa, hay que analizar con gran cuidado los posibles beneficios y peligros que conlleva. No se dispone de datos de la inocuidad de tal producto biológico ni de su eficacia en pequeños menores de un año de vida. El protocolo de vacunación señala la administración subcutánea de tres dosis en los días cero, siete y 30, serie que se completará cuando menos 10 días antes de viajar a un área endémica para así observar al paciente en busca de posibles reacciones alérgicas tardías. Si limitaciones cronológicas obligan a seguir un calendario abreviado, se puede aplicar la vacuna a los días cero, siete y 14 (véase “Arbovirus, infecciones”, sección 3).</w:t>
      </w:r>
    </w:p>
    <w:p w14:paraId="30F17F5B" w14:textId="77777777" w:rsidR="0072615D" w:rsidRDefault="0072615D">
      <w:pPr>
        <w:pStyle w:val="BodyText"/>
        <w:ind w:firstLine="360"/>
      </w:pPr>
      <w:r>
        <w:t>La vacunación contra la influenza puede estar justificada en personas que viajan al extranjero según su destino, duración del viaje, riesgo de contraer la enfermedad (en parte con base en la estación del año) y el estado de salud previo de cada viajero. La estación de ataque de la influenza es diferente en los hemisferios septentrional y meridional. Puede haber diferencia en las cepas epidémicas y por tal motivo la composición antigénica de las vacunas de virus de influenza inactivado que se utilizan en Estados Unidos pudieran ser distintas de las administradas en el hemisferio sur (véase “Influenza”, sección 3).</w:t>
      </w:r>
    </w:p>
    <w:p w14:paraId="3BAFA5E4" w14:textId="77777777" w:rsidR="0072615D" w:rsidRDefault="0072615D">
      <w:pPr>
        <w:pStyle w:val="BodyText"/>
        <w:spacing w:line="271" w:lineRule="auto"/>
        <w:ind w:firstLine="360"/>
      </w:pPr>
      <w:r>
        <w:t xml:space="preserve">El peligro de contagiarse con infección de tuberculosis latente </w:t>
      </w:r>
      <w:r>
        <w:rPr>
          <w:i/>
          <w:iCs/>
        </w:rPr>
        <w:t>(</w:t>
      </w:r>
      <w:r>
        <w:rPr>
          <w:rFonts w:ascii="Times New Roman" w:eastAsia="Times New Roman" w:hAnsi="Times New Roman" w:cs="Times New Roman"/>
          <w:i/>
          <w:iCs/>
          <w:sz w:val="16"/>
          <w:szCs w:val="16"/>
        </w:rPr>
        <w:t>latent tuberculosis infection</w:t>
      </w:r>
      <w:r>
        <w:rPr>
          <w:i/>
          <w:iCs/>
        </w:rPr>
        <w:t>,</w:t>
      </w:r>
      <w:r>
        <w:t xml:space="preserve"> LTBI) durante viajes internacionales depende de las actividades del viajero y de los aspectos epidemiológicos de la enfermedad en las zonas a las cuales se viajará. En términos generales, al parecer es reducido el peligro de contagiarse con LTBI durante las actividades turísticas usuales, y no se recomienda sistemáticamente someter antes o después del viaje a estudios en este sentido. Cuando los viajeros viven o trabajan entre la población general de un país con prevalencia alta de la enfermedad, el riesgo puede ser mucho mayor. En naciones con la máxima prevalencia no se investigan los contactos de la tuberculosis y no se cuenta con el tratamiento de LTBI. Dos estrategias son aceptables para los niños estadounidenses que estarán viviendo temporalmente en un país de prevalencia alta. La primera es practicar una prueba cutánea con tuberculina ocho a 12 semanas después de que vuelven del viaje; dicha estrategia se recomienda particularmente en niños que están seis meses o menos en el país con alta prevalencia. La segunda estrategia incluye aplicar al niño antes del viaje la vacuna BCG. A pesar de que en Estados Unidos se cuenta con una forma de dicha vacuna, son pocos los individuos a los que se la aplican. Muchos expertos sugieren que el niño debe ser vacunado con BCG inmediatamente después de llegar a un país de prevalencia alta. Esta estrategia pudiera ser la mejor en pequeños en que LTBI puede evolucionar rápidamente hasta que aparece la tuberculosis como enfermedad. Algunos países pueden exigir la vacuna BCG para conceder permisos de trabajo y residencia a trabajadores expatriados y su familia. Los niños que retornan a Estados Unidos pueden tener signos o síntomas compatibles con tuberculosis y deben ser valorados en busca de enfermedad activa.</w:t>
      </w:r>
    </w:p>
    <w:p w14:paraId="5C7C01E1"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Otras consideraciones.</w:t>
      </w:r>
      <w:r>
        <w:t xml:space="preserve"> Además de enfermedades evitables con vacunas, los viajeros que visitan países tropicales se expondrán a otras enfermedades, como paludismo, que pueden ser letales. Las estrategias de prevención en estos casos son dobles: impedir las picaduras de mosquitos y emprender la quimioprofilaxia antipalúdica. Véase el resumen de “Paludismo”, sección 3, para conocer las recomendaciones del uso adecuado de quimioprofilácticos, que incluyen consejos para embarazadas, lactantes y mujeres que amamantan a su hijo.</w:t>
      </w:r>
    </w:p>
    <w:p w14:paraId="1C60FDB7" w14:textId="77777777" w:rsidR="0072615D" w:rsidRDefault="0072615D">
      <w:pPr>
        <w:pStyle w:val="BodyText"/>
        <w:ind w:firstLine="360"/>
      </w:pPr>
      <w:r>
        <w:t>La prevención de las picaduras de mosquito hará que disminuya el peligro de contraer paludismo, dengue y otras enfermedades transmitidas por dichos insectos.</w:t>
      </w:r>
    </w:p>
    <w:p w14:paraId="4FF21B50" w14:textId="77777777" w:rsidR="0072615D" w:rsidRDefault="0072615D">
      <w:pPr>
        <w:pStyle w:val="BodyText"/>
        <w:ind w:firstLine="0"/>
      </w:pPr>
      <w:r>
        <w:t>Pueden ser muy eficaces las medidas adecuadas de protección personal, en particular durante el periodo de picaduras que va del atardecer al amanecer. Las medidas en cuestión incluyen usar camisas o blusas de algodón de manga larga y pantalones largos; aplicar un repelente de insectos como la dietiltoluamida (DEET) a la piel al descubierto y utilizar mosquiteros de malla de alambre en ventanas y lechos. La concentración de DEET en los repelentes no debe exceder de 20 a 30% y habrá que aplicarlos con parquedad, sólo a zonas expuestas de la piel alejadas de áreas de piel y mucosas irritadas, y se lavará cuando el niño esté bajo techo. Pueden aplicarse a ropas personales y mosquiteros nebulizaciones contra insectos y otros tipos de sustancias que contengan la permetrina, insecticida de acción residual.</w:t>
      </w:r>
    </w:p>
    <w:p w14:paraId="160EB0FE" w14:textId="77777777" w:rsidR="0072615D" w:rsidRDefault="0072615D">
      <w:pPr>
        <w:pStyle w:val="BodyText"/>
        <w:ind w:firstLine="360"/>
        <w:sectPr w:rsidR="0072615D" w:rsidSect="0072615D">
          <w:headerReference w:type="even" r:id="rId261"/>
          <w:headerReference w:type="default" r:id="rId262"/>
          <w:footerReference w:type="even" r:id="rId263"/>
          <w:footerReference w:type="default" r:id="rId264"/>
          <w:footnotePr>
            <w:numFmt w:val="chicago"/>
          </w:footnotePr>
          <w:pgSz w:w="8501" w:h="13022"/>
          <w:pgMar w:top="691" w:right="741" w:bottom="475" w:left="837" w:header="0" w:footer="3" w:gutter="0"/>
          <w:pgNumType w:start="136"/>
          <w:cols w:space="720"/>
          <w:noEndnote/>
          <w:docGrid w:linePitch="360"/>
          <w15:footnoteColumns w:val="1"/>
        </w:sectPr>
      </w:pPr>
      <w:r>
        <w:t xml:space="preserve">La diarrea de los viajeros es un problema grave que puede ser aplacado si se presta atención meticulosa a los alimentos y las bebidas ingeridos y también si se da el tratamiento adecuado a las fuentes hídricas sospechosas porque el agua y los alimentos contaminados transmiten bacterias, virus y parásitos intestinales. Por lo común no se recomienda la quimioprofilaxia, pero es importante orientar y enseñar a la familia el tratamiento hogareño, en particular la rehidratación oral. Durante viajes internacionales, a veces las familias buscan llevar un agente antimotilidad y otro agente antimicrobiano para tratar a un niño de mayor edad o un adolescente (véase </w:t>
      </w:r>
      <w:r>
        <w:rPr>
          <w:rFonts w:ascii="Times New Roman" w:eastAsia="Times New Roman" w:hAnsi="Times New Roman" w:cs="Times New Roman"/>
          <w:i/>
          <w:iCs/>
          <w:sz w:val="16"/>
          <w:szCs w:val="16"/>
        </w:rPr>
        <w:t>“Escherichia coli</w:t>
      </w:r>
      <w:r>
        <w:rPr>
          <w:i/>
          <w:iCs/>
        </w:rPr>
        <w:t>,</w:t>
      </w:r>
      <w:r>
        <w:t xml:space="preserve"> diarrea”, sección 3).</w:t>
      </w:r>
    </w:p>
    <w:p w14:paraId="4CA8CD73" w14:textId="77777777" w:rsidR="0072615D" w:rsidRDefault="0072615D">
      <w:pPr>
        <w:pStyle w:val="Other0"/>
        <w:pBdr>
          <w:bottom w:val="single" w:sz="4" w:space="0" w:color="auto"/>
        </w:pBdr>
        <w:spacing w:after="720" w:line="240" w:lineRule="auto"/>
        <w:ind w:firstLine="0"/>
        <w:rPr>
          <w:sz w:val="20"/>
          <w:szCs w:val="20"/>
        </w:rPr>
      </w:pPr>
      <w:r>
        <w:rPr>
          <w:rFonts w:ascii="Book Antiqua" w:eastAsia="Book Antiqua" w:hAnsi="Book Antiqua" w:cs="Book Antiqua"/>
          <w:smallCaps/>
          <w:sz w:val="22"/>
          <w:szCs w:val="22"/>
        </w:rPr>
        <w:t>Sección</w:t>
      </w:r>
      <w:r>
        <w:rPr>
          <w:rFonts w:ascii="Times New Roman" w:eastAsia="Times New Roman" w:hAnsi="Times New Roman" w:cs="Times New Roman"/>
          <w:sz w:val="20"/>
          <w:szCs w:val="20"/>
        </w:rPr>
        <w:t xml:space="preserve"> 2</w:t>
      </w:r>
    </w:p>
    <w:p w14:paraId="02DE9211" w14:textId="77777777" w:rsidR="0072615D" w:rsidRDefault="0072615D">
      <w:pPr>
        <w:pStyle w:val="Heading11"/>
        <w:keepNext/>
        <w:keepLines/>
        <w:spacing w:after="560" w:line="209" w:lineRule="auto"/>
      </w:pPr>
      <w:bookmarkStart w:id="349" w:name="bookmark349"/>
      <w:bookmarkStart w:id="350" w:name="bookmark350"/>
      <w:bookmarkStart w:id="351" w:name="bookmark351"/>
      <w:r>
        <w:t>Recomendaciones para la atención</w:t>
      </w:r>
      <w:r>
        <w:br/>
        <w:t>de niños en circunstancias</w:t>
      </w:r>
      <w:r>
        <w:br/>
        <w:t>especiales</w:t>
      </w:r>
      <w:bookmarkEnd w:id="349"/>
      <w:bookmarkEnd w:id="350"/>
      <w:bookmarkEnd w:id="351"/>
    </w:p>
    <w:p w14:paraId="2F964F1F" w14:textId="77777777" w:rsidR="0072615D" w:rsidRDefault="0072615D">
      <w:pPr>
        <w:pStyle w:val="Bodytext100"/>
        <w:spacing w:after="220"/>
      </w:pPr>
      <w:r>
        <w:rPr>
          <w:sz w:val="34"/>
          <w:szCs w:val="34"/>
        </w:rPr>
        <w:t>T</w:t>
      </w:r>
      <w:r>
        <w:t>errorismo biológico</w:t>
      </w:r>
    </w:p>
    <w:p w14:paraId="346633E7" w14:textId="77777777" w:rsidR="0072615D" w:rsidRDefault="0072615D">
      <w:pPr>
        <w:pStyle w:val="BodyText"/>
        <w:ind w:firstLine="0"/>
        <w:sectPr w:rsidR="0072615D" w:rsidSect="0072615D">
          <w:headerReference w:type="even" r:id="rId265"/>
          <w:headerReference w:type="default" r:id="rId266"/>
          <w:footerReference w:type="even" r:id="rId267"/>
          <w:footerReference w:type="default" r:id="rId268"/>
          <w:footnotePr>
            <w:numFmt w:val="chicago"/>
          </w:footnotePr>
          <w:pgSz w:w="8501" w:h="13022"/>
          <w:pgMar w:top="624" w:right="504" w:bottom="347" w:left="1128" w:header="196" w:footer="3" w:gutter="0"/>
          <w:cols w:space="720"/>
          <w:noEndnote/>
          <w:docGrid w:linePitch="360"/>
          <w15:footnoteColumns w:val="1"/>
        </w:sectPr>
      </w:pPr>
      <w:r>
        <w:t xml:space="preserve">Existe la posibilidad de que algunos agentes infecciosos sean usados en actos de bioterrorismo. En Estados Unidos, los </w:t>
      </w:r>
      <w:r>
        <w:rPr>
          <w:rFonts w:ascii="Times New Roman" w:eastAsia="Times New Roman" w:hAnsi="Times New Roman" w:cs="Times New Roman"/>
          <w:i/>
          <w:iCs/>
          <w:sz w:val="16"/>
          <w:szCs w:val="16"/>
        </w:rPr>
        <w:t>Centers for Disease Control and Prevention</w:t>
      </w:r>
      <w:r>
        <w:t xml:space="preserve"> (CDC) han clasificado a tres categorías de agentes biológicos con base en su capacidad de servir de herramientas o armas de terrorismo.</w:t>
      </w:r>
      <w:r>
        <w:footnoteReference w:id="33"/>
      </w:r>
      <w:r>
        <w:t xml:space="preserve"> Dentro de la categoría A están agentes de la máxima prioridad porque pueden ser diseminados o transmitidos fácilmente de persona a persona, originar cifras altas de muerte con la posibilidad de ejercer importantes efectos en la salud pública, causar pánico y perturbaciones sociales y exigir acción especial para contar con preparativos que protejan la salud pública. Los agentes de la categoría comentada incluyen: los que causan carbunco, viruela, peste, tularemia, botulismo y fiebres hemorrágicas víricas, como las causadas por las partículas Ebola, Marbug, Lassa y otras. En el caso de los agentes de la categoría B, su diseminación es moderadamente fácil, originan cifras de morbilidad moderadas y mortalidad bajas, y en ellas se necesita una mayor capacidad diagnóstica y vigilancia clínica. Los agentes en cuestión incluyen </w:t>
      </w:r>
      <w:r>
        <w:rPr>
          <w:rFonts w:ascii="Times New Roman" w:eastAsia="Times New Roman" w:hAnsi="Times New Roman" w:cs="Times New Roman"/>
          <w:i/>
          <w:iCs/>
          <w:sz w:val="16"/>
          <w:szCs w:val="16"/>
        </w:rPr>
        <w:t>Coxiella burnetti</w:t>
      </w:r>
      <w:r>
        <w:t xml:space="preserve"> (fiebre Q), especies de </w:t>
      </w:r>
      <w:r>
        <w:rPr>
          <w:rFonts w:ascii="Times New Roman" w:eastAsia="Times New Roman" w:hAnsi="Times New Roman" w:cs="Times New Roman"/>
          <w:i/>
          <w:iCs/>
          <w:sz w:val="16"/>
          <w:szCs w:val="16"/>
        </w:rPr>
        <w:t>Brucella</w:t>
      </w:r>
      <w:r>
        <w:t xml:space="preserve"> (brucelosis), </w:t>
      </w:r>
      <w:r>
        <w:rPr>
          <w:rFonts w:ascii="Times New Roman" w:eastAsia="Times New Roman" w:hAnsi="Times New Roman" w:cs="Times New Roman"/>
          <w:i/>
          <w:iCs/>
          <w:sz w:val="16"/>
          <w:szCs w:val="16"/>
        </w:rPr>
        <w:t>Burkholderia mallei</w:t>
      </w:r>
      <w:r>
        <w:t xml:space="preserve"> (maliasmo; muermo), virus alfa (encefalomielitis equina venezolanas y de las zonas oriental y occidental de Estados Unidos); toxina de </w:t>
      </w:r>
      <w:r>
        <w:rPr>
          <w:rFonts w:ascii="Times New Roman" w:eastAsia="Times New Roman" w:hAnsi="Times New Roman" w:cs="Times New Roman"/>
          <w:i/>
          <w:iCs/>
          <w:sz w:val="16"/>
          <w:szCs w:val="16"/>
        </w:rPr>
        <w:t xml:space="preserve">Ricinus communis </w:t>
      </w:r>
      <w:r>
        <w:t xml:space="preserve">(ricino), toxina épsilon de </w:t>
      </w:r>
      <w:r>
        <w:rPr>
          <w:rFonts w:ascii="Times New Roman" w:eastAsia="Times New Roman" w:hAnsi="Times New Roman" w:cs="Times New Roman"/>
          <w:i/>
          <w:iCs/>
          <w:sz w:val="16"/>
          <w:szCs w:val="16"/>
        </w:rPr>
        <w:t>Clostridiumperfringens</w:t>
      </w:r>
      <w:r>
        <w:t xml:space="preserve"> y la enterotoxina B de </w:t>
      </w:r>
      <w:r>
        <w:rPr>
          <w:rFonts w:ascii="Times New Roman" w:eastAsia="Times New Roman" w:hAnsi="Times New Roman" w:cs="Times New Roman"/>
          <w:i/>
          <w:iCs/>
          <w:sz w:val="16"/>
          <w:szCs w:val="16"/>
        </w:rPr>
        <w:t>Staphylococcus</w:t>
      </w:r>
      <w:r>
        <w:rPr>
          <w:i/>
          <w:iCs/>
        </w:rPr>
        <w:t xml:space="preserve">. </w:t>
      </w:r>
      <w:r>
        <w:t xml:space="preserve">otros agentes de la categoría anterior que son transportados por alimentos o agua incluyen (pero no exclusivamente) especies de </w:t>
      </w:r>
      <w:r>
        <w:rPr>
          <w:rFonts w:ascii="Times New Roman" w:eastAsia="Times New Roman" w:hAnsi="Times New Roman" w:cs="Times New Roman"/>
          <w:i/>
          <w:iCs/>
          <w:sz w:val="16"/>
          <w:szCs w:val="16"/>
        </w:rPr>
        <w:t>Salmonella</w:t>
      </w:r>
      <w:r>
        <w:t xml:space="preserve">, </w:t>
      </w:r>
      <w:r>
        <w:rPr>
          <w:rFonts w:ascii="Times New Roman" w:eastAsia="Times New Roman" w:hAnsi="Times New Roman" w:cs="Times New Roman"/>
          <w:i/>
          <w:iCs/>
          <w:sz w:val="16"/>
          <w:szCs w:val="16"/>
        </w:rPr>
        <w:t>Shigella dysenteriae</w:t>
      </w:r>
      <w:r>
        <w:t xml:space="preserve">, </w:t>
      </w:r>
      <w:r>
        <w:rPr>
          <w:rFonts w:ascii="Times New Roman" w:eastAsia="Times New Roman" w:hAnsi="Times New Roman" w:cs="Times New Roman"/>
          <w:i/>
          <w:iCs/>
          <w:sz w:val="16"/>
          <w:szCs w:val="16"/>
        </w:rPr>
        <w:t>Escherichia coli</w:t>
      </w:r>
      <w:r>
        <w:t xml:space="preserve"> O157:H7, </w:t>
      </w:r>
      <w:r>
        <w:rPr>
          <w:rFonts w:ascii="Times New Roman" w:eastAsia="Times New Roman" w:hAnsi="Times New Roman" w:cs="Times New Roman"/>
          <w:i/>
          <w:iCs/>
          <w:sz w:val="16"/>
          <w:szCs w:val="16"/>
        </w:rPr>
        <w:t>Vibrio cholerae</w:t>
      </w:r>
      <w:r>
        <w:t xml:space="preserve"> y </w:t>
      </w:r>
      <w:r>
        <w:rPr>
          <w:rFonts w:ascii="Times New Roman" w:eastAsia="Times New Roman" w:hAnsi="Times New Roman" w:cs="Times New Roman"/>
          <w:i/>
          <w:iCs/>
          <w:sz w:val="16"/>
          <w:szCs w:val="16"/>
        </w:rPr>
        <w:t>Cryptosporidium parvum</w:t>
      </w:r>
      <w:r>
        <w:rPr>
          <w:i/>
          <w:iCs/>
        </w:rPr>
        <w:t>.</w:t>
      </w:r>
      <w:r>
        <w:t xml:space="preserve"> Los agentes de la categoría c incluyen nuevos patógenos que pueden ser preparados por biotecnología para la diseminación masiva futura por su disponibilidad, facilidad de producción y diseminación y la capacidad que tienen de ocasionar enorme morbilidad y mortalidad, así como graves efectos en la salud; incluyen virus Nipah y Hanta, virus de fiebres hemorrágicas y encefalitis, ambas transmitidas por garrapatas, virus de la fiebre amarilla y </w:t>
      </w:r>
      <w:r>
        <w:rPr>
          <w:rFonts w:ascii="Times New Roman" w:eastAsia="Times New Roman" w:hAnsi="Times New Roman" w:cs="Times New Roman"/>
          <w:i/>
          <w:iCs/>
          <w:sz w:val="16"/>
          <w:szCs w:val="16"/>
        </w:rPr>
        <w:t>Mycobacterium tuberculosis</w:t>
      </w:r>
      <w:r>
        <w:t xml:space="preserve"> multirresistentes. Se ha elaborado una clasificación de muertes y daños vinculados con el terrorismo?</w:t>
      </w:r>
    </w:p>
    <w:p w14:paraId="4FE1F504" w14:textId="77777777" w:rsidR="0072615D" w:rsidRDefault="0072615D">
      <w:pPr>
        <w:pStyle w:val="Heading31"/>
        <w:keepNext/>
        <w:keepLines/>
        <w:framePr w:w="10646" w:h="322" w:wrap="none" w:hAnchor="page" w:x="1028" w:y="1"/>
      </w:pPr>
      <w:bookmarkStart w:id="352" w:name="bookmark352"/>
      <w:bookmarkStart w:id="353" w:name="bookmark353"/>
      <w:bookmarkStart w:id="354" w:name="bookmark354"/>
      <w:r>
        <w:rPr>
          <w:b w:val="0"/>
          <w:bCs w:val="0"/>
        </w:rPr>
        <w:t xml:space="preserve">Cuadro 2 - 1. </w:t>
      </w:r>
      <w:r>
        <w:t>Manifestaciones clínicas tempranas y más notables después de exposición a agentes de bioterrorismo</w:t>
      </w:r>
      <w:r>
        <w:rPr>
          <w:vertAlign w:val="superscript"/>
        </w:rPr>
        <w:t>1</w:t>
      </w:r>
      <w:bookmarkEnd w:id="352"/>
      <w:bookmarkEnd w:id="353"/>
      <w:bookmarkEnd w:id="354"/>
    </w:p>
    <w:p w14:paraId="2A817AF6" w14:textId="77777777" w:rsidR="0072615D" w:rsidRDefault="0072615D">
      <w:pPr>
        <w:pStyle w:val="Heading41"/>
        <w:keepNext/>
        <w:keepLines/>
        <w:framePr w:w="6389" w:h="298" w:wrap="none" w:hAnchor="page" w:x="673" w:y="347"/>
        <w:pBdr>
          <w:top w:val="single" w:sz="0" w:space="0" w:color="231F20"/>
          <w:left w:val="single" w:sz="0" w:space="0" w:color="231F20"/>
          <w:bottom w:val="single" w:sz="0" w:space="0" w:color="231F20"/>
          <w:right w:val="single" w:sz="0" w:space="0" w:color="231F20"/>
        </w:pBdr>
        <w:shd w:val="clear" w:color="auto" w:fill="231F20"/>
        <w:tabs>
          <w:tab w:val="left" w:pos="4411"/>
        </w:tabs>
      </w:pPr>
      <w:bookmarkStart w:id="355" w:name="bookmark355"/>
      <w:bookmarkStart w:id="356" w:name="bookmark356"/>
      <w:bookmarkStart w:id="357" w:name="bookmark357"/>
      <w:r>
        <w:rPr>
          <w:color w:val="FFFFFF"/>
        </w:rPr>
        <w:t>Manifestaciones clínicas</w:t>
      </w:r>
      <w:r>
        <w:rPr>
          <w:rFonts w:ascii="Times New Roman" w:eastAsia="Times New Roman" w:hAnsi="Times New Roman" w:cs="Times New Roman"/>
          <w:b w:val="0"/>
          <w:bCs w:val="0"/>
          <w:color w:val="FFFFFF"/>
          <w:w w:val="100"/>
          <w:sz w:val="8"/>
          <w:szCs w:val="8"/>
          <w:vertAlign w:val="superscript"/>
        </w:rPr>
        <w:t>2</w:t>
      </w:r>
      <w:r>
        <w:rPr>
          <w:rFonts w:ascii="Times New Roman" w:eastAsia="Times New Roman" w:hAnsi="Times New Roman" w:cs="Times New Roman"/>
          <w:b w:val="0"/>
          <w:bCs w:val="0"/>
          <w:color w:val="FFFFFF"/>
          <w:w w:val="100"/>
          <w:sz w:val="8"/>
          <w:szCs w:val="8"/>
        </w:rPr>
        <w:tab/>
      </w:r>
      <w:r>
        <w:rPr>
          <w:color w:val="FFFFFF"/>
        </w:rPr>
        <w:t>Agentes/enfermedades</w:t>
      </w:r>
      <w:bookmarkEnd w:id="355"/>
      <w:bookmarkEnd w:id="356"/>
      <w:bookmarkEnd w:id="357"/>
    </w:p>
    <w:p w14:paraId="44570768" w14:textId="77777777" w:rsidR="0072615D" w:rsidRDefault="0072615D">
      <w:pPr>
        <w:pStyle w:val="Bodytext20"/>
        <w:framePr w:w="11309" w:h="1325" w:wrap="none" w:hAnchor="page" w:x="678" w:y="707"/>
        <w:spacing w:line="266" w:lineRule="auto"/>
        <w:rPr>
          <w:sz w:val="17"/>
          <w:szCs w:val="17"/>
        </w:rPr>
      </w:pPr>
      <w:r>
        <w:rPr>
          <w:b/>
          <w:bCs/>
          <w:i/>
          <w:iCs/>
          <w:sz w:val="17"/>
          <w:szCs w:val="17"/>
        </w:rPr>
        <w:t>Vías respiratorias</w:t>
      </w:r>
    </w:p>
    <w:p w14:paraId="59C40B07" w14:textId="77777777" w:rsidR="0072615D" w:rsidRDefault="0072615D">
      <w:pPr>
        <w:pStyle w:val="Bodytext20"/>
        <w:framePr w:w="11309" w:h="1325" w:wrap="none" w:hAnchor="page" w:x="678" w:y="707"/>
        <w:ind w:left="4600" w:hanging="4600"/>
      </w:pPr>
      <w:r>
        <w:t>Un cuadro similar al de influencia +/- neumonía atipica Tularemia, brucelosis, fiebre Q, trastornos por virus alfa (encefalomielitis equina venezolana, y de las regiones oriental y occidental de Estados Unidos)</w:t>
      </w:r>
    </w:p>
    <w:p w14:paraId="50E7FB1C" w14:textId="77777777" w:rsidR="0072615D" w:rsidRDefault="0072615D">
      <w:pPr>
        <w:pStyle w:val="Bodytext20"/>
        <w:framePr w:w="11309" w:h="1325" w:wrap="none" w:hAnchor="page" w:x="678" w:y="707"/>
        <w:ind w:left="4600" w:hanging="4600"/>
      </w:pPr>
      <w:r>
        <w:t xml:space="preserve">Enfermedad similar a influenza con tos y síndrome apneico Carbunco por inhalación, plaga neumónica, tularemia por inhalación, ricino, exposición en aerosol a la enterotoxina </w:t>
      </w:r>
      <w:r>
        <w:rPr>
          <w:i/>
          <w:iCs/>
        </w:rPr>
        <w:t>B Staphylococcus</w:t>
      </w:r>
      <w:r>
        <w:rPr>
          <w:i/>
          <w:iCs/>
          <w:sz w:val="15"/>
          <w:szCs w:val="15"/>
        </w:rPr>
        <w:t>,</w:t>
      </w:r>
      <w:r>
        <w:t xml:space="preserve"> virus Hanta</w:t>
      </w:r>
    </w:p>
    <w:p w14:paraId="6E994CC4" w14:textId="77777777" w:rsidR="0072615D" w:rsidRDefault="0072615D">
      <w:pPr>
        <w:pStyle w:val="Bodytext20"/>
        <w:framePr w:w="11309" w:h="1325" w:wrap="none" w:hAnchor="page" w:x="678" w:y="707"/>
        <w:tabs>
          <w:tab w:val="left" w:pos="4469"/>
        </w:tabs>
      </w:pPr>
      <w:r>
        <w:t>Faringitis exudativa y linfadenopatía cervical</w:t>
      </w:r>
      <w:r>
        <w:tab/>
        <w:t>Tularemia bucofaríngea</w:t>
      </w:r>
    </w:p>
    <w:tbl>
      <w:tblPr>
        <w:tblOverlap w:val="never"/>
        <w:tblW w:w="0" w:type="auto"/>
        <w:tblLayout w:type="fixed"/>
        <w:tblCellMar>
          <w:left w:w="10" w:type="dxa"/>
          <w:right w:w="10" w:type="dxa"/>
        </w:tblCellMar>
        <w:tblLook w:val="04A0" w:firstRow="1" w:lastRow="0" w:firstColumn="1" w:lastColumn="0" w:noHBand="0" w:noVBand="1"/>
      </w:tblPr>
      <w:tblGrid>
        <w:gridCol w:w="4411"/>
        <w:gridCol w:w="7008"/>
      </w:tblGrid>
      <w:tr w:rsidR="0072615D" w14:paraId="3D95964A" w14:textId="77777777">
        <w:tblPrEx>
          <w:tblCellMar>
            <w:top w:w="0" w:type="dxa"/>
            <w:bottom w:w="0" w:type="dxa"/>
          </w:tblCellMar>
        </w:tblPrEx>
        <w:trPr>
          <w:trHeight w:hRule="exact" w:val="1426"/>
        </w:trPr>
        <w:tc>
          <w:tcPr>
            <w:tcW w:w="4411" w:type="dxa"/>
            <w:shd w:val="clear" w:color="auto" w:fill="FFFFFF"/>
          </w:tcPr>
          <w:p w14:paraId="0A22F51D" w14:textId="77777777" w:rsidR="0072615D" w:rsidRDefault="0072615D">
            <w:pPr>
              <w:pStyle w:val="Other0"/>
              <w:framePr w:w="11419" w:h="4891" w:wrap="none" w:hAnchor="page" w:x="659" w:y="2219"/>
              <w:spacing w:line="266" w:lineRule="auto"/>
              <w:ind w:firstLine="0"/>
              <w:rPr>
                <w:sz w:val="17"/>
                <w:szCs w:val="17"/>
              </w:rPr>
            </w:pPr>
            <w:r>
              <w:rPr>
                <w:rFonts w:ascii="Times New Roman" w:eastAsia="Times New Roman" w:hAnsi="Times New Roman" w:cs="Times New Roman"/>
                <w:b/>
                <w:bCs/>
                <w:i/>
                <w:iCs/>
                <w:sz w:val="17"/>
                <w:szCs w:val="17"/>
              </w:rPr>
              <w:t>Piel</w:t>
            </w:r>
          </w:p>
          <w:p w14:paraId="7A222163" w14:textId="77777777" w:rsidR="0072615D" w:rsidRDefault="0072615D">
            <w:pPr>
              <w:pStyle w:val="Other0"/>
              <w:framePr w:w="11419" w:h="4891" w:wrap="none" w:hAnchor="page" w:x="659" w:y="2219"/>
              <w:spacing w:line="283" w:lineRule="auto"/>
              <w:ind w:firstLine="0"/>
              <w:rPr>
                <w:sz w:val="16"/>
                <w:szCs w:val="16"/>
              </w:rPr>
            </w:pPr>
            <w:r>
              <w:rPr>
                <w:rFonts w:ascii="Times New Roman" w:eastAsia="Times New Roman" w:hAnsi="Times New Roman" w:cs="Times New Roman"/>
                <w:sz w:val="16"/>
                <w:szCs w:val="16"/>
              </w:rPr>
              <w:t>Vesículas</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que se acompañan de fiebre, cefalea y malestar general Úlceras indoloras que evolucionan a una escara negra Úlceras y además linfadenopatía regional dolorosa y un cuadro similar al de influenza</w:t>
            </w:r>
          </w:p>
          <w:p w14:paraId="0A67DA97" w14:textId="77777777" w:rsidR="0072615D" w:rsidRDefault="0072615D">
            <w:pPr>
              <w:pStyle w:val="Other0"/>
              <w:framePr w:w="11419" w:h="4891" w:wrap="none" w:hAnchor="page" w:x="659" w:y="2219"/>
              <w:spacing w:line="283" w:lineRule="auto"/>
              <w:ind w:firstLine="0"/>
              <w:rPr>
                <w:sz w:val="16"/>
                <w:szCs w:val="16"/>
              </w:rPr>
            </w:pPr>
            <w:r>
              <w:rPr>
                <w:rFonts w:ascii="Times New Roman" w:eastAsia="Times New Roman" w:hAnsi="Times New Roman" w:cs="Times New Roman"/>
                <w:sz w:val="16"/>
                <w:szCs w:val="16"/>
              </w:rPr>
              <w:t>Petequias</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con fiebre, mialgia, postración</w:t>
            </w:r>
          </w:p>
        </w:tc>
        <w:tc>
          <w:tcPr>
            <w:tcW w:w="7008" w:type="dxa"/>
            <w:shd w:val="clear" w:color="auto" w:fill="FFFFFF"/>
            <w:vAlign w:val="center"/>
          </w:tcPr>
          <w:p w14:paraId="4D397DA4"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Viruela</w:t>
            </w:r>
          </w:p>
          <w:p w14:paraId="3195CB8E"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Carbunco cutáneo</w:t>
            </w:r>
          </w:p>
          <w:p w14:paraId="5AAECB4B" w14:textId="77777777" w:rsidR="0072615D" w:rsidRDefault="0072615D">
            <w:pPr>
              <w:pStyle w:val="Other0"/>
              <w:framePr w:w="11419" w:h="4891" w:wrap="none" w:hAnchor="page" w:x="659" w:y="2219"/>
              <w:spacing w:after="220" w:line="240" w:lineRule="auto"/>
              <w:ind w:firstLine="0"/>
              <w:jc w:val="both"/>
              <w:rPr>
                <w:sz w:val="16"/>
                <w:szCs w:val="16"/>
              </w:rPr>
            </w:pPr>
            <w:r>
              <w:rPr>
                <w:rFonts w:ascii="Times New Roman" w:eastAsia="Times New Roman" w:hAnsi="Times New Roman" w:cs="Times New Roman"/>
                <w:sz w:val="16"/>
                <w:szCs w:val="16"/>
              </w:rPr>
              <w:t>Tularemia ulceroglandular</w:t>
            </w:r>
          </w:p>
          <w:p w14:paraId="7EB9EBBC" w14:textId="77777777" w:rsidR="0072615D" w:rsidRDefault="0072615D">
            <w:pPr>
              <w:pStyle w:val="Other0"/>
              <w:framePr w:w="11419" w:h="4891" w:wrap="none" w:hAnchor="page" w:x="659" w:y="2219"/>
              <w:spacing w:after="120" w:line="240" w:lineRule="auto"/>
              <w:ind w:firstLine="0"/>
              <w:jc w:val="both"/>
              <w:rPr>
                <w:sz w:val="16"/>
                <w:szCs w:val="16"/>
              </w:rPr>
            </w:pPr>
            <w:r>
              <w:rPr>
                <w:rFonts w:ascii="Times New Roman" w:eastAsia="Times New Roman" w:hAnsi="Times New Roman" w:cs="Times New Roman"/>
                <w:sz w:val="16"/>
                <w:szCs w:val="16"/>
              </w:rPr>
              <w:t>Fiebre hemorrágica vírica</w:t>
            </w:r>
          </w:p>
        </w:tc>
      </w:tr>
      <w:tr w:rsidR="0072615D" w14:paraId="0051278A" w14:textId="77777777">
        <w:tblPrEx>
          <w:tblCellMar>
            <w:top w:w="0" w:type="dxa"/>
            <w:bottom w:w="0" w:type="dxa"/>
          </w:tblCellMar>
        </w:tblPrEx>
        <w:trPr>
          <w:trHeight w:hRule="exact" w:val="653"/>
        </w:trPr>
        <w:tc>
          <w:tcPr>
            <w:tcW w:w="4411" w:type="dxa"/>
            <w:shd w:val="clear" w:color="auto" w:fill="FFFFFF"/>
            <w:vAlign w:val="center"/>
          </w:tcPr>
          <w:p w14:paraId="2EB36CA0" w14:textId="77777777" w:rsidR="0072615D" w:rsidRDefault="0072615D">
            <w:pPr>
              <w:pStyle w:val="Other0"/>
              <w:framePr w:w="11419" w:h="4891" w:wrap="none" w:hAnchor="page" w:x="659" w:y="2219"/>
              <w:spacing w:line="240" w:lineRule="auto"/>
              <w:ind w:firstLine="0"/>
              <w:rPr>
                <w:sz w:val="17"/>
                <w:szCs w:val="17"/>
              </w:rPr>
            </w:pPr>
            <w:r>
              <w:rPr>
                <w:rFonts w:ascii="Times New Roman" w:eastAsia="Times New Roman" w:hAnsi="Times New Roman" w:cs="Times New Roman"/>
                <w:b/>
                <w:bCs/>
                <w:i/>
                <w:iCs/>
                <w:sz w:val="17"/>
                <w:szCs w:val="17"/>
              </w:rPr>
              <w:t>Aparato cardiovascular</w:t>
            </w:r>
          </w:p>
          <w:p w14:paraId="345B0480"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Choque después de un cuadro apneico agudo</w:t>
            </w:r>
          </w:p>
        </w:tc>
        <w:tc>
          <w:tcPr>
            <w:tcW w:w="7008" w:type="dxa"/>
            <w:shd w:val="clear" w:color="auto" w:fill="FFFFFF"/>
            <w:vAlign w:val="bottom"/>
          </w:tcPr>
          <w:p w14:paraId="22C87C31" w14:textId="77777777" w:rsidR="0072615D" w:rsidRDefault="0072615D">
            <w:pPr>
              <w:pStyle w:val="Other0"/>
              <w:framePr w:w="11419" w:h="4891" w:wrap="none" w:hAnchor="page" w:x="659" w:y="2219"/>
              <w:spacing w:line="240" w:lineRule="auto"/>
              <w:ind w:firstLine="0"/>
              <w:jc w:val="both"/>
              <w:rPr>
                <w:sz w:val="16"/>
                <w:szCs w:val="16"/>
              </w:rPr>
            </w:pPr>
            <w:r>
              <w:rPr>
                <w:rFonts w:ascii="Times New Roman" w:eastAsia="Times New Roman" w:hAnsi="Times New Roman" w:cs="Times New Roman"/>
                <w:sz w:val="16"/>
                <w:szCs w:val="16"/>
              </w:rPr>
              <w:t>Carbunco por inhalación, ricino y fiebre hemorrágica vírica</w:t>
            </w:r>
          </w:p>
        </w:tc>
      </w:tr>
      <w:tr w:rsidR="0072615D" w14:paraId="105E1218" w14:textId="77777777">
        <w:tblPrEx>
          <w:tblCellMar>
            <w:top w:w="0" w:type="dxa"/>
            <w:bottom w:w="0" w:type="dxa"/>
          </w:tblCellMar>
        </w:tblPrEx>
        <w:trPr>
          <w:trHeight w:hRule="exact" w:val="1070"/>
        </w:trPr>
        <w:tc>
          <w:tcPr>
            <w:tcW w:w="4411" w:type="dxa"/>
            <w:shd w:val="clear" w:color="auto" w:fill="FFFFFF"/>
          </w:tcPr>
          <w:p w14:paraId="44669467" w14:textId="77777777" w:rsidR="0072615D" w:rsidRDefault="0072615D">
            <w:pPr>
              <w:pStyle w:val="Other0"/>
              <w:framePr w:w="11419" w:h="4891" w:wrap="none" w:hAnchor="page" w:x="659" w:y="2219"/>
              <w:spacing w:before="80" w:line="240" w:lineRule="auto"/>
              <w:ind w:firstLine="0"/>
              <w:rPr>
                <w:sz w:val="17"/>
                <w:szCs w:val="17"/>
              </w:rPr>
            </w:pPr>
            <w:r>
              <w:rPr>
                <w:rFonts w:ascii="Times New Roman" w:eastAsia="Times New Roman" w:hAnsi="Times New Roman" w:cs="Times New Roman"/>
                <w:b/>
                <w:bCs/>
                <w:i/>
                <w:iCs/>
                <w:sz w:val="17"/>
                <w:szCs w:val="17"/>
              </w:rPr>
              <w:t>Sangre</w:t>
            </w:r>
          </w:p>
          <w:p w14:paraId="2E5800E6"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Trombocitopenia</w:t>
            </w:r>
          </w:p>
          <w:p w14:paraId="01273261"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Neutropenia</w:t>
            </w:r>
          </w:p>
        </w:tc>
        <w:tc>
          <w:tcPr>
            <w:tcW w:w="7008" w:type="dxa"/>
            <w:shd w:val="clear" w:color="auto" w:fill="FFFFFF"/>
            <w:vAlign w:val="bottom"/>
          </w:tcPr>
          <w:p w14:paraId="57C456E7" w14:textId="77777777" w:rsidR="0072615D" w:rsidRDefault="0072615D">
            <w:pPr>
              <w:pStyle w:val="Other0"/>
              <w:framePr w:w="11419" w:h="4891" w:wrap="none" w:hAnchor="page" w:x="659" w:y="2219"/>
              <w:spacing w:line="283" w:lineRule="auto"/>
              <w:ind w:firstLine="0"/>
              <w:jc w:val="both"/>
              <w:rPr>
                <w:sz w:val="16"/>
                <w:szCs w:val="16"/>
              </w:rPr>
            </w:pPr>
            <w:r>
              <w:rPr>
                <w:rFonts w:ascii="Times New Roman" w:eastAsia="Times New Roman" w:hAnsi="Times New Roman" w:cs="Times New Roman"/>
                <w:sz w:val="16"/>
                <w:szCs w:val="16"/>
              </w:rPr>
              <w:t>Brucelosis, fiebre hemorrágica, vírica, infección por virus Hanta</w:t>
            </w:r>
          </w:p>
          <w:p w14:paraId="2246C772" w14:textId="77777777" w:rsidR="0072615D" w:rsidRDefault="0072615D">
            <w:pPr>
              <w:pStyle w:val="Other0"/>
              <w:framePr w:w="11419" w:h="4891" w:wrap="none" w:hAnchor="page" w:x="659" w:y="2219"/>
              <w:spacing w:line="283" w:lineRule="auto"/>
              <w:ind w:left="200" w:hanging="200"/>
              <w:rPr>
                <w:sz w:val="16"/>
                <w:szCs w:val="16"/>
              </w:rPr>
            </w:pPr>
            <w:r>
              <w:rPr>
                <w:rFonts w:ascii="Times New Roman" w:eastAsia="Times New Roman" w:hAnsi="Times New Roman" w:cs="Times New Roman"/>
                <w:sz w:val="16"/>
                <w:szCs w:val="16"/>
              </w:rPr>
              <w:t>Fiebre hemorrágica vírica, ataque por virus alfa (encefalomielitis equina venezolana y de las regiones oriental y occidental de Estados Unidos)</w:t>
            </w:r>
          </w:p>
        </w:tc>
      </w:tr>
      <w:tr w:rsidR="0072615D" w14:paraId="3A718967" w14:textId="77777777">
        <w:tblPrEx>
          <w:tblCellMar>
            <w:top w:w="0" w:type="dxa"/>
            <w:bottom w:w="0" w:type="dxa"/>
          </w:tblCellMar>
        </w:tblPrEx>
        <w:trPr>
          <w:trHeight w:hRule="exact" w:val="648"/>
        </w:trPr>
        <w:tc>
          <w:tcPr>
            <w:tcW w:w="4411" w:type="dxa"/>
            <w:shd w:val="clear" w:color="auto" w:fill="FFFFFF"/>
            <w:vAlign w:val="center"/>
          </w:tcPr>
          <w:p w14:paraId="03E8E69C"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Hemorragia</w:t>
            </w:r>
          </w:p>
          <w:p w14:paraId="18E39184"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Coagulación intravascular diseminadas</w:t>
            </w:r>
          </w:p>
        </w:tc>
        <w:tc>
          <w:tcPr>
            <w:tcW w:w="7008" w:type="dxa"/>
            <w:shd w:val="clear" w:color="auto" w:fill="FFFFFF"/>
            <w:vAlign w:val="center"/>
          </w:tcPr>
          <w:p w14:paraId="6D523A2F"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Fiebre hemorrágica vírica</w:t>
            </w:r>
          </w:p>
          <w:p w14:paraId="068F16FD"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Fiebre hemorrágica vírica</w:t>
            </w:r>
          </w:p>
        </w:tc>
      </w:tr>
      <w:tr w:rsidR="0072615D" w14:paraId="62035BFB" w14:textId="77777777">
        <w:tblPrEx>
          <w:tblCellMar>
            <w:top w:w="0" w:type="dxa"/>
            <w:bottom w:w="0" w:type="dxa"/>
          </w:tblCellMar>
        </w:tblPrEx>
        <w:trPr>
          <w:trHeight w:hRule="exact" w:val="1094"/>
        </w:trPr>
        <w:tc>
          <w:tcPr>
            <w:tcW w:w="4411" w:type="dxa"/>
            <w:shd w:val="clear" w:color="auto" w:fill="FFFFFF"/>
          </w:tcPr>
          <w:p w14:paraId="30B115AD" w14:textId="77777777" w:rsidR="0072615D" w:rsidRDefault="0072615D">
            <w:pPr>
              <w:pStyle w:val="Other0"/>
              <w:framePr w:w="11419" w:h="4891" w:wrap="none" w:hAnchor="page" w:x="659" w:y="2219"/>
              <w:spacing w:before="100" w:line="240" w:lineRule="auto"/>
              <w:ind w:firstLine="0"/>
              <w:rPr>
                <w:sz w:val="17"/>
                <w:szCs w:val="17"/>
              </w:rPr>
            </w:pPr>
            <w:r>
              <w:rPr>
                <w:rFonts w:ascii="Times New Roman" w:eastAsia="Times New Roman" w:hAnsi="Times New Roman" w:cs="Times New Roman"/>
                <w:b/>
                <w:bCs/>
                <w:i/>
                <w:iCs/>
                <w:sz w:val="17"/>
                <w:szCs w:val="17"/>
              </w:rPr>
              <w:t>Sistema nervioso</w:t>
            </w:r>
          </w:p>
          <w:p w14:paraId="14995ED9"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Parálisis fláccida</w:t>
            </w:r>
          </w:p>
          <w:p w14:paraId="5AD86BDE" w14:textId="77777777" w:rsidR="0072615D" w:rsidRDefault="0072615D">
            <w:pPr>
              <w:pStyle w:val="Other0"/>
              <w:framePr w:w="11419" w:h="4891" w:wrap="none" w:hAnchor="page" w:x="659" w:y="2219"/>
              <w:spacing w:line="240" w:lineRule="auto"/>
              <w:ind w:firstLine="0"/>
              <w:rPr>
                <w:sz w:val="16"/>
                <w:szCs w:val="16"/>
              </w:rPr>
            </w:pPr>
            <w:r>
              <w:rPr>
                <w:rFonts w:ascii="Times New Roman" w:eastAsia="Times New Roman" w:hAnsi="Times New Roman" w:cs="Times New Roman"/>
                <w:sz w:val="16"/>
                <w:szCs w:val="16"/>
              </w:rPr>
              <w:t>Encefalitis</w:t>
            </w:r>
          </w:p>
        </w:tc>
        <w:tc>
          <w:tcPr>
            <w:tcW w:w="7008" w:type="dxa"/>
            <w:shd w:val="clear" w:color="auto" w:fill="FFFFFF"/>
            <w:vAlign w:val="bottom"/>
          </w:tcPr>
          <w:p w14:paraId="3BAF16F7" w14:textId="77777777" w:rsidR="0072615D" w:rsidRDefault="0072615D">
            <w:pPr>
              <w:pStyle w:val="Other0"/>
              <w:framePr w:w="11419" w:h="4891" w:wrap="none" w:hAnchor="page" w:x="659" w:y="2219"/>
              <w:spacing w:line="283" w:lineRule="auto"/>
              <w:ind w:firstLine="0"/>
              <w:rPr>
                <w:sz w:val="16"/>
                <w:szCs w:val="16"/>
              </w:rPr>
            </w:pPr>
            <w:r>
              <w:rPr>
                <w:rFonts w:ascii="Times New Roman" w:eastAsia="Times New Roman" w:hAnsi="Times New Roman" w:cs="Times New Roman"/>
                <w:sz w:val="16"/>
                <w:szCs w:val="16"/>
              </w:rPr>
              <w:t>Botulismo</w:t>
            </w:r>
          </w:p>
          <w:p w14:paraId="4710CA1C" w14:textId="77777777" w:rsidR="0072615D" w:rsidRDefault="0072615D">
            <w:pPr>
              <w:pStyle w:val="Other0"/>
              <w:framePr w:w="11419" w:h="4891" w:wrap="none" w:hAnchor="page" w:x="659" w:y="2219"/>
              <w:spacing w:line="283" w:lineRule="auto"/>
              <w:ind w:left="200" w:hanging="200"/>
              <w:jc w:val="both"/>
              <w:rPr>
                <w:sz w:val="16"/>
                <w:szCs w:val="16"/>
              </w:rPr>
            </w:pPr>
            <w:r>
              <w:rPr>
                <w:rFonts w:ascii="Times New Roman" w:eastAsia="Times New Roman" w:hAnsi="Times New Roman" w:cs="Times New Roman"/>
                <w:sz w:val="16"/>
                <w:szCs w:val="16"/>
              </w:rPr>
              <w:t>Ataque por virus alfa (encefalomielitis equina venezolana y de las regiones oriental y occidental de Estados Unidos)</w:t>
            </w:r>
          </w:p>
          <w:p w14:paraId="6A267FD7" w14:textId="77777777" w:rsidR="0072615D" w:rsidRDefault="0072615D">
            <w:pPr>
              <w:pStyle w:val="Other0"/>
              <w:framePr w:w="11419" w:h="4891" w:wrap="none" w:hAnchor="page" w:x="659" w:y="2219"/>
              <w:spacing w:line="199" w:lineRule="auto"/>
              <w:ind w:firstLine="0"/>
              <w:jc w:val="right"/>
              <w:rPr>
                <w:sz w:val="16"/>
                <w:szCs w:val="16"/>
              </w:rPr>
            </w:pPr>
            <w:r>
              <w:rPr>
                <w:rFonts w:ascii="Times New Roman" w:eastAsia="Times New Roman" w:hAnsi="Times New Roman" w:cs="Times New Roman"/>
                <w:i/>
                <w:iCs/>
                <w:sz w:val="16"/>
                <w:szCs w:val="16"/>
              </w:rPr>
              <w:t>continúa</w:t>
            </w:r>
          </w:p>
        </w:tc>
      </w:tr>
    </w:tbl>
    <w:p w14:paraId="35EC9635" w14:textId="77777777" w:rsidR="0072615D" w:rsidRDefault="0072615D">
      <w:pPr>
        <w:framePr w:w="11419" w:h="4891" w:wrap="none" w:hAnchor="page" w:x="659" w:y="2219"/>
        <w:spacing w:line="1" w:lineRule="exact"/>
      </w:pPr>
    </w:p>
    <w:p w14:paraId="504B49EB" w14:textId="77777777" w:rsidR="0072615D" w:rsidRDefault="0072615D">
      <w:pPr>
        <w:pStyle w:val="Bodytext80"/>
        <w:framePr w:w="192" w:h="4334" w:hRule="exact" w:wrap="none" w:hAnchor="page" w:x="12390" w:y="63"/>
        <w:tabs>
          <w:tab w:val="left" w:pos="2501"/>
        </w:tabs>
        <w:textDirection w:val="tbRl"/>
      </w:pPr>
      <w:r>
        <w:rPr>
          <w:sz w:val="16"/>
          <w:szCs w:val="16"/>
        </w:rPr>
        <w:t>110</w:t>
      </w:r>
      <w:r>
        <w:rPr>
          <w:sz w:val="16"/>
          <w:szCs w:val="16"/>
        </w:rPr>
        <w:tab/>
      </w:r>
      <w:r>
        <w:t>TERRORISMO BIOLÓGICO</w:t>
      </w:r>
    </w:p>
    <w:p w14:paraId="735F8DF7" w14:textId="77777777" w:rsidR="0072615D" w:rsidRDefault="0072615D">
      <w:pPr>
        <w:spacing w:line="360" w:lineRule="exact"/>
      </w:pPr>
    </w:p>
    <w:p w14:paraId="33D63584" w14:textId="77777777" w:rsidR="0072615D" w:rsidRDefault="0072615D">
      <w:pPr>
        <w:spacing w:line="360" w:lineRule="exact"/>
      </w:pPr>
    </w:p>
    <w:p w14:paraId="3BCFDB4D" w14:textId="77777777" w:rsidR="0072615D" w:rsidRDefault="0072615D">
      <w:pPr>
        <w:spacing w:line="360" w:lineRule="exact"/>
      </w:pPr>
    </w:p>
    <w:p w14:paraId="301CE45A" w14:textId="77777777" w:rsidR="0072615D" w:rsidRDefault="0072615D">
      <w:pPr>
        <w:spacing w:line="360" w:lineRule="exact"/>
      </w:pPr>
    </w:p>
    <w:p w14:paraId="5F712031" w14:textId="77777777" w:rsidR="0072615D" w:rsidRDefault="0072615D">
      <w:pPr>
        <w:spacing w:line="360" w:lineRule="exact"/>
      </w:pPr>
    </w:p>
    <w:p w14:paraId="11ECED4B" w14:textId="77777777" w:rsidR="0072615D" w:rsidRDefault="0072615D">
      <w:pPr>
        <w:spacing w:line="360" w:lineRule="exact"/>
      </w:pPr>
    </w:p>
    <w:p w14:paraId="49580287" w14:textId="77777777" w:rsidR="0072615D" w:rsidRDefault="0072615D">
      <w:pPr>
        <w:spacing w:line="360" w:lineRule="exact"/>
      </w:pPr>
    </w:p>
    <w:p w14:paraId="5065DC4B" w14:textId="77777777" w:rsidR="0072615D" w:rsidRDefault="0072615D">
      <w:pPr>
        <w:spacing w:line="360" w:lineRule="exact"/>
      </w:pPr>
    </w:p>
    <w:p w14:paraId="6EC10E9F" w14:textId="77777777" w:rsidR="0072615D" w:rsidRDefault="0072615D">
      <w:pPr>
        <w:spacing w:line="360" w:lineRule="exact"/>
      </w:pPr>
    </w:p>
    <w:p w14:paraId="7F5AE0BF" w14:textId="77777777" w:rsidR="0072615D" w:rsidRDefault="0072615D">
      <w:pPr>
        <w:spacing w:line="360" w:lineRule="exact"/>
      </w:pPr>
    </w:p>
    <w:p w14:paraId="5C6CEA4F" w14:textId="77777777" w:rsidR="0072615D" w:rsidRDefault="0072615D">
      <w:pPr>
        <w:spacing w:line="360" w:lineRule="exact"/>
      </w:pPr>
    </w:p>
    <w:p w14:paraId="5965BA54" w14:textId="77777777" w:rsidR="0072615D" w:rsidRDefault="0072615D">
      <w:pPr>
        <w:spacing w:line="360" w:lineRule="exact"/>
      </w:pPr>
    </w:p>
    <w:p w14:paraId="2EAA1C5B" w14:textId="77777777" w:rsidR="0072615D" w:rsidRDefault="0072615D">
      <w:pPr>
        <w:spacing w:line="360" w:lineRule="exact"/>
      </w:pPr>
    </w:p>
    <w:p w14:paraId="4F0EA1DB" w14:textId="77777777" w:rsidR="0072615D" w:rsidRDefault="0072615D">
      <w:pPr>
        <w:spacing w:line="360" w:lineRule="exact"/>
      </w:pPr>
    </w:p>
    <w:p w14:paraId="7F641D61" w14:textId="77777777" w:rsidR="0072615D" w:rsidRDefault="0072615D">
      <w:pPr>
        <w:spacing w:line="360" w:lineRule="exact"/>
      </w:pPr>
    </w:p>
    <w:p w14:paraId="3EC815BD" w14:textId="77777777" w:rsidR="0072615D" w:rsidRDefault="0072615D">
      <w:pPr>
        <w:spacing w:line="360" w:lineRule="exact"/>
      </w:pPr>
    </w:p>
    <w:p w14:paraId="1CF6C51C" w14:textId="77777777" w:rsidR="0072615D" w:rsidRDefault="0072615D">
      <w:pPr>
        <w:spacing w:line="360" w:lineRule="exact"/>
      </w:pPr>
    </w:p>
    <w:p w14:paraId="41F487A8" w14:textId="77777777" w:rsidR="0072615D" w:rsidRDefault="0072615D">
      <w:pPr>
        <w:spacing w:line="360" w:lineRule="exact"/>
      </w:pPr>
    </w:p>
    <w:p w14:paraId="5D05129E" w14:textId="77777777" w:rsidR="0072615D" w:rsidRDefault="0072615D">
      <w:pPr>
        <w:spacing w:after="628" w:line="1" w:lineRule="exact"/>
      </w:pPr>
    </w:p>
    <w:p w14:paraId="26A82864" w14:textId="77777777" w:rsidR="0072615D" w:rsidRDefault="0072615D">
      <w:pPr>
        <w:spacing w:line="1" w:lineRule="exact"/>
        <w:sectPr w:rsidR="0072615D" w:rsidSect="0072615D">
          <w:footnotePr>
            <w:numFmt w:val="chicago"/>
          </w:footnotePr>
          <w:pgSz w:w="13022" w:h="8501" w:orient="landscape"/>
          <w:pgMar w:top="456" w:right="442" w:bottom="456" w:left="658" w:header="28" w:footer="3" w:gutter="0"/>
          <w:cols w:space="720"/>
          <w:noEndnote/>
          <w:docGrid w:linePitch="360"/>
          <w15:footnoteColumns w:val="1"/>
        </w:sectPr>
      </w:pPr>
    </w:p>
    <w:p w14:paraId="1C225ADF" w14:textId="77777777" w:rsidR="0072615D" w:rsidRDefault="0072615D">
      <w:pPr>
        <w:pStyle w:val="Heading31"/>
        <w:keepNext/>
        <w:keepLines/>
        <w:framePr w:w="11232" w:h="322" w:wrap="none" w:hAnchor="page" w:x="731" w:y="1"/>
        <w:rPr>
          <w:sz w:val="16"/>
          <w:szCs w:val="16"/>
        </w:rPr>
      </w:pPr>
      <w:bookmarkStart w:id="358" w:name="bookmark358"/>
      <w:bookmarkStart w:id="359" w:name="bookmark359"/>
      <w:bookmarkStart w:id="360" w:name="bookmark360"/>
      <w:r>
        <w:rPr>
          <w:b w:val="0"/>
          <w:bCs w:val="0"/>
        </w:rPr>
        <w:t xml:space="preserve">Cuadro 2 - 1. </w:t>
      </w:r>
      <w:r>
        <w:t>Manifestaciones clínicas tempranas y más notables después de exposición a agentes de bioterrorismo</w:t>
      </w:r>
      <w:r>
        <w:rPr>
          <w:vertAlign w:val="superscript"/>
        </w:rPr>
        <w:t>1</w:t>
      </w:r>
      <w:r>
        <w:t xml:space="preserve"> </w:t>
      </w:r>
      <w:r>
        <w:rPr>
          <w:rFonts w:ascii="Times New Roman" w:eastAsia="Times New Roman" w:hAnsi="Times New Roman" w:cs="Times New Roman"/>
          <w:b w:val="0"/>
          <w:bCs w:val="0"/>
          <w:i/>
          <w:iCs/>
          <w:w w:val="100"/>
          <w:sz w:val="16"/>
          <w:szCs w:val="16"/>
        </w:rPr>
        <w:t>continuación</w:t>
      </w:r>
      <w:bookmarkEnd w:id="358"/>
      <w:bookmarkEnd w:id="359"/>
      <w:bookmarkEnd w:id="360"/>
    </w:p>
    <w:p w14:paraId="6D04EEFB" w14:textId="77777777" w:rsidR="0072615D" w:rsidRDefault="0072615D">
      <w:pPr>
        <w:pStyle w:val="Heading41"/>
        <w:keepNext/>
        <w:keepLines/>
        <w:framePr w:w="6389" w:h="298" w:wrap="none" w:hAnchor="page" w:x="673" w:y="356"/>
        <w:pBdr>
          <w:top w:val="single" w:sz="0" w:space="0" w:color="231F20"/>
          <w:left w:val="single" w:sz="0" w:space="0" w:color="231F20"/>
          <w:bottom w:val="single" w:sz="0" w:space="0" w:color="231F20"/>
          <w:right w:val="single" w:sz="0" w:space="0" w:color="231F20"/>
        </w:pBdr>
        <w:shd w:val="clear" w:color="auto" w:fill="231F20"/>
        <w:tabs>
          <w:tab w:val="left" w:pos="4411"/>
        </w:tabs>
      </w:pPr>
      <w:bookmarkStart w:id="361" w:name="bookmark361"/>
      <w:bookmarkStart w:id="362" w:name="bookmark362"/>
      <w:bookmarkStart w:id="363" w:name="bookmark363"/>
      <w:r>
        <w:rPr>
          <w:color w:val="FFFFFF"/>
        </w:rPr>
        <w:t>Manifestaciones clínicas</w:t>
      </w:r>
      <w:r>
        <w:rPr>
          <w:rFonts w:ascii="Times New Roman" w:eastAsia="Times New Roman" w:hAnsi="Times New Roman" w:cs="Times New Roman"/>
          <w:b w:val="0"/>
          <w:bCs w:val="0"/>
          <w:color w:val="FFFFFF"/>
          <w:w w:val="100"/>
          <w:sz w:val="8"/>
          <w:szCs w:val="8"/>
          <w:vertAlign w:val="superscript"/>
        </w:rPr>
        <w:t>2</w:t>
      </w:r>
      <w:r>
        <w:rPr>
          <w:rFonts w:ascii="Times New Roman" w:eastAsia="Times New Roman" w:hAnsi="Times New Roman" w:cs="Times New Roman"/>
          <w:b w:val="0"/>
          <w:bCs w:val="0"/>
          <w:color w:val="FFFFFF"/>
          <w:w w:val="100"/>
          <w:sz w:val="8"/>
          <w:szCs w:val="8"/>
        </w:rPr>
        <w:tab/>
      </w:r>
      <w:r>
        <w:rPr>
          <w:color w:val="FFFFFF"/>
        </w:rPr>
        <w:t>Agentes/enfermedades</w:t>
      </w:r>
      <w:bookmarkEnd w:id="361"/>
      <w:bookmarkEnd w:id="362"/>
      <w:bookmarkEnd w:id="363"/>
    </w:p>
    <w:tbl>
      <w:tblPr>
        <w:tblOverlap w:val="never"/>
        <w:tblW w:w="0" w:type="auto"/>
        <w:tblLayout w:type="fixed"/>
        <w:tblCellMar>
          <w:left w:w="10" w:type="dxa"/>
          <w:right w:w="10" w:type="dxa"/>
        </w:tblCellMar>
        <w:tblLook w:val="04A0" w:firstRow="1" w:lastRow="0" w:firstColumn="1" w:lastColumn="0" w:noHBand="0" w:noVBand="1"/>
      </w:tblPr>
      <w:tblGrid>
        <w:gridCol w:w="4219"/>
        <w:gridCol w:w="7147"/>
      </w:tblGrid>
      <w:tr w:rsidR="0072615D" w14:paraId="2B845884" w14:textId="77777777">
        <w:tblPrEx>
          <w:tblCellMar>
            <w:top w:w="0" w:type="dxa"/>
            <w:bottom w:w="0" w:type="dxa"/>
          </w:tblCellMar>
        </w:tblPrEx>
        <w:trPr>
          <w:trHeight w:hRule="exact" w:val="542"/>
        </w:trPr>
        <w:tc>
          <w:tcPr>
            <w:tcW w:w="4219" w:type="dxa"/>
            <w:shd w:val="clear" w:color="auto" w:fill="FFFFFF"/>
          </w:tcPr>
          <w:p w14:paraId="71510872" w14:textId="77777777" w:rsidR="0072615D" w:rsidRDefault="0072615D">
            <w:pPr>
              <w:pStyle w:val="Other0"/>
              <w:framePr w:w="11366" w:h="3989" w:vSpace="1032" w:wrap="none" w:hAnchor="page" w:x="668" w:y="716"/>
              <w:spacing w:line="240" w:lineRule="auto"/>
              <w:ind w:firstLine="0"/>
              <w:rPr>
                <w:sz w:val="16"/>
                <w:szCs w:val="16"/>
              </w:rPr>
            </w:pPr>
            <w:r>
              <w:rPr>
                <w:rFonts w:ascii="Times New Roman" w:eastAsia="Times New Roman" w:hAnsi="Times New Roman" w:cs="Times New Roman"/>
                <w:sz w:val="16"/>
                <w:szCs w:val="16"/>
              </w:rPr>
              <w:t>Meningitis</w:t>
            </w:r>
          </w:p>
        </w:tc>
        <w:tc>
          <w:tcPr>
            <w:tcW w:w="7147" w:type="dxa"/>
            <w:shd w:val="clear" w:color="auto" w:fill="FFFFFF"/>
          </w:tcPr>
          <w:p w14:paraId="4CBDE198" w14:textId="77777777" w:rsidR="0072615D" w:rsidRDefault="0072615D">
            <w:pPr>
              <w:pStyle w:val="Other0"/>
              <w:framePr w:w="11366" w:h="3989" w:vSpace="1032" w:wrap="none" w:hAnchor="page" w:x="668" w:y="716"/>
              <w:spacing w:line="283" w:lineRule="auto"/>
              <w:ind w:left="380" w:hanging="100"/>
              <w:rPr>
                <w:sz w:val="16"/>
                <w:szCs w:val="16"/>
              </w:rPr>
            </w:pPr>
            <w:r>
              <w:rPr>
                <w:rFonts w:ascii="Times New Roman" w:eastAsia="Times New Roman" w:hAnsi="Times New Roman" w:cs="Times New Roman"/>
                <w:sz w:val="16"/>
                <w:szCs w:val="16"/>
              </w:rPr>
              <w:t>Carbunco por inhalación, peste septicémica y neumónica, ataque por virus alfa (encefalomielitis equina venezolana y de las regiones oriental y occidental de Estados Unidos)</w:t>
            </w:r>
          </w:p>
        </w:tc>
      </w:tr>
      <w:tr w:rsidR="0072615D" w14:paraId="301EE0A4" w14:textId="77777777">
        <w:tblPrEx>
          <w:tblCellMar>
            <w:top w:w="0" w:type="dxa"/>
            <w:bottom w:w="0" w:type="dxa"/>
          </w:tblCellMar>
        </w:tblPrEx>
        <w:trPr>
          <w:trHeight w:hRule="exact" w:val="763"/>
        </w:trPr>
        <w:tc>
          <w:tcPr>
            <w:tcW w:w="4219" w:type="dxa"/>
            <w:shd w:val="clear" w:color="auto" w:fill="FFFFFF"/>
          </w:tcPr>
          <w:p w14:paraId="0F4480B2" w14:textId="77777777" w:rsidR="0072615D" w:rsidRDefault="0072615D">
            <w:pPr>
              <w:pStyle w:val="Other0"/>
              <w:framePr w:w="11366" w:h="3989" w:vSpace="1032" w:wrap="none" w:hAnchor="page" w:x="668" w:y="716"/>
              <w:spacing w:before="100" w:line="240" w:lineRule="auto"/>
              <w:ind w:firstLine="0"/>
              <w:rPr>
                <w:sz w:val="17"/>
                <w:szCs w:val="17"/>
              </w:rPr>
            </w:pPr>
            <w:r>
              <w:rPr>
                <w:rFonts w:ascii="Times New Roman" w:eastAsia="Times New Roman" w:hAnsi="Times New Roman" w:cs="Times New Roman"/>
                <w:b/>
                <w:bCs/>
                <w:i/>
                <w:iCs/>
                <w:sz w:val="17"/>
                <w:szCs w:val="17"/>
              </w:rPr>
              <w:t>Vías gastrointestinales</w:t>
            </w:r>
          </w:p>
          <w:p w14:paraId="5209DDBE" w14:textId="77777777" w:rsidR="0072615D" w:rsidRDefault="0072615D">
            <w:pPr>
              <w:pStyle w:val="Other0"/>
              <w:framePr w:w="11366" w:h="3989" w:vSpace="1032" w:wrap="none" w:hAnchor="page" w:x="668" w:y="716"/>
              <w:spacing w:line="240" w:lineRule="auto"/>
              <w:ind w:firstLine="0"/>
              <w:rPr>
                <w:sz w:val="16"/>
                <w:szCs w:val="16"/>
              </w:rPr>
            </w:pPr>
            <w:r>
              <w:rPr>
                <w:rFonts w:ascii="Times New Roman" w:eastAsia="Times New Roman" w:hAnsi="Times New Roman" w:cs="Times New Roman"/>
                <w:sz w:val="16"/>
                <w:szCs w:val="16"/>
              </w:rPr>
              <w:t>Diarrea</w:t>
            </w:r>
          </w:p>
        </w:tc>
        <w:tc>
          <w:tcPr>
            <w:tcW w:w="7147" w:type="dxa"/>
            <w:shd w:val="clear" w:color="auto" w:fill="FFFFFF"/>
            <w:vAlign w:val="bottom"/>
          </w:tcPr>
          <w:p w14:paraId="5F8C9AE3" w14:textId="77777777" w:rsidR="0072615D" w:rsidRDefault="0072615D">
            <w:pPr>
              <w:pStyle w:val="Other0"/>
              <w:framePr w:w="11366" w:h="3989" w:vSpace="1032" w:wrap="none" w:hAnchor="page" w:x="668" w:y="716"/>
              <w:spacing w:line="283" w:lineRule="auto"/>
              <w:ind w:left="380" w:hanging="10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Salmonella, Shigella dysenteriae, Escherichia coli</w:t>
            </w:r>
            <w:r>
              <w:rPr>
                <w:rFonts w:ascii="Times New Roman" w:eastAsia="Times New Roman" w:hAnsi="Times New Roman" w:cs="Times New Roman"/>
                <w:sz w:val="16"/>
                <w:szCs w:val="16"/>
              </w:rPr>
              <w:t xml:space="preserve"> O157:H7, </w:t>
            </w:r>
            <w:r>
              <w:rPr>
                <w:rFonts w:ascii="Times New Roman" w:eastAsia="Times New Roman" w:hAnsi="Times New Roman" w:cs="Times New Roman"/>
                <w:i/>
                <w:iCs/>
                <w:sz w:val="16"/>
                <w:szCs w:val="16"/>
              </w:rPr>
              <w:t>Vibrio cholerae, Cryptosporidium parvum</w:t>
            </w:r>
          </w:p>
        </w:tc>
      </w:tr>
      <w:tr w:rsidR="0072615D" w14:paraId="00CA8955" w14:textId="77777777">
        <w:tblPrEx>
          <w:tblCellMar>
            <w:top w:w="0" w:type="dxa"/>
            <w:bottom w:w="0" w:type="dxa"/>
          </w:tblCellMar>
        </w:tblPrEx>
        <w:trPr>
          <w:trHeight w:hRule="exact" w:val="518"/>
        </w:trPr>
        <w:tc>
          <w:tcPr>
            <w:tcW w:w="4219" w:type="dxa"/>
            <w:shd w:val="clear" w:color="auto" w:fill="FFFFFF"/>
          </w:tcPr>
          <w:p w14:paraId="2B9CB5D1" w14:textId="77777777" w:rsidR="0072615D" w:rsidRDefault="0072615D">
            <w:pPr>
              <w:pStyle w:val="Other0"/>
              <w:framePr w:w="11366" w:h="3989" w:vSpace="1032" w:wrap="none" w:hAnchor="page" w:x="668" w:y="716"/>
              <w:spacing w:line="283" w:lineRule="auto"/>
              <w:ind w:firstLine="0"/>
              <w:rPr>
                <w:sz w:val="16"/>
                <w:szCs w:val="16"/>
              </w:rPr>
            </w:pPr>
            <w:r>
              <w:rPr>
                <w:rFonts w:ascii="Times New Roman" w:eastAsia="Times New Roman" w:hAnsi="Times New Roman" w:cs="Times New Roman"/>
                <w:sz w:val="16"/>
                <w:szCs w:val="16"/>
              </w:rPr>
              <w:t>Vómitos, dolor abdominal, diarrea sanguinolenta, hematemesis</w:t>
            </w:r>
          </w:p>
        </w:tc>
        <w:tc>
          <w:tcPr>
            <w:tcW w:w="7147" w:type="dxa"/>
            <w:shd w:val="clear" w:color="auto" w:fill="FFFFFF"/>
          </w:tcPr>
          <w:p w14:paraId="35F7DC48" w14:textId="77777777" w:rsidR="0072615D" w:rsidRDefault="0072615D">
            <w:pPr>
              <w:pStyle w:val="Other0"/>
              <w:framePr w:w="11366" w:h="3989" w:vSpace="1032" w:wrap="none" w:hAnchor="page" w:x="668" w:y="716"/>
              <w:spacing w:line="240" w:lineRule="auto"/>
              <w:ind w:firstLine="280"/>
              <w:rPr>
                <w:sz w:val="16"/>
                <w:szCs w:val="16"/>
              </w:rPr>
            </w:pPr>
            <w:r>
              <w:rPr>
                <w:rFonts w:ascii="Times New Roman" w:eastAsia="Times New Roman" w:hAnsi="Times New Roman" w:cs="Times New Roman"/>
                <w:sz w:val="16"/>
                <w:szCs w:val="16"/>
              </w:rPr>
              <w:t>Carbunco gastrointestinales</w:t>
            </w:r>
          </w:p>
        </w:tc>
      </w:tr>
      <w:tr w:rsidR="0072615D" w14:paraId="23C2F892" w14:textId="77777777">
        <w:tblPrEx>
          <w:tblCellMar>
            <w:top w:w="0" w:type="dxa"/>
            <w:bottom w:w="0" w:type="dxa"/>
          </w:tblCellMar>
        </w:tblPrEx>
        <w:trPr>
          <w:trHeight w:hRule="exact" w:val="1085"/>
        </w:trPr>
        <w:tc>
          <w:tcPr>
            <w:tcW w:w="4219" w:type="dxa"/>
            <w:shd w:val="clear" w:color="auto" w:fill="FFFFFF"/>
            <w:vAlign w:val="center"/>
          </w:tcPr>
          <w:p w14:paraId="750326D1" w14:textId="77777777" w:rsidR="0072615D" w:rsidRDefault="0072615D">
            <w:pPr>
              <w:pStyle w:val="Other0"/>
              <w:framePr w:w="11366" w:h="3989" w:vSpace="1032" w:wrap="none" w:hAnchor="page" w:x="668" w:y="716"/>
              <w:spacing w:line="266" w:lineRule="auto"/>
              <w:ind w:firstLine="0"/>
              <w:rPr>
                <w:sz w:val="17"/>
                <w:szCs w:val="17"/>
              </w:rPr>
            </w:pPr>
            <w:r>
              <w:rPr>
                <w:rFonts w:ascii="Times New Roman" w:eastAsia="Times New Roman" w:hAnsi="Times New Roman" w:cs="Times New Roman"/>
                <w:b/>
                <w:bCs/>
                <w:i/>
                <w:iCs/>
                <w:sz w:val="17"/>
                <w:szCs w:val="17"/>
              </w:rPr>
              <w:t>Riñones</w:t>
            </w:r>
          </w:p>
          <w:p w14:paraId="14F50ED3" w14:textId="77777777" w:rsidR="0072615D" w:rsidRDefault="0072615D">
            <w:pPr>
              <w:pStyle w:val="Other0"/>
              <w:framePr w:w="11366" w:h="3989" w:vSpace="1032" w:wrap="none" w:hAnchor="page" w:x="668" w:y="716"/>
              <w:spacing w:line="283" w:lineRule="auto"/>
              <w:ind w:firstLine="0"/>
              <w:rPr>
                <w:sz w:val="16"/>
                <w:szCs w:val="16"/>
              </w:rPr>
            </w:pPr>
            <w:r>
              <w:rPr>
                <w:rFonts w:ascii="Times New Roman" w:eastAsia="Times New Roman" w:hAnsi="Times New Roman" w:cs="Times New Roman"/>
                <w:sz w:val="16"/>
                <w:szCs w:val="16"/>
              </w:rPr>
              <w:t>Síndrome hemolítico-urémico, púrpura trombocitopénica trombótica</w:t>
            </w:r>
          </w:p>
          <w:p w14:paraId="18466D13" w14:textId="77777777" w:rsidR="0072615D" w:rsidRDefault="0072615D">
            <w:pPr>
              <w:pStyle w:val="Other0"/>
              <w:framePr w:w="11366" w:h="3989" w:vSpace="1032" w:wrap="none" w:hAnchor="page" w:x="668" w:y="716"/>
              <w:spacing w:line="283" w:lineRule="auto"/>
              <w:ind w:firstLine="0"/>
              <w:rPr>
                <w:sz w:val="16"/>
                <w:szCs w:val="16"/>
              </w:rPr>
            </w:pPr>
            <w:r>
              <w:rPr>
                <w:rFonts w:ascii="Times New Roman" w:eastAsia="Times New Roman" w:hAnsi="Times New Roman" w:cs="Times New Roman"/>
                <w:sz w:val="16"/>
                <w:szCs w:val="16"/>
              </w:rPr>
              <w:t>Oliguria, insuficiencia renal</w:t>
            </w:r>
          </w:p>
        </w:tc>
        <w:tc>
          <w:tcPr>
            <w:tcW w:w="7147" w:type="dxa"/>
            <w:shd w:val="clear" w:color="auto" w:fill="FFFFFF"/>
            <w:vAlign w:val="center"/>
          </w:tcPr>
          <w:p w14:paraId="60D3431F" w14:textId="77777777" w:rsidR="0072615D" w:rsidRDefault="0072615D">
            <w:pPr>
              <w:pStyle w:val="Other0"/>
              <w:framePr w:w="11366" w:h="3989" w:vSpace="1032" w:wrap="none" w:hAnchor="page" w:x="668" w:y="716"/>
              <w:spacing w:line="283" w:lineRule="auto"/>
              <w:ind w:left="280" w:firstLine="0"/>
              <w:rPr>
                <w:sz w:val="16"/>
                <w:szCs w:val="16"/>
              </w:rPr>
            </w:pPr>
            <w:r>
              <w:rPr>
                <w:rFonts w:ascii="Times New Roman" w:eastAsia="Times New Roman" w:hAnsi="Times New Roman" w:cs="Times New Roman"/>
                <w:i/>
                <w:iCs/>
                <w:sz w:val="16"/>
                <w:szCs w:val="16"/>
              </w:rPr>
              <w:t>Escherichia coli</w:t>
            </w:r>
            <w:r>
              <w:rPr>
                <w:rFonts w:ascii="Times New Roman" w:eastAsia="Times New Roman" w:hAnsi="Times New Roman" w:cs="Times New Roman"/>
                <w:sz w:val="16"/>
                <w:szCs w:val="16"/>
              </w:rPr>
              <w:t xml:space="preserve"> O157:H7 y otros </w:t>
            </w:r>
            <w:r>
              <w:rPr>
                <w:rFonts w:ascii="Times New Roman" w:eastAsia="Times New Roman" w:hAnsi="Times New Roman" w:cs="Times New Roman"/>
                <w:i/>
                <w:iCs/>
                <w:sz w:val="16"/>
                <w:szCs w:val="16"/>
              </w:rPr>
              <w:t>E. coli</w:t>
            </w:r>
            <w:r>
              <w:rPr>
                <w:rFonts w:ascii="Times New Roman" w:eastAsia="Times New Roman" w:hAnsi="Times New Roman" w:cs="Times New Roman"/>
                <w:sz w:val="16"/>
                <w:szCs w:val="16"/>
              </w:rPr>
              <w:t xml:space="preserve"> productores de toxina shiga; </w:t>
            </w:r>
            <w:r>
              <w:rPr>
                <w:rFonts w:ascii="Times New Roman" w:eastAsia="Times New Roman" w:hAnsi="Times New Roman" w:cs="Times New Roman"/>
                <w:i/>
                <w:iCs/>
                <w:sz w:val="16"/>
                <w:szCs w:val="16"/>
              </w:rPr>
              <w:t xml:space="preserve">Shigella dysenteriae </w:t>
            </w:r>
            <w:r>
              <w:rPr>
                <w:rFonts w:ascii="Times New Roman" w:eastAsia="Times New Roman" w:hAnsi="Times New Roman" w:cs="Times New Roman"/>
                <w:sz w:val="16"/>
                <w:szCs w:val="16"/>
              </w:rPr>
              <w:t>Fiebre hemorrágica, ataque o virus Hanta</w:t>
            </w:r>
          </w:p>
        </w:tc>
      </w:tr>
      <w:tr w:rsidR="0072615D" w14:paraId="149A57D6" w14:textId="77777777">
        <w:tblPrEx>
          <w:tblCellMar>
            <w:top w:w="0" w:type="dxa"/>
            <w:bottom w:w="0" w:type="dxa"/>
          </w:tblCellMar>
        </w:tblPrEx>
        <w:trPr>
          <w:trHeight w:hRule="exact" w:val="1080"/>
        </w:trPr>
        <w:tc>
          <w:tcPr>
            <w:tcW w:w="4219" w:type="dxa"/>
            <w:tcBorders>
              <w:bottom w:val="single" w:sz="4" w:space="0" w:color="auto"/>
            </w:tcBorders>
            <w:shd w:val="clear" w:color="auto" w:fill="FFFFFF"/>
            <w:vAlign w:val="center"/>
          </w:tcPr>
          <w:p w14:paraId="09C6B9A2" w14:textId="77777777" w:rsidR="0072615D" w:rsidRDefault="0072615D">
            <w:pPr>
              <w:pStyle w:val="Other0"/>
              <w:framePr w:w="11366" w:h="3989" w:vSpace="1032" w:wrap="none" w:hAnchor="page" w:x="668" w:y="716"/>
              <w:spacing w:line="266" w:lineRule="auto"/>
              <w:ind w:firstLine="0"/>
              <w:rPr>
                <w:sz w:val="17"/>
                <w:szCs w:val="17"/>
              </w:rPr>
            </w:pPr>
            <w:r>
              <w:rPr>
                <w:rFonts w:ascii="Times New Roman" w:eastAsia="Times New Roman" w:hAnsi="Times New Roman" w:cs="Times New Roman"/>
                <w:b/>
                <w:bCs/>
                <w:i/>
                <w:iCs/>
                <w:sz w:val="17"/>
                <w:szCs w:val="17"/>
              </w:rPr>
              <w:t>Otras</w:t>
            </w:r>
          </w:p>
          <w:p w14:paraId="27CC1EFF" w14:textId="77777777" w:rsidR="0072615D" w:rsidRDefault="0072615D">
            <w:pPr>
              <w:pStyle w:val="Other0"/>
              <w:framePr w:w="11366" w:h="3989" w:vSpace="1032" w:wrap="none" w:hAnchor="page" w:x="668" w:y="716"/>
              <w:spacing w:line="283" w:lineRule="auto"/>
              <w:ind w:firstLine="0"/>
              <w:rPr>
                <w:sz w:val="16"/>
                <w:szCs w:val="16"/>
              </w:rPr>
            </w:pPr>
            <w:r>
              <w:rPr>
                <w:rFonts w:ascii="Times New Roman" w:eastAsia="Times New Roman" w:hAnsi="Times New Roman" w:cs="Times New Roman"/>
                <w:sz w:val="16"/>
                <w:szCs w:val="16"/>
              </w:rPr>
              <w:t>Linfadenopatía dolorosa</w:t>
            </w:r>
          </w:p>
          <w:p w14:paraId="5CCDD761" w14:textId="77777777" w:rsidR="0072615D" w:rsidRDefault="0072615D">
            <w:pPr>
              <w:pStyle w:val="Other0"/>
              <w:framePr w:w="11366" w:h="3989" w:vSpace="1032" w:wrap="none" w:hAnchor="page" w:x="668" w:y="716"/>
              <w:spacing w:line="283" w:lineRule="auto"/>
              <w:ind w:firstLine="0"/>
              <w:rPr>
                <w:sz w:val="16"/>
                <w:szCs w:val="16"/>
              </w:rPr>
            </w:pPr>
            <w:r>
              <w:rPr>
                <w:rFonts w:ascii="Times New Roman" w:eastAsia="Times New Roman" w:hAnsi="Times New Roman" w:cs="Times New Roman"/>
                <w:sz w:val="16"/>
                <w:szCs w:val="16"/>
              </w:rPr>
              <w:t>Conjuntivitis purulenta con linfadenopatía periauricular o cervical</w:t>
            </w:r>
          </w:p>
        </w:tc>
        <w:tc>
          <w:tcPr>
            <w:tcW w:w="7147" w:type="dxa"/>
            <w:tcBorders>
              <w:bottom w:val="single" w:sz="4" w:space="0" w:color="auto"/>
            </w:tcBorders>
            <w:shd w:val="clear" w:color="auto" w:fill="FFFFFF"/>
            <w:vAlign w:val="center"/>
          </w:tcPr>
          <w:p w14:paraId="5FCC8DA9" w14:textId="77777777" w:rsidR="0072615D" w:rsidRDefault="0072615D">
            <w:pPr>
              <w:pStyle w:val="Other0"/>
              <w:framePr w:w="11366" w:h="3989" w:vSpace="1032" w:wrap="none" w:hAnchor="page" w:x="668" w:y="716"/>
              <w:spacing w:line="240" w:lineRule="auto"/>
              <w:ind w:firstLine="280"/>
              <w:rPr>
                <w:sz w:val="16"/>
                <w:szCs w:val="16"/>
              </w:rPr>
            </w:pPr>
            <w:r>
              <w:rPr>
                <w:rFonts w:ascii="Times New Roman" w:eastAsia="Times New Roman" w:hAnsi="Times New Roman" w:cs="Times New Roman"/>
                <w:sz w:val="16"/>
                <w:szCs w:val="16"/>
              </w:rPr>
              <w:t>Peste bubónica</w:t>
            </w:r>
          </w:p>
          <w:p w14:paraId="45637C0A" w14:textId="77777777" w:rsidR="0072615D" w:rsidRDefault="0072615D">
            <w:pPr>
              <w:pStyle w:val="Other0"/>
              <w:framePr w:w="11366" w:h="3989" w:vSpace="1032" w:wrap="none" w:hAnchor="page" w:x="668" w:y="716"/>
              <w:spacing w:line="240" w:lineRule="auto"/>
              <w:ind w:firstLine="280"/>
              <w:rPr>
                <w:sz w:val="16"/>
                <w:szCs w:val="16"/>
              </w:rPr>
            </w:pPr>
            <w:r>
              <w:rPr>
                <w:rFonts w:ascii="Times New Roman" w:eastAsia="Times New Roman" w:hAnsi="Times New Roman" w:cs="Times New Roman"/>
                <w:sz w:val="16"/>
                <w:szCs w:val="16"/>
              </w:rPr>
              <w:t>Tularemia oculoglandular</w:t>
            </w:r>
          </w:p>
        </w:tc>
      </w:tr>
    </w:tbl>
    <w:p w14:paraId="00287C2C" w14:textId="77777777" w:rsidR="0072615D" w:rsidRDefault="0072615D">
      <w:pPr>
        <w:framePr w:w="11366" w:h="3989" w:vSpace="1032" w:wrap="none" w:hAnchor="page" w:x="668" w:y="716"/>
        <w:spacing w:line="1" w:lineRule="exact"/>
      </w:pPr>
    </w:p>
    <w:p w14:paraId="2C3045C7" w14:textId="77777777" w:rsidR="0072615D" w:rsidRDefault="0072615D">
      <w:pPr>
        <w:pStyle w:val="Tablecaption0"/>
        <w:framePr w:w="11304" w:h="936" w:wrap="none" w:hAnchor="page" w:x="678" w:y="4801"/>
        <w:numPr>
          <w:ilvl w:val="0"/>
          <w:numId w:val="38"/>
        </w:numPr>
        <w:tabs>
          <w:tab w:val="left" w:pos="163"/>
        </w:tabs>
        <w:spacing w:line="240" w:lineRule="auto"/>
        <w:ind w:left="0"/>
        <w:jc w:val="both"/>
      </w:pPr>
      <w:r>
        <w:t>Se incluyen únicamente los agentes que en opinión de los expertos en bioterrorismo muy probablemente serán usados en un ataque de ese tipo.</w:t>
      </w:r>
    </w:p>
    <w:p w14:paraId="52F1BA10" w14:textId="77777777" w:rsidR="0072615D" w:rsidRDefault="0072615D">
      <w:pPr>
        <w:pStyle w:val="Tablecaption0"/>
        <w:framePr w:w="11304" w:h="936" w:wrap="none" w:hAnchor="page" w:x="678" w:y="4801"/>
        <w:numPr>
          <w:ilvl w:val="0"/>
          <w:numId w:val="38"/>
        </w:numPr>
        <w:tabs>
          <w:tab w:val="left" w:pos="173"/>
        </w:tabs>
        <w:spacing w:line="240" w:lineRule="auto"/>
        <w:ind w:left="180" w:hanging="180"/>
      </w:pPr>
      <w:r>
        <w:t>Puede ser muy amplio el espectro de manifestaciones clínicas de muchos de los agentes mencionados. Las manifestaciones incluidas en este cuadro son las que muy probablemente harían que cualquier persona afectada solicite inicialmente atención médica y se basan en la vía de exposición durante el ataque (p. ej., las manifestaciones de carbunco difieren si la exposición fue por inhalación o por penetración mediante alimentos). Manifestaciones tempranas de muchas enfermedades son fiebre, cefalea, vómitos y diarrea.</w:t>
      </w:r>
    </w:p>
    <w:p w14:paraId="1E7BC6B7" w14:textId="77777777" w:rsidR="0072615D" w:rsidRDefault="0072615D">
      <w:pPr>
        <w:pStyle w:val="Tablecaption0"/>
        <w:framePr w:w="11304" w:h="936" w:wrap="none" w:hAnchor="page" w:x="678" w:y="4801"/>
        <w:numPr>
          <w:ilvl w:val="0"/>
          <w:numId w:val="38"/>
        </w:numPr>
        <w:tabs>
          <w:tab w:val="left" w:pos="168"/>
        </w:tabs>
        <w:spacing w:line="240" w:lineRule="auto"/>
        <w:ind w:left="0"/>
      </w:pPr>
      <w:r>
        <w:t>Las erupciones de enfermedades que causan petequias o vesículas cutáneas pueden inicialmente asumir la forma de lesiones maculosas o papulosas.</w:t>
      </w:r>
    </w:p>
    <w:p w14:paraId="0D83183A" w14:textId="77777777" w:rsidR="0072615D" w:rsidRDefault="0072615D">
      <w:pPr>
        <w:pStyle w:val="Bodytext80"/>
        <w:framePr w:w="192" w:h="4320" w:hRule="exact" w:wrap="none" w:hAnchor="page" w:x="12390" w:y="2569"/>
        <w:tabs>
          <w:tab w:val="left" w:pos="4042"/>
        </w:tabs>
        <w:textDirection w:val="tbRl"/>
        <w:rPr>
          <w:sz w:val="16"/>
          <w:szCs w:val="16"/>
        </w:rPr>
      </w:pPr>
      <w:r>
        <w:t>TERRORISMO BIOLÓGICO</w:t>
      </w:r>
      <w:r>
        <w:tab/>
      </w:r>
      <w:r>
        <w:rPr>
          <w:sz w:val="16"/>
          <w:szCs w:val="16"/>
        </w:rPr>
        <w:t>111</w:t>
      </w:r>
    </w:p>
    <w:p w14:paraId="79450FF4" w14:textId="77777777" w:rsidR="0072615D" w:rsidRDefault="0072615D">
      <w:pPr>
        <w:spacing w:line="360" w:lineRule="exact"/>
      </w:pPr>
    </w:p>
    <w:p w14:paraId="69820E41" w14:textId="77777777" w:rsidR="0072615D" w:rsidRDefault="0072615D">
      <w:pPr>
        <w:spacing w:line="360" w:lineRule="exact"/>
      </w:pPr>
    </w:p>
    <w:p w14:paraId="3D69D551" w14:textId="77777777" w:rsidR="0072615D" w:rsidRDefault="0072615D">
      <w:pPr>
        <w:spacing w:line="360" w:lineRule="exact"/>
      </w:pPr>
    </w:p>
    <w:p w14:paraId="20294803" w14:textId="77777777" w:rsidR="0072615D" w:rsidRDefault="0072615D">
      <w:pPr>
        <w:spacing w:line="360" w:lineRule="exact"/>
      </w:pPr>
    </w:p>
    <w:p w14:paraId="6ABC6EC8" w14:textId="77777777" w:rsidR="0072615D" w:rsidRDefault="0072615D">
      <w:pPr>
        <w:spacing w:line="360" w:lineRule="exact"/>
      </w:pPr>
    </w:p>
    <w:p w14:paraId="59F2EABC" w14:textId="77777777" w:rsidR="0072615D" w:rsidRDefault="0072615D">
      <w:pPr>
        <w:spacing w:line="360" w:lineRule="exact"/>
      </w:pPr>
    </w:p>
    <w:p w14:paraId="572426B5" w14:textId="77777777" w:rsidR="0072615D" w:rsidRDefault="0072615D">
      <w:pPr>
        <w:spacing w:line="360" w:lineRule="exact"/>
      </w:pPr>
    </w:p>
    <w:p w14:paraId="20EDC3A0" w14:textId="77777777" w:rsidR="0072615D" w:rsidRDefault="0072615D">
      <w:pPr>
        <w:spacing w:line="360" w:lineRule="exact"/>
      </w:pPr>
    </w:p>
    <w:p w14:paraId="5C768ABE" w14:textId="77777777" w:rsidR="0072615D" w:rsidRDefault="0072615D">
      <w:pPr>
        <w:spacing w:line="360" w:lineRule="exact"/>
      </w:pPr>
    </w:p>
    <w:p w14:paraId="4AB58F03" w14:textId="77777777" w:rsidR="0072615D" w:rsidRDefault="0072615D">
      <w:pPr>
        <w:spacing w:line="360" w:lineRule="exact"/>
      </w:pPr>
    </w:p>
    <w:p w14:paraId="323C46D3" w14:textId="77777777" w:rsidR="0072615D" w:rsidRDefault="0072615D">
      <w:pPr>
        <w:spacing w:line="360" w:lineRule="exact"/>
      </w:pPr>
    </w:p>
    <w:p w14:paraId="4D75D33C" w14:textId="77777777" w:rsidR="0072615D" w:rsidRDefault="0072615D">
      <w:pPr>
        <w:spacing w:line="360" w:lineRule="exact"/>
      </w:pPr>
    </w:p>
    <w:p w14:paraId="3C3582AF" w14:textId="77777777" w:rsidR="0072615D" w:rsidRDefault="0072615D">
      <w:pPr>
        <w:spacing w:line="360" w:lineRule="exact"/>
      </w:pPr>
    </w:p>
    <w:p w14:paraId="6BE33DE7" w14:textId="77777777" w:rsidR="0072615D" w:rsidRDefault="0072615D">
      <w:pPr>
        <w:spacing w:line="360" w:lineRule="exact"/>
      </w:pPr>
    </w:p>
    <w:p w14:paraId="07CAA7F4" w14:textId="77777777" w:rsidR="0072615D" w:rsidRDefault="0072615D">
      <w:pPr>
        <w:spacing w:line="360" w:lineRule="exact"/>
      </w:pPr>
    </w:p>
    <w:p w14:paraId="0499F7D0" w14:textId="77777777" w:rsidR="0072615D" w:rsidRDefault="0072615D">
      <w:pPr>
        <w:spacing w:line="360" w:lineRule="exact"/>
      </w:pPr>
    </w:p>
    <w:p w14:paraId="21C49492" w14:textId="77777777" w:rsidR="0072615D" w:rsidRDefault="0072615D">
      <w:pPr>
        <w:spacing w:line="360" w:lineRule="exact"/>
      </w:pPr>
    </w:p>
    <w:p w14:paraId="0D846CC0" w14:textId="77777777" w:rsidR="0072615D" w:rsidRDefault="0072615D">
      <w:pPr>
        <w:spacing w:line="360" w:lineRule="exact"/>
      </w:pPr>
    </w:p>
    <w:p w14:paraId="2C4CAEB5" w14:textId="77777777" w:rsidR="0072615D" w:rsidRDefault="0072615D">
      <w:pPr>
        <w:spacing w:after="407" w:line="1" w:lineRule="exact"/>
      </w:pPr>
    </w:p>
    <w:p w14:paraId="14D72EFF" w14:textId="77777777" w:rsidR="0072615D" w:rsidRDefault="0072615D">
      <w:pPr>
        <w:spacing w:line="1" w:lineRule="exact"/>
        <w:sectPr w:rsidR="0072615D" w:rsidSect="0072615D">
          <w:footnotePr>
            <w:numFmt w:val="chicago"/>
          </w:footnotePr>
          <w:pgSz w:w="13022" w:h="8501" w:orient="landscape"/>
          <w:pgMar w:top="1085" w:right="441" w:bottom="328" w:left="662" w:header="657" w:footer="3" w:gutter="0"/>
          <w:cols w:space="720"/>
          <w:noEndnote/>
          <w:docGrid w:linePitch="360"/>
          <w15:footnoteColumns w:val="1"/>
        </w:sectPr>
      </w:pPr>
    </w:p>
    <w:p w14:paraId="1E32ACED" w14:textId="77777777" w:rsidR="0072615D" w:rsidRDefault="0072615D">
      <w:pPr>
        <w:pStyle w:val="Heading31"/>
        <w:keepNext/>
        <w:keepLines/>
        <w:framePr w:w="10546" w:h="562" w:wrap="none" w:hAnchor="page" w:x="1081" w:y="1"/>
        <w:spacing w:line="216" w:lineRule="auto"/>
        <w:jc w:val="center"/>
      </w:pPr>
      <w:bookmarkStart w:id="364" w:name="bookmark364"/>
      <w:bookmarkStart w:id="365" w:name="bookmark365"/>
      <w:bookmarkStart w:id="366" w:name="bookmark366"/>
      <w:r>
        <w:rPr>
          <w:b w:val="0"/>
          <w:bCs w:val="0"/>
        </w:rPr>
        <w:t xml:space="preserve">Cuadro 2 - 2. </w:t>
      </w:r>
      <w:r>
        <w:t>Armas biológicas: métodos diagnósticos recomendados, precauciones en el aislamiento y tratamiento</w:t>
      </w:r>
      <w:r>
        <w:br/>
        <w:t>y profilaxia de niños</w:t>
      </w:r>
      <w:bookmarkEnd w:id="364"/>
      <w:bookmarkEnd w:id="365"/>
      <w:bookmarkEnd w:id="366"/>
    </w:p>
    <w:tbl>
      <w:tblPr>
        <w:tblOverlap w:val="never"/>
        <w:tblW w:w="0" w:type="auto"/>
        <w:tblLayout w:type="fixed"/>
        <w:tblCellMar>
          <w:left w:w="10" w:type="dxa"/>
          <w:right w:w="10" w:type="dxa"/>
        </w:tblCellMar>
        <w:tblLook w:val="04A0" w:firstRow="1" w:lastRow="0" w:firstColumn="1" w:lastColumn="0" w:noHBand="0" w:noVBand="1"/>
      </w:tblPr>
      <w:tblGrid>
        <w:gridCol w:w="1416"/>
        <w:gridCol w:w="1296"/>
        <w:gridCol w:w="1829"/>
        <w:gridCol w:w="1786"/>
        <w:gridCol w:w="1382"/>
        <w:gridCol w:w="1862"/>
        <w:gridCol w:w="1776"/>
      </w:tblGrid>
      <w:tr w:rsidR="0072615D" w14:paraId="548D6A86" w14:textId="77777777">
        <w:tblPrEx>
          <w:tblCellMar>
            <w:top w:w="0" w:type="dxa"/>
            <w:bottom w:w="0" w:type="dxa"/>
          </w:tblCellMar>
        </w:tblPrEx>
        <w:trPr>
          <w:trHeight w:hRule="exact" w:val="518"/>
        </w:trPr>
        <w:tc>
          <w:tcPr>
            <w:tcW w:w="1416" w:type="dxa"/>
            <w:shd w:val="clear" w:color="auto" w:fill="231F20"/>
          </w:tcPr>
          <w:p w14:paraId="1920D418" w14:textId="77777777" w:rsidR="0072615D" w:rsidRDefault="0072615D">
            <w:pPr>
              <w:pStyle w:val="Other0"/>
              <w:framePr w:w="11347" w:h="5136" w:wrap="none" w:hAnchor="page" w:x="663" w:y="639"/>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Agente</w:t>
            </w:r>
          </w:p>
        </w:tc>
        <w:tc>
          <w:tcPr>
            <w:tcW w:w="1296" w:type="dxa"/>
            <w:shd w:val="clear" w:color="auto" w:fill="231F20"/>
          </w:tcPr>
          <w:p w14:paraId="1B7567F3" w14:textId="77777777" w:rsidR="0072615D" w:rsidRDefault="0072615D">
            <w:pPr>
              <w:pStyle w:val="Other0"/>
              <w:framePr w:w="11347" w:h="5136" w:wrap="none" w:hAnchor="page" w:x="663" w:y="63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Periodo de incubación</w:t>
            </w:r>
          </w:p>
        </w:tc>
        <w:tc>
          <w:tcPr>
            <w:tcW w:w="1829" w:type="dxa"/>
            <w:shd w:val="clear" w:color="auto" w:fill="231F20"/>
          </w:tcPr>
          <w:p w14:paraId="022196D8" w14:textId="77777777" w:rsidR="0072615D" w:rsidRDefault="0072615D">
            <w:pPr>
              <w:pStyle w:val="Other0"/>
              <w:framePr w:w="11347" w:h="5136" w:wrap="none" w:hAnchor="page" w:x="663" w:y="639"/>
              <w:pBdr>
                <w:top w:val="single" w:sz="0" w:space="0" w:color="231F20"/>
                <w:left w:val="single" w:sz="0" w:space="0" w:color="231F20"/>
                <w:bottom w:val="single" w:sz="0" w:space="0" w:color="231F20"/>
                <w:right w:val="single" w:sz="0" w:space="0" w:color="231F20"/>
              </w:pBdr>
              <w:shd w:val="clear" w:color="auto" w:fill="231F20"/>
              <w:spacing w:line="209" w:lineRule="auto"/>
              <w:ind w:left="140" w:firstLine="0"/>
              <w:rPr>
                <w:sz w:val="24"/>
                <w:szCs w:val="24"/>
              </w:rPr>
            </w:pPr>
            <w:r>
              <w:rPr>
                <w:rFonts w:ascii="Arial" w:eastAsia="Arial" w:hAnsi="Arial" w:cs="Arial"/>
                <w:b/>
                <w:bCs/>
                <w:color w:val="FFFFFF"/>
                <w:w w:val="70"/>
                <w:sz w:val="24"/>
                <w:szCs w:val="24"/>
              </w:rPr>
              <w:t>Muestras para el diagnóstico</w:t>
            </w:r>
          </w:p>
        </w:tc>
        <w:tc>
          <w:tcPr>
            <w:tcW w:w="1786" w:type="dxa"/>
            <w:shd w:val="clear" w:color="auto" w:fill="231F20"/>
          </w:tcPr>
          <w:p w14:paraId="5DA48D78" w14:textId="77777777" w:rsidR="0072615D" w:rsidRDefault="0072615D">
            <w:pPr>
              <w:pStyle w:val="Other0"/>
              <w:framePr w:w="11347" w:h="5136" w:wrap="none" w:hAnchor="page" w:x="663" w:y="639"/>
              <w:pBdr>
                <w:top w:val="single" w:sz="0" w:space="0" w:color="231F20"/>
                <w:left w:val="single" w:sz="0" w:space="0" w:color="231F20"/>
                <w:bottom w:val="single" w:sz="0" w:space="0" w:color="231F20"/>
                <w:right w:val="single" w:sz="0" w:space="0" w:color="231F20"/>
              </w:pBdr>
              <w:shd w:val="clear" w:color="auto" w:fill="231F20"/>
              <w:spacing w:line="218" w:lineRule="auto"/>
              <w:ind w:firstLine="0"/>
              <w:rPr>
                <w:sz w:val="24"/>
                <w:szCs w:val="24"/>
              </w:rPr>
            </w:pPr>
            <w:r>
              <w:rPr>
                <w:rFonts w:ascii="Arial" w:eastAsia="Arial" w:hAnsi="Arial" w:cs="Arial"/>
                <w:b/>
                <w:bCs/>
                <w:color w:val="FFFFFF"/>
                <w:w w:val="70"/>
                <w:sz w:val="24"/>
                <w:szCs w:val="24"/>
              </w:rPr>
              <w:t>Precauciones en el aislamiento</w:t>
            </w:r>
          </w:p>
        </w:tc>
        <w:tc>
          <w:tcPr>
            <w:tcW w:w="1382" w:type="dxa"/>
            <w:shd w:val="clear" w:color="auto" w:fill="231F20"/>
          </w:tcPr>
          <w:p w14:paraId="0CD42CDC" w14:textId="77777777" w:rsidR="0072615D" w:rsidRDefault="0072615D">
            <w:pPr>
              <w:pStyle w:val="Other0"/>
              <w:framePr w:w="11347" w:h="5136" w:wrap="none" w:hAnchor="page" w:x="663" w:y="639"/>
              <w:pBdr>
                <w:top w:val="single" w:sz="0" w:space="0" w:color="231F20"/>
                <w:left w:val="single" w:sz="0" w:space="0" w:color="231F20"/>
                <w:bottom w:val="single" w:sz="0" w:space="0" w:color="231F20"/>
                <w:right w:val="single" w:sz="0" w:space="0" w:color="231F20"/>
              </w:pBdr>
              <w:shd w:val="clear" w:color="auto" w:fill="231F20"/>
              <w:spacing w:line="218" w:lineRule="auto"/>
              <w:ind w:firstLine="0"/>
              <w:rPr>
                <w:sz w:val="24"/>
                <w:szCs w:val="24"/>
              </w:rPr>
            </w:pPr>
            <w:r>
              <w:rPr>
                <w:rFonts w:ascii="Arial" w:eastAsia="Arial" w:hAnsi="Arial" w:cs="Arial"/>
                <w:b/>
                <w:bCs/>
                <w:color w:val="FFFFFF"/>
                <w:w w:val="70"/>
                <w:sz w:val="24"/>
                <w:szCs w:val="24"/>
              </w:rPr>
              <w:t>Opciones terapéuticas</w:t>
            </w:r>
          </w:p>
        </w:tc>
        <w:tc>
          <w:tcPr>
            <w:tcW w:w="1862" w:type="dxa"/>
            <w:shd w:val="clear" w:color="auto" w:fill="231F20"/>
          </w:tcPr>
          <w:p w14:paraId="42C9AC7E" w14:textId="77777777" w:rsidR="0072615D" w:rsidRDefault="0072615D">
            <w:pPr>
              <w:pStyle w:val="Other0"/>
              <w:framePr w:w="11347" w:h="5136" w:wrap="none" w:hAnchor="page" w:x="663" w:y="639"/>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8"/>
                <w:szCs w:val="8"/>
              </w:rPr>
            </w:pPr>
            <w:r>
              <w:rPr>
                <w:rFonts w:ascii="Arial" w:eastAsia="Arial" w:hAnsi="Arial" w:cs="Arial"/>
                <w:b/>
                <w:bCs/>
                <w:color w:val="FFFFFF"/>
                <w:w w:val="70"/>
                <w:sz w:val="24"/>
                <w:szCs w:val="24"/>
              </w:rPr>
              <w:t>Profilaxia después de exposición</w:t>
            </w:r>
            <w:r>
              <w:rPr>
                <w:rFonts w:ascii="Times New Roman" w:eastAsia="Times New Roman" w:hAnsi="Times New Roman" w:cs="Times New Roman"/>
                <w:color w:val="FFFFFF"/>
                <w:sz w:val="8"/>
                <w:szCs w:val="8"/>
                <w:vertAlign w:val="superscript"/>
              </w:rPr>
              <w:t>1</w:t>
            </w:r>
          </w:p>
        </w:tc>
        <w:tc>
          <w:tcPr>
            <w:tcW w:w="1776" w:type="dxa"/>
            <w:shd w:val="clear" w:color="auto" w:fill="231F20"/>
          </w:tcPr>
          <w:p w14:paraId="4DEB3CEF" w14:textId="77777777" w:rsidR="0072615D" w:rsidRDefault="0072615D">
            <w:pPr>
              <w:pStyle w:val="Other0"/>
              <w:framePr w:w="11347" w:h="5136" w:wrap="none" w:hAnchor="page" w:x="663" w:y="639"/>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Comentarios</w:t>
            </w:r>
          </w:p>
        </w:tc>
      </w:tr>
      <w:tr w:rsidR="0072615D" w14:paraId="003DF1D0" w14:textId="77777777">
        <w:tblPrEx>
          <w:tblCellMar>
            <w:top w:w="0" w:type="dxa"/>
            <w:bottom w:w="0" w:type="dxa"/>
          </w:tblCellMar>
        </w:tblPrEx>
        <w:trPr>
          <w:trHeight w:hRule="exact" w:val="288"/>
        </w:trPr>
        <w:tc>
          <w:tcPr>
            <w:tcW w:w="1416" w:type="dxa"/>
            <w:shd w:val="clear" w:color="auto" w:fill="FFFFFF"/>
            <w:vAlign w:val="bottom"/>
          </w:tcPr>
          <w:p w14:paraId="503C7E61"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Alfa, virus</w:t>
            </w:r>
          </w:p>
        </w:tc>
        <w:tc>
          <w:tcPr>
            <w:tcW w:w="1296" w:type="dxa"/>
            <w:shd w:val="clear" w:color="auto" w:fill="FFFFFF"/>
            <w:vAlign w:val="bottom"/>
          </w:tcPr>
          <w:p w14:paraId="3BC93810"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2-10 días</w:t>
            </w:r>
          </w:p>
        </w:tc>
        <w:tc>
          <w:tcPr>
            <w:tcW w:w="1829" w:type="dxa"/>
            <w:shd w:val="clear" w:color="auto" w:fill="FFFFFF"/>
            <w:vAlign w:val="bottom"/>
          </w:tcPr>
          <w:p w14:paraId="31789C13" w14:textId="77777777" w:rsidR="0072615D" w:rsidRDefault="0072615D">
            <w:pPr>
              <w:pStyle w:val="Other0"/>
              <w:framePr w:w="11347" w:h="5136" w:wrap="none" w:hAnchor="page" w:x="663" w:y="639"/>
              <w:spacing w:line="240" w:lineRule="auto"/>
              <w:ind w:firstLine="140"/>
              <w:rPr>
                <w:sz w:val="16"/>
                <w:szCs w:val="16"/>
              </w:rPr>
            </w:pPr>
            <w:r>
              <w:rPr>
                <w:rFonts w:ascii="Times New Roman" w:eastAsia="Times New Roman" w:hAnsi="Times New Roman" w:cs="Times New Roman"/>
                <w:sz w:val="16"/>
                <w:szCs w:val="16"/>
              </w:rPr>
              <w:t>LCR para aislar virus;</w:t>
            </w:r>
          </w:p>
        </w:tc>
        <w:tc>
          <w:tcPr>
            <w:tcW w:w="3168" w:type="dxa"/>
            <w:gridSpan w:val="2"/>
            <w:shd w:val="clear" w:color="auto" w:fill="FFFFFF"/>
            <w:vAlign w:val="bottom"/>
          </w:tcPr>
          <w:p w14:paraId="7B084BB5"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Habituales; precauciones Medidas de sostén</w:t>
            </w:r>
          </w:p>
        </w:tc>
        <w:tc>
          <w:tcPr>
            <w:tcW w:w="1862" w:type="dxa"/>
            <w:shd w:val="clear" w:color="auto" w:fill="FFFFFF"/>
            <w:vAlign w:val="bottom"/>
          </w:tcPr>
          <w:p w14:paraId="084D518C"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Protección de mosquitos</w:t>
            </w:r>
          </w:p>
        </w:tc>
        <w:tc>
          <w:tcPr>
            <w:tcW w:w="1776" w:type="dxa"/>
            <w:shd w:val="clear" w:color="auto" w:fill="FFFFFF"/>
          </w:tcPr>
          <w:p w14:paraId="193E25D4" w14:textId="77777777" w:rsidR="0072615D" w:rsidRDefault="0072615D">
            <w:pPr>
              <w:framePr w:w="11347" w:h="5136" w:wrap="none" w:hAnchor="page" w:x="663" w:y="639"/>
              <w:rPr>
                <w:sz w:val="10"/>
                <w:szCs w:val="10"/>
              </w:rPr>
            </w:pPr>
          </w:p>
        </w:tc>
      </w:tr>
      <w:tr w:rsidR="0072615D" w14:paraId="245D5EAB" w14:textId="77777777">
        <w:tblPrEx>
          <w:tblCellMar>
            <w:top w:w="0" w:type="dxa"/>
            <w:bottom w:w="0" w:type="dxa"/>
          </w:tblCellMar>
        </w:tblPrEx>
        <w:trPr>
          <w:trHeight w:hRule="exact" w:val="221"/>
        </w:trPr>
        <w:tc>
          <w:tcPr>
            <w:tcW w:w="1416" w:type="dxa"/>
            <w:shd w:val="clear" w:color="auto" w:fill="FFFFFF"/>
            <w:vAlign w:val="bottom"/>
          </w:tcPr>
          <w:p w14:paraId="63726A17"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(encefalomielitis</w:t>
            </w:r>
          </w:p>
        </w:tc>
        <w:tc>
          <w:tcPr>
            <w:tcW w:w="1296" w:type="dxa"/>
            <w:shd w:val="clear" w:color="auto" w:fill="FFFFFF"/>
          </w:tcPr>
          <w:p w14:paraId="375CD0AB" w14:textId="77777777" w:rsidR="0072615D" w:rsidRDefault="0072615D">
            <w:pPr>
              <w:framePr w:w="11347" w:h="5136" w:wrap="none" w:hAnchor="page" w:x="663" w:y="639"/>
              <w:rPr>
                <w:sz w:val="10"/>
                <w:szCs w:val="10"/>
              </w:rPr>
            </w:pPr>
          </w:p>
        </w:tc>
        <w:tc>
          <w:tcPr>
            <w:tcW w:w="1829" w:type="dxa"/>
            <w:shd w:val="clear" w:color="auto" w:fill="FFFFFF"/>
            <w:vAlign w:val="bottom"/>
          </w:tcPr>
          <w:p w14:paraId="7EBE0FF3"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detección de anticuerpos</w:t>
            </w:r>
          </w:p>
        </w:tc>
        <w:tc>
          <w:tcPr>
            <w:tcW w:w="1786" w:type="dxa"/>
            <w:shd w:val="clear" w:color="auto" w:fill="FFFFFF"/>
            <w:vAlign w:val="bottom"/>
          </w:tcPr>
          <w:p w14:paraId="5C76E9B1"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de tipo respiratorio en</w:t>
            </w:r>
          </w:p>
        </w:tc>
        <w:tc>
          <w:tcPr>
            <w:tcW w:w="1382" w:type="dxa"/>
            <w:shd w:val="clear" w:color="auto" w:fill="FFFFFF"/>
          </w:tcPr>
          <w:p w14:paraId="58F0146D" w14:textId="77777777" w:rsidR="0072615D" w:rsidRDefault="0072615D">
            <w:pPr>
              <w:framePr w:w="11347" w:h="5136" w:wrap="none" w:hAnchor="page" w:x="663" w:y="639"/>
              <w:rPr>
                <w:sz w:val="10"/>
                <w:szCs w:val="10"/>
              </w:rPr>
            </w:pPr>
          </w:p>
        </w:tc>
        <w:tc>
          <w:tcPr>
            <w:tcW w:w="1862" w:type="dxa"/>
            <w:shd w:val="clear" w:color="auto" w:fill="FFFFFF"/>
            <w:vAlign w:val="bottom"/>
          </w:tcPr>
          <w:p w14:paraId="0D4C6D5F"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vectores</w:t>
            </w:r>
          </w:p>
        </w:tc>
        <w:tc>
          <w:tcPr>
            <w:tcW w:w="1776" w:type="dxa"/>
            <w:shd w:val="clear" w:color="auto" w:fill="FFFFFF"/>
          </w:tcPr>
          <w:p w14:paraId="480C8BD6" w14:textId="77777777" w:rsidR="0072615D" w:rsidRDefault="0072615D">
            <w:pPr>
              <w:framePr w:w="11347" w:h="5136" w:wrap="none" w:hAnchor="page" w:x="663" w:y="639"/>
              <w:rPr>
                <w:sz w:val="10"/>
                <w:szCs w:val="10"/>
              </w:rPr>
            </w:pPr>
          </w:p>
        </w:tc>
      </w:tr>
      <w:tr w:rsidR="0072615D" w14:paraId="15D88A05" w14:textId="77777777">
        <w:tblPrEx>
          <w:tblCellMar>
            <w:top w:w="0" w:type="dxa"/>
            <w:bottom w:w="0" w:type="dxa"/>
          </w:tblCellMar>
        </w:tblPrEx>
        <w:trPr>
          <w:trHeight w:hRule="exact" w:val="216"/>
        </w:trPr>
        <w:tc>
          <w:tcPr>
            <w:tcW w:w="1416" w:type="dxa"/>
            <w:shd w:val="clear" w:color="auto" w:fill="FFFFFF"/>
            <w:vAlign w:val="bottom"/>
          </w:tcPr>
          <w:p w14:paraId="2D059C5D"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equina venezolana</w:t>
            </w:r>
          </w:p>
        </w:tc>
        <w:tc>
          <w:tcPr>
            <w:tcW w:w="1296" w:type="dxa"/>
            <w:shd w:val="clear" w:color="auto" w:fill="FFFFFF"/>
          </w:tcPr>
          <w:p w14:paraId="4B4C783F" w14:textId="77777777" w:rsidR="0072615D" w:rsidRDefault="0072615D">
            <w:pPr>
              <w:framePr w:w="11347" w:h="5136" w:wrap="none" w:hAnchor="page" w:x="663" w:y="639"/>
              <w:rPr>
                <w:sz w:val="10"/>
                <w:szCs w:val="10"/>
              </w:rPr>
            </w:pPr>
          </w:p>
        </w:tc>
        <w:tc>
          <w:tcPr>
            <w:tcW w:w="1829" w:type="dxa"/>
            <w:shd w:val="clear" w:color="auto" w:fill="FFFFFF"/>
            <w:vAlign w:val="bottom"/>
          </w:tcPr>
          <w:p w14:paraId="4FADE845"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en dicho líquido y</w:t>
            </w:r>
          </w:p>
        </w:tc>
        <w:tc>
          <w:tcPr>
            <w:tcW w:w="1786" w:type="dxa"/>
            <w:shd w:val="clear" w:color="auto" w:fill="FFFFFF"/>
            <w:vAlign w:val="bottom"/>
          </w:tcPr>
          <w:p w14:paraId="5DB481AC"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caso de ataque del virus</w:t>
            </w:r>
          </w:p>
        </w:tc>
        <w:tc>
          <w:tcPr>
            <w:tcW w:w="1382" w:type="dxa"/>
            <w:shd w:val="clear" w:color="auto" w:fill="FFFFFF"/>
          </w:tcPr>
          <w:p w14:paraId="70DF7ED2" w14:textId="77777777" w:rsidR="0072615D" w:rsidRDefault="0072615D">
            <w:pPr>
              <w:framePr w:w="11347" w:h="5136" w:wrap="none" w:hAnchor="page" w:x="663" w:y="639"/>
              <w:rPr>
                <w:sz w:val="10"/>
                <w:szCs w:val="10"/>
              </w:rPr>
            </w:pPr>
          </w:p>
        </w:tc>
        <w:tc>
          <w:tcPr>
            <w:tcW w:w="1862" w:type="dxa"/>
            <w:shd w:val="clear" w:color="auto" w:fill="FFFFFF"/>
          </w:tcPr>
          <w:p w14:paraId="4911283D" w14:textId="77777777" w:rsidR="0072615D" w:rsidRDefault="0072615D">
            <w:pPr>
              <w:framePr w:w="11347" w:h="5136" w:wrap="none" w:hAnchor="page" w:x="663" w:y="639"/>
              <w:rPr>
                <w:sz w:val="10"/>
                <w:szCs w:val="10"/>
              </w:rPr>
            </w:pPr>
          </w:p>
        </w:tc>
        <w:tc>
          <w:tcPr>
            <w:tcW w:w="1776" w:type="dxa"/>
            <w:shd w:val="clear" w:color="auto" w:fill="FFFFFF"/>
          </w:tcPr>
          <w:p w14:paraId="32418002" w14:textId="77777777" w:rsidR="0072615D" w:rsidRDefault="0072615D">
            <w:pPr>
              <w:framePr w:w="11347" w:h="5136" w:wrap="none" w:hAnchor="page" w:x="663" w:y="639"/>
              <w:rPr>
                <w:sz w:val="10"/>
                <w:szCs w:val="10"/>
              </w:rPr>
            </w:pPr>
          </w:p>
        </w:tc>
      </w:tr>
      <w:tr w:rsidR="0072615D" w14:paraId="102D67AB" w14:textId="77777777">
        <w:tblPrEx>
          <w:tblCellMar>
            <w:top w:w="0" w:type="dxa"/>
            <w:bottom w:w="0" w:type="dxa"/>
          </w:tblCellMar>
        </w:tblPrEx>
        <w:trPr>
          <w:trHeight w:hRule="exact" w:val="216"/>
        </w:trPr>
        <w:tc>
          <w:tcPr>
            <w:tcW w:w="1416" w:type="dxa"/>
            <w:shd w:val="clear" w:color="auto" w:fill="FFFFFF"/>
            <w:vAlign w:val="bottom"/>
          </w:tcPr>
          <w:p w14:paraId="2F33AB9F"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y de las regiones</w:t>
            </w:r>
          </w:p>
        </w:tc>
        <w:tc>
          <w:tcPr>
            <w:tcW w:w="1296" w:type="dxa"/>
            <w:shd w:val="clear" w:color="auto" w:fill="FFFFFF"/>
          </w:tcPr>
          <w:p w14:paraId="6C4BC960" w14:textId="77777777" w:rsidR="0072615D" w:rsidRDefault="0072615D">
            <w:pPr>
              <w:framePr w:w="11347" w:h="5136" w:wrap="none" w:hAnchor="page" w:x="663" w:y="639"/>
              <w:rPr>
                <w:sz w:val="10"/>
                <w:szCs w:val="10"/>
              </w:rPr>
            </w:pPr>
          </w:p>
        </w:tc>
        <w:tc>
          <w:tcPr>
            <w:tcW w:w="1829" w:type="dxa"/>
            <w:shd w:val="clear" w:color="auto" w:fill="FFFFFF"/>
            <w:vAlign w:val="bottom"/>
          </w:tcPr>
          <w:p w14:paraId="3279672E"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suero de fase aguda</w:t>
            </w:r>
          </w:p>
        </w:tc>
        <w:tc>
          <w:tcPr>
            <w:tcW w:w="1786" w:type="dxa"/>
            <w:shd w:val="clear" w:color="auto" w:fill="FFFFFF"/>
            <w:vAlign w:val="bottom"/>
          </w:tcPr>
          <w:p w14:paraId="76781A90"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de encefalitis equina</w:t>
            </w:r>
          </w:p>
        </w:tc>
        <w:tc>
          <w:tcPr>
            <w:tcW w:w="1382" w:type="dxa"/>
            <w:shd w:val="clear" w:color="auto" w:fill="FFFFFF"/>
          </w:tcPr>
          <w:p w14:paraId="789FF1C2" w14:textId="77777777" w:rsidR="0072615D" w:rsidRDefault="0072615D">
            <w:pPr>
              <w:framePr w:w="11347" w:h="5136" w:wrap="none" w:hAnchor="page" w:x="663" w:y="639"/>
              <w:rPr>
                <w:sz w:val="10"/>
                <w:szCs w:val="10"/>
              </w:rPr>
            </w:pPr>
          </w:p>
        </w:tc>
        <w:tc>
          <w:tcPr>
            <w:tcW w:w="1862" w:type="dxa"/>
            <w:shd w:val="clear" w:color="auto" w:fill="FFFFFF"/>
          </w:tcPr>
          <w:p w14:paraId="2B0A8B9A" w14:textId="77777777" w:rsidR="0072615D" w:rsidRDefault="0072615D">
            <w:pPr>
              <w:framePr w:w="11347" w:h="5136" w:wrap="none" w:hAnchor="page" w:x="663" w:y="639"/>
              <w:rPr>
                <w:sz w:val="10"/>
                <w:szCs w:val="10"/>
              </w:rPr>
            </w:pPr>
          </w:p>
        </w:tc>
        <w:tc>
          <w:tcPr>
            <w:tcW w:w="1776" w:type="dxa"/>
            <w:shd w:val="clear" w:color="auto" w:fill="FFFFFF"/>
          </w:tcPr>
          <w:p w14:paraId="4E9A4A9E" w14:textId="77777777" w:rsidR="0072615D" w:rsidRDefault="0072615D">
            <w:pPr>
              <w:framePr w:w="11347" w:h="5136" w:wrap="none" w:hAnchor="page" w:x="663" w:y="639"/>
              <w:rPr>
                <w:sz w:val="10"/>
                <w:szCs w:val="10"/>
              </w:rPr>
            </w:pPr>
          </w:p>
        </w:tc>
      </w:tr>
      <w:tr w:rsidR="0072615D" w14:paraId="2F5FD837" w14:textId="77777777">
        <w:tblPrEx>
          <w:tblCellMar>
            <w:top w:w="0" w:type="dxa"/>
            <w:bottom w:w="0" w:type="dxa"/>
          </w:tblCellMar>
        </w:tblPrEx>
        <w:trPr>
          <w:trHeight w:hRule="exact" w:val="754"/>
        </w:trPr>
        <w:tc>
          <w:tcPr>
            <w:tcW w:w="1416" w:type="dxa"/>
            <w:shd w:val="clear" w:color="auto" w:fill="FFFFFF"/>
          </w:tcPr>
          <w:p w14:paraId="38EEBD8C" w14:textId="77777777" w:rsidR="0072615D" w:rsidRDefault="0072615D">
            <w:pPr>
              <w:pStyle w:val="Other0"/>
              <w:framePr w:w="11347" w:h="5136" w:wrap="none" w:hAnchor="page" w:x="663" w:y="639"/>
              <w:spacing w:line="283" w:lineRule="auto"/>
              <w:ind w:firstLine="0"/>
              <w:rPr>
                <w:sz w:val="16"/>
                <w:szCs w:val="16"/>
              </w:rPr>
            </w:pPr>
            <w:r>
              <w:rPr>
                <w:rFonts w:ascii="Times New Roman" w:eastAsia="Times New Roman" w:hAnsi="Times New Roman" w:cs="Times New Roman"/>
                <w:sz w:val="16"/>
                <w:szCs w:val="16"/>
              </w:rPr>
              <w:t>oriental y occidental de</w:t>
            </w:r>
          </w:p>
          <w:p w14:paraId="39EA8711" w14:textId="77777777" w:rsidR="0072615D" w:rsidRDefault="0072615D">
            <w:pPr>
              <w:pStyle w:val="Other0"/>
              <w:framePr w:w="11347" w:h="5136" w:wrap="none" w:hAnchor="page" w:x="663" w:y="639"/>
              <w:spacing w:line="283" w:lineRule="auto"/>
              <w:ind w:firstLine="0"/>
              <w:rPr>
                <w:sz w:val="16"/>
                <w:szCs w:val="16"/>
              </w:rPr>
            </w:pPr>
            <w:r>
              <w:rPr>
                <w:rFonts w:ascii="Times New Roman" w:eastAsia="Times New Roman" w:hAnsi="Times New Roman" w:cs="Times New Roman"/>
                <w:sz w:val="16"/>
                <w:szCs w:val="16"/>
              </w:rPr>
              <w:t>Estados Unidos)</w:t>
            </w:r>
          </w:p>
        </w:tc>
        <w:tc>
          <w:tcPr>
            <w:tcW w:w="1296" w:type="dxa"/>
            <w:shd w:val="clear" w:color="auto" w:fill="FFFFFF"/>
          </w:tcPr>
          <w:p w14:paraId="754C5D88" w14:textId="77777777" w:rsidR="0072615D" w:rsidRDefault="0072615D">
            <w:pPr>
              <w:framePr w:w="11347" w:h="5136" w:wrap="none" w:hAnchor="page" w:x="663" w:y="639"/>
              <w:rPr>
                <w:sz w:val="10"/>
                <w:szCs w:val="10"/>
              </w:rPr>
            </w:pPr>
          </w:p>
        </w:tc>
        <w:tc>
          <w:tcPr>
            <w:tcW w:w="1829" w:type="dxa"/>
            <w:shd w:val="clear" w:color="auto" w:fill="FFFFFF"/>
          </w:tcPr>
          <w:p w14:paraId="0DAD19C1"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y de convalecencia</w:t>
            </w:r>
          </w:p>
        </w:tc>
        <w:tc>
          <w:tcPr>
            <w:tcW w:w="1786" w:type="dxa"/>
            <w:shd w:val="clear" w:color="auto" w:fill="FFFFFF"/>
          </w:tcPr>
          <w:p w14:paraId="44C1B198"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de la zona occidental</w:t>
            </w:r>
          </w:p>
        </w:tc>
        <w:tc>
          <w:tcPr>
            <w:tcW w:w="1382" w:type="dxa"/>
            <w:shd w:val="clear" w:color="auto" w:fill="FFFFFF"/>
          </w:tcPr>
          <w:p w14:paraId="55C6DBB3" w14:textId="77777777" w:rsidR="0072615D" w:rsidRDefault="0072615D">
            <w:pPr>
              <w:framePr w:w="11347" w:h="5136" w:wrap="none" w:hAnchor="page" w:x="663" w:y="639"/>
              <w:rPr>
                <w:sz w:val="10"/>
                <w:szCs w:val="10"/>
              </w:rPr>
            </w:pPr>
          </w:p>
        </w:tc>
        <w:tc>
          <w:tcPr>
            <w:tcW w:w="1862" w:type="dxa"/>
            <w:shd w:val="clear" w:color="auto" w:fill="FFFFFF"/>
          </w:tcPr>
          <w:p w14:paraId="48E746CE" w14:textId="77777777" w:rsidR="0072615D" w:rsidRDefault="0072615D">
            <w:pPr>
              <w:framePr w:w="11347" w:h="5136" w:wrap="none" w:hAnchor="page" w:x="663" w:y="639"/>
              <w:rPr>
                <w:sz w:val="10"/>
                <w:szCs w:val="10"/>
              </w:rPr>
            </w:pPr>
          </w:p>
        </w:tc>
        <w:tc>
          <w:tcPr>
            <w:tcW w:w="1776" w:type="dxa"/>
            <w:shd w:val="clear" w:color="auto" w:fill="FFFFFF"/>
          </w:tcPr>
          <w:p w14:paraId="6B943270" w14:textId="77777777" w:rsidR="0072615D" w:rsidRDefault="0072615D">
            <w:pPr>
              <w:framePr w:w="11347" w:h="5136" w:wrap="none" w:hAnchor="page" w:x="663" w:y="639"/>
              <w:rPr>
                <w:sz w:val="10"/>
                <w:szCs w:val="10"/>
              </w:rPr>
            </w:pPr>
          </w:p>
        </w:tc>
      </w:tr>
      <w:tr w:rsidR="0072615D" w14:paraId="257719B7" w14:textId="77777777">
        <w:tblPrEx>
          <w:tblCellMar>
            <w:top w:w="0" w:type="dxa"/>
            <w:bottom w:w="0" w:type="dxa"/>
          </w:tblCellMar>
        </w:tblPrEx>
        <w:trPr>
          <w:trHeight w:hRule="exact" w:val="336"/>
        </w:trPr>
        <w:tc>
          <w:tcPr>
            <w:tcW w:w="1416" w:type="dxa"/>
            <w:shd w:val="clear" w:color="auto" w:fill="FFFFFF"/>
            <w:vAlign w:val="bottom"/>
          </w:tcPr>
          <w:p w14:paraId="0AF6949E"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Carbunco</w:t>
            </w:r>
          </w:p>
        </w:tc>
        <w:tc>
          <w:tcPr>
            <w:tcW w:w="1296" w:type="dxa"/>
            <w:shd w:val="clear" w:color="auto" w:fill="FFFFFF"/>
            <w:vAlign w:val="bottom"/>
          </w:tcPr>
          <w:p w14:paraId="30B034AF"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1-60 días</w:t>
            </w:r>
          </w:p>
        </w:tc>
        <w:tc>
          <w:tcPr>
            <w:tcW w:w="1829" w:type="dxa"/>
            <w:shd w:val="clear" w:color="auto" w:fill="FFFFFF"/>
            <w:vAlign w:val="bottom"/>
          </w:tcPr>
          <w:p w14:paraId="72E1FBC2" w14:textId="77777777" w:rsidR="0072615D" w:rsidRDefault="0072615D">
            <w:pPr>
              <w:pStyle w:val="Other0"/>
              <w:framePr w:w="11347" w:h="5136" w:wrap="none" w:hAnchor="page" w:x="663" w:y="639"/>
              <w:spacing w:line="240" w:lineRule="auto"/>
              <w:ind w:firstLine="140"/>
              <w:rPr>
                <w:sz w:val="16"/>
                <w:szCs w:val="16"/>
              </w:rPr>
            </w:pPr>
            <w:r>
              <w:rPr>
                <w:rFonts w:ascii="Times New Roman" w:eastAsia="Times New Roman" w:hAnsi="Times New Roman" w:cs="Times New Roman"/>
                <w:sz w:val="16"/>
                <w:szCs w:val="16"/>
              </w:rPr>
              <w:t>Tinción de Gram de la</w:t>
            </w:r>
          </w:p>
        </w:tc>
        <w:tc>
          <w:tcPr>
            <w:tcW w:w="1786" w:type="dxa"/>
            <w:shd w:val="clear" w:color="auto" w:fill="FFFFFF"/>
            <w:vAlign w:val="bottom"/>
          </w:tcPr>
          <w:p w14:paraId="628427AD"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Habitual; contacto en</w:t>
            </w:r>
          </w:p>
        </w:tc>
        <w:tc>
          <w:tcPr>
            <w:tcW w:w="1382" w:type="dxa"/>
            <w:shd w:val="clear" w:color="auto" w:fill="FFFFFF"/>
            <w:vAlign w:val="bottom"/>
          </w:tcPr>
          <w:p w14:paraId="02F30EC3"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Ciprofloxacina</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xml:space="preserve"> o</w:t>
            </w:r>
          </w:p>
        </w:tc>
        <w:tc>
          <w:tcPr>
            <w:tcW w:w="1862" w:type="dxa"/>
            <w:shd w:val="clear" w:color="auto" w:fill="FFFFFF"/>
            <w:vAlign w:val="bottom"/>
          </w:tcPr>
          <w:p w14:paraId="418A0C6E"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Ciprofloxacina</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xml:space="preserve"> o</w:t>
            </w:r>
          </w:p>
        </w:tc>
        <w:tc>
          <w:tcPr>
            <w:tcW w:w="1776" w:type="dxa"/>
            <w:shd w:val="clear" w:color="auto" w:fill="FFFFFF"/>
            <w:vAlign w:val="bottom"/>
          </w:tcPr>
          <w:p w14:paraId="680BBDA4"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Entre los antimicrobianos</w:t>
            </w:r>
          </w:p>
        </w:tc>
      </w:tr>
      <w:tr w:rsidR="0072615D" w14:paraId="6904A4D2" w14:textId="77777777">
        <w:tblPrEx>
          <w:tblCellMar>
            <w:top w:w="0" w:type="dxa"/>
            <w:bottom w:w="0" w:type="dxa"/>
          </w:tblCellMar>
        </w:tblPrEx>
        <w:trPr>
          <w:trHeight w:hRule="exact" w:val="211"/>
        </w:trPr>
        <w:tc>
          <w:tcPr>
            <w:tcW w:w="1416" w:type="dxa"/>
            <w:shd w:val="clear" w:color="auto" w:fill="FFFFFF"/>
          </w:tcPr>
          <w:p w14:paraId="652252DA" w14:textId="77777777" w:rsidR="0072615D" w:rsidRDefault="0072615D">
            <w:pPr>
              <w:framePr w:w="11347" w:h="5136" w:wrap="none" w:hAnchor="page" w:x="663" w:y="639"/>
              <w:rPr>
                <w:sz w:val="10"/>
                <w:szCs w:val="10"/>
              </w:rPr>
            </w:pPr>
          </w:p>
        </w:tc>
        <w:tc>
          <w:tcPr>
            <w:tcW w:w="1296" w:type="dxa"/>
            <w:shd w:val="clear" w:color="auto" w:fill="FFFFFF"/>
          </w:tcPr>
          <w:p w14:paraId="70D15912" w14:textId="77777777" w:rsidR="0072615D" w:rsidRDefault="0072615D">
            <w:pPr>
              <w:framePr w:w="11347" w:h="5136" w:wrap="none" w:hAnchor="page" w:x="663" w:y="639"/>
              <w:rPr>
                <w:sz w:val="10"/>
                <w:szCs w:val="10"/>
              </w:rPr>
            </w:pPr>
          </w:p>
        </w:tc>
        <w:tc>
          <w:tcPr>
            <w:tcW w:w="1829" w:type="dxa"/>
            <w:shd w:val="clear" w:color="auto" w:fill="FFFFFF"/>
            <w:vAlign w:val="bottom"/>
          </w:tcPr>
          <w:p w14:paraId="2A530C9D"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capa leucocítica, LCR,</w:t>
            </w:r>
          </w:p>
        </w:tc>
        <w:tc>
          <w:tcPr>
            <w:tcW w:w="1786" w:type="dxa"/>
            <w:shd w:val="clear" w:color="auto" w:fill="FFFFFF"/>
            <w:vAlign w:val="bottom"/>
          </w:tcPr>
          <w:p w14:paraId="4F17AD4A"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lo que toca a lesiones</w:t>
            </w:r>
          </w:p>
        </w:tc>
        <w:tc>
          <w:tcPr>
            <w:tcW w:w="1382" w:type="dxa"/>
            <w:shd w:val="clear" w:color="auto" w:fill="FFFFFF"/>
            <w:vAlign w:val="bottom"/>
          </w:tcPr>
          <w:p w14:paraId="5A5FC9F2"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doxiciclina</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w:t>
            </w:r>
          </w:p>
        </w:tc>
        <w:tc>
          <w:tcPr>
            <w:tcW w:w="1862" w:type="dxa"/>
            <w:shd w:val="clear" w:color="auto" w:fill="FFFFFF"/>
            <w:vAlign w:val="bottom"/>
          </w:tcPr>
          <w:p w14:paraId="27D32F7E" w14:textId="77777777" w:rsidR="0072615D" w:rsidRDefault="0072615D">
            <w:pPr>
              <w:pStyle w:val="Other0"/>
              <w:framePr w:w="11347" w:h="5136" w:wrap="none" w:hAnchor="page" w:x="663" w:y="639"/>
              <w:spacing w:line="240" w:lineRule="auto"/>
              <w:ind w:firstLine="220"/>
              <w:rPr>
                <w:sz w:val="16"/>
                <w:szCs w:val="16"/>
              </w:rPr>
            </w:pPr>
            <w:r>
              <w:rPr>
                <w:rFonts w:ascii="Times New Roman" w:eastAsia="Times New Roman" w:hAnsi="Times New Roman" w:cs="Times New Roman"/>
                <w:sz w:val="16"/>
                <w:szCs w:val="16"/>
              </w:rPr>
              <w:t>doxiciclina</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o</w:t>
            </w:r>
          </w:p>
        </w:tc>
        <w:tc>
          <w:tcPr>
            <w:tcW w:w="1776" w:type="dxa"/>
            <w:shd w:val="clear" w:color="auto" w:fill="FFFFFF"/>
            <w:vAlign w:val="bottom"/>
          </w:tcPr>
          <w:p w14:paraId="6BD1C1CC"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adicionales que se</w:t>
            </w:r>
          </w:p>
        </w:tc>
      </w:tr>
      <w:tr w:rsidR="0072615D" w14:paraId="205FAD2F" w14:textId="77777777">
        <w:tblPrEx>
          <w:tblCellMar>
            <w:top w:w="0" w:type="dxa"/>
            <w:bottom w:w="0" w:type="dxa"/>
          </w:tblCellMar>
        </w:tblPrEx>
        <w:trPr>
          <w:trHeight w:hRule="exact" w:val="235"/>
        </w:trPr>
        <w:tc>
          <w:tcPr>
            <w:tcW w:w="1416" w:type="dxa"/>
            <w:shd w:val="clear" w:color="auto" w:fill="FFFFFF"/>
          </w:tcPr>
          <w:p w14:paraId="7233F3EA" w14:textId="77777777" w:rsidR="0072615D" w:rsidRDefault="0072615D">
            <w:pPr>
              <w:framePr w:w="11347" w:h="5136" w:wrap="none" w:hAnchor="page" w:x="663" w:y="639"/>
              <w:rPr>
                <w:sz w:val="10"/>
                <w:szCs w:val="10"/>
              </w:rPr>
            </w:pPr>
          </w:p>
        </w:tc>
        <w:tc>
          <w:tcPr>
            <w:tcW w:w="1296" w:type="dxa"/>
            <w:shd w:val="clear" w:color="auto" w:fill="FFFFFF"/>
          </w:tcPr>
          <w:p w14:paraId="4E2139DD" w14:textId="77777777" w:rsidR="0072615D" w:rsidRDefault="0072615D">
            <w:pPr>
              <w:framePr w:w="11347" w:h="5136" w:wrap="none" w:hAnchor="page" w:x="663" w:y="639"/>
              <w:rPr>
                <w:sz w:val="10"/>
                <w:szCs w:val="10"/>
              </w:rPr>
            </w:pPr>
          </w:p>
        </w:tc>
        <w:tc>
          <w:tcPr>
            <w:tcW w:w="1829" w:type="dxa"/>
            <w:shd w:val="clear" w:color="auto" w:fill="FFFFFF"/>
            <w:vAlign w:val="bottom"/>
          </w:tcPr>
          <w:p w14:paraId="6BB5B5D0"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líquido pleural,</w:t>
            </w:r>
          </w:p>
        </w:tc>
        <w:tc>
          <w:tcPr>
            <w:tcW w:w="1786" w:type="dxa"/>
            <w:shd w:val="clear" w:color="auto" w:fill="FFFFFF"/>
            <w:vAlign w:val="bottom"/>
          </w:tcPr>
          <w:p w14:paraId="350CE74C"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de piel</w:t>
            </w:r>
          </w:p>
        </w:tc>
        <w:tc>
          <w:tcPr>
            <w:tcW w:w="1382" w:type="dxa"/>
            <w:shd w:val="clear" w:color="auto" w:fill="FFFFFF"/>
            <w:vAlign w:val="bottom"/>
          </w:tcPr>
          <w:p w14:paraId="4B121677"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combinar</w:t>
            </w:r>
          </w:p>
        </w:tc>
        <w:tc>
          <w:tcPr>
            <w:tcW w:w="1862" w:type="dxa"/>
            <w:shd w:val="clear" w:color="auto" w:fill="FFFFFF"/>
            <w:vAlign w:val="bottom"/>
          </w:tcPr>
          <w:p w14:paraId="0FF4B47E"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amoxicilina;</w:t>
            </w:r>
            <w:r>
              <w:rPr>
                <w:rFonts w:ascii="Times New Roman" w:eastAsia="Times New Roman" w:hAnsi="Times New Roman" w:cs="Times New Roman"/>
                <w:sz w:val="16"/>
                <w:szCs w:val="16"/>
                <w:vertAlign w:val="superscript"/>
              </w:rPr>
              <w:t>5</w:t>
            </w:r>
          </w:p>
        </w:tc>
        <w:tc>
          <w:tcPr>
            <w:tcW w:w="1776" w:type="dxa"/>
            <w:shd w:val="clear" w:color="auto" w:fill="FFFFFF"/>
            <w:vAlign w:val="bottom"/>
          </w:tcPr>
          <w:p w14:paraId="39BCF069"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usarán contra</w:t>
            </w:r>
          </w:p>
        </w:tc>
      </w:tr>
      <w:tr w:rsidR="0072615D" w14:paraId="71D1C8D3" w14:textId="77777777">
        <w:tblPrEx>
          <w:tblCellMar>
            <w:top w:w="0" w:type="dxa"/>
            <w:bottom w:w="0" w:type="dxa"/>
          </w:tblCellMar>
        </w:tblPrEx>
        <w:trPr>
          <w:trHeight w:hRule="exact" w:val="202"/>
        </w:trPr>
        <w:tc>
          <w:tcPr>
            <w:tcW w:w="1416" w:type="dxa"/>
            <w:shd w:val="clear" w:color="auto" w:fill="FFFFFF"/>
          </w:tcPr>
          <w:p w14:paraId="1183B107" w14:textId="77777777" w:rsidR="0072615D" w:rsidRDefault="0072615D">
            <w:pPr>
              <w:framePr w:w="11347" w:h="5136" w:wrap="none" w:hAnchor="page" w:x="663" w:y="639"/>
              <w:rPr>
                <w:sz w:val="10"/>
                <w:szCs w:val="10"/>
              </w:rPr>
            </w:pPr>
          </w:p>
        </w:tc>
        <w:tc>
          <w:tcPr>
            <w:tcW w:w="1296" w:type="dxa"/>
            <w:shd w:val="clear" w:color="auto" w:fill="FFFFFF"/>
          </w:tcPr>
          <w:p w14:paraId="042B21ED" w14:textId="77777777" w:rsidR="0072615D" w:rsidRDefault="0072615D">
            <w:pPr>
              <w:framePr w:w="11347" w:h="5136" w:wrap="none" w:hAnchor="page" w:x="663" w:y="639"/>
              <w:rPr>
                <w:sz w:val="10"/>
                <w:szCs w:val="10"/>
              </w:rPr>
            </w:pPr>
          </w:p>
        </w:tc>
        <w:tc>
          <w:tcPr>
            <w:tcW w:w="1829" w:type="dxa"/>
            <w:shd w:val="clear" w:color="auto" w:fill="FFFFFF"/>
          </w:tcPr>
          <w:p w14:paraId="05C14669"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material obtenido por</w:t>
            </w:r>
          </w:p>
        </w:tc>
        <w:tc>
          <w:tcPr>
            <w:tcW w:w="1786" w:type="dxa"/>
            <w:shd w:val="clear" w:color="auto" w:fill="FFFFFF"/>
          </w:tcPr>
          <w:p w14:paraId="62B6DE4B" w14:textId="77777777" w:rsidR="0072615D" w:rsidRDefault="0072615D">
            <w:pPr>
              <w:framePr w:w="11347" w:h="5136" w:wrap="none" w:hAnchor="page" w:x="663" w:y="639"/>
              <w:rPr>
                <w:sz w:val="10"/>
                <w:szCs w:val="10"/>
              </w:rPr>
            </w:pPr>
          </w:p>
        </w:tc>
        <w:tc>
          <w:tcPr>
            <w:tcW w:w="1382" w:type="dxa"/>
            <w:shd w:val="clear" w:color="auto" w:fill="FFFFFF"/>
          </w:tcPr>
          <w:p w14:paraId="1C7ACD46"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con uno o dos</w:t>
            </w:r>
          </w:p>
        </w:tc>
        <w:tc>
          <w:tcPr>
            <w:tcW w:w="1862" w:type="dxa"/>
            <w:shd w:val="clear" w:color="auto" w:fill="FFFFFF"/>
          </w:tcPr>
          <w:p w14:paraId="2E21AABB"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vacuna contra el</w:t>
            </w:r>
          </w:p>
        </w:tc>
        <w:tc>
          <w:tcPr>
            <w:tcW w:w="1776" w:type="dxa"/>
            <w:shd w:val="clear" w:color="auto" w:fill="FFFFFF"/>
          </w:tcPr>
          <w:p w14:paraId="5C9F9987"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enfermedades por</w:t>
            </w:r>
          </w:p>
        </w:tc>
      </w:tr>
      <w:tr w:rsidR="0072615D" w14:paraId="20C2C638" w14:textId="77777777">
        <w:tblPrEx>
          <w:tblCellMar>
            <w:top w:w="0" w:type="dxa"/>
            <w:bottom w:w="0" w:type="dxa"/>
          </w:tblCellMar>
        </w:tblPrEx>
        <w:trPr>
          <w:trHeight w:hRule="exact" w:val="216"/>
        </w:trPr>
        <w:tc>
          <w:tcPr>
            <w:tcW w:w="1416" w:type="dxa"/>
            <w:shd w:val="clear" w:color="auto" w:fill="FFFFFF"/>
          </w:tcPr>
          <w:p w14:paraId="18123F5D" w14:textId="77777777" w:rsidR="0072615D" w:rsidRDefault="0072615D">
            <w:pPr>
              <w:framePr w:w="11347" w:h="5136" w:wrap="none" w:hAnchor="page" w:x="663" w:y="639"/>
              <w:rPr>
                <w:sz w:val="10"/>
                <w:szCs w:val="10"/>
              </w:rPr>
            </w:pPr>
          </w:p>
        </w:tc>
        <w:tc>
          <w:tcPr>
            <w:tcW w:w="1296" w:type="dxa"/>
            <w:shd w:val="clear" w:color="auto" w:fill="FFFFFF"/>
          </w:tcPr>
          <w:p w14:paraId="0F159E3E" w14:textId="77777777" w:rsidR="0072615D" w:rsidRDefault="0072615D">
            <w:pPr>
              <w:framePr w:w="11347" w:h="5136" w:wrap="none" w:hAnchor="page" w:x="663" w:y="639"/>
              <w:rPr>
                <w:sz w:val="10"/>
                <w:szCs w:val="10"/>
              </w:rPr>
            </w:pPr>
          </w:p>
        </w:tc>
        <w:tc>
          <w:tcPr>
            <w:tcW w:w="1829" w:type="dxa"/>
            <w:shd w:val="clear" w:color="auto" w:fill="FFFFFF"/>
            <w:vAlign w:val="bottom"/>
          </w:tcPr>
          <w:p w14:paraId="4B6460A1"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aplicador en la lesión</w:t>
            </w:r>
          </w:p>
        </w:tc>
        <w:tc>
          <w:tcPr>
            <w:tcW w:w="1786" w:type="dxa"/>
            <w:shd w:val="clear" w:color="auto" w:fill="FFFFFF"/>
          </w:tcPr>
          <w:p w14:paraId="64DBCB7D" w14:textId="77777777" w:rsidR="0072615D" w:rsidRDefault="0072615D">
            <w:pPr>
              <w:framePr w:w="11347" w:h="5136" w:wrap="none" w:hAnchor="page" w:x="663" w:y="639"/>
              <w:rPr>
                <w:sz w:val="10"/>
                <w:szCs w:val="10"/>
              </w:rPr>
            </w:pPr>
          </w:p>
        </w:tc>
        <w:tc>
          <w:tcPr>
            <w:tcW w:w="1382" w:type="dxa"/>
            <w:shd w:val="clear" w:color="auto" w:fill="FFFFFF"/>
            <w:vAlign w:val="bottom"/>
          </w:tcPr>
          <w:p w14:paraId="5F1A73CB"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antimicrobianos</w:t>
            </w:r>
          </w:p>
        </w:tc>
        <w:tc>
          <w:tcPr>
            <w:tcW w:w="1862" w:type="dxa"/>
            <w:shd w:val="clear" w:color="auto" w:fill="FFFFFF"/>
            <w:vAlign w:val="bottom"/>
          </w:tcPr>
          <w:p w14:paraId="14D9167B"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carbunco</w:t>
            </w:r>
          </w:p>
        </w:tc>
        <w:tc>
          <w:tcPr>
            <w:tcW w:w="1776" w:type="dxa"/>
            <w:shd w:val="clear" w:color="auto" w:fill="FFFFFF"/>
            <w:vAlign w:val="bottom"/>
          </w:tcPr>
          <w:p w14:paraId="67401717"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inhalación,</w:t>
            </w:r>
          </w:p>
        </w:tc>
      </w:tr>
      <w:tr w:rsidR="0072615D" w14:paraId="228BFE14" w14:textId="77777777">
        <w:tblPrEx>
          <w:tblCellMar>
            <w:top w:w="0" w:type="dxa"/>
            <w:bottom w:w="0" w:type="dxa"/>
          </w:tblCellMar>
        </w:tblPrEx>
        <w:trPr>
          <w:trHeight w:hRule="exact" w:val="230"/>
        </w:trPr>
        <w:tc>
          <w:tcPr>
            <w:tcW w:w="1416" w:type="dxa"/>
            <w:shd w:val="clear" w:color="auto" w:fill="FFFFFF"/>
          </w:tcPr>
          <w:p w14:paraId="6B3B054B" w14:textId="77777777" w:rsidR="0072615D" w:rsidRDefault="0072615D">
            <w:pPr>
              <w:framePr w:w="11347" w:h="5136" w:wrap="none" w:hAnchor="page" w:x="663" w:y="639"/>
              <w:rPr>
                <w:sz w:val="10"/>
                <w:szCs w:val="10"/>
              </w:rPr>
            </w:pPr>
          </w:p>
        </w:tc>
        <w:tc>
          <w:tcPr>
            <w:tcW w:w="1296" w:type="dxa"/>
            <w:shd w:val="clear" w:color="auto" w:fill="FFFFFF"/>
          </w:tcPr>
          <w:p w14:paraId="5246FBDE" w14:textId="77777777" w:rsidR="0072615D" w:rsidRDefault="0072615D">
            <w:pPr>
              <w:framePr w:w="11347" w:h="5136" w:wrap="none" w:hAnchor="page" w:x="663" w:y="639"/>
              <w:rPr>
                <w:sz w:val="10"/>
                <w:szCs w:val="10"/>
              </w:rPr>
            </w:pPr>
          </w:p>
        </w:tc>
        <w:tc>
          <w:tcPr>
            <w:tcW w:w="1829" w:type="dxa"/>
            <w:shd w:val="clear" w:color="auto" w:fill="FFFFFF"/>
            <w:vAlign w:val="bottom"/>
          </w:tcPr>
          <w:p w14:paraId="0839439A"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cutánea; cultivo de</w:t>
            </w:r>
          </w:p>
        </w:tc>
        <w:tc>
          <w:tcPr>
            <w:tcW w:w="1786" w:type="dxa"/>
            <w:shd w:val="clear" w:color="auto" w:fill="FFFFFF"/>
          </w:tcPr>
          <w:p w14:paraId="17E31728" w14:textId="77777777" w:rsidR="0072615D" w:rsidRDefault="0072615D">
            <w:pPr>
              <w:framePr w:w="11347" w:h="5136" w:wrap="none" w:hAnchor="page" w:x="663" w:y="639"/>
              <w:rPr>
                <w:sz w:val="10"/>
                <w:szCs w:val="10"/>
              </w:rPr>
            </w:pPr>
          </w:p>
        </w:tc>
        <w:tc>
          <w:tcPr>
            <w:tcW w:w="1382" w:type="dxa"/>
            <w:shd w:val="clear" w:color="auto" w:fill="FFFFFF"/>
            <w:vAlign w:val="bottom"/>
          </w:tcPr>
          <w:p w14:paraId="7DFC1373"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más, en caso de</w:t>
            </w:r>
          </w:p>
        </w:tc>
        <w:tc>
          <w:tcPr>
            <w:tcW w:w="1862" w:type="dxa"/>
            <w:shd w:val="clear" w:color="auto" w:fill="FFFFFF"/>
            <w:vAlign w:val="bottom"/>
          </w:tcPr>
          <w:p w14:paraId="4A830C47"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gastrointestinales</w:t>
            </w:r>
          </w:p>
        </w:tc>
        <w:tc>
          <w:tcPr>
            <w:tcW w:w="1776" w:type="dxa"/>
            <w:shd w:val="clear" w:color="auto" w:fill="FFFFFF"/>
            <w:vAlign w:val="bottom"/>
          </w:tcPr>
          <w:p w14:paraId="207AD00B"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o bucofaríngeas están</w:t>
            </w:r>
          </w:p>
        </w:tc>
      </w:tr>
      <w:tr w:rsidR="0072615D" w14:paraId="3CEDA4A1" w14:textId="77777777">
        <w:tblPrEx>
          <w:tblCellMar>
            <w:top w:w="0" w:type="dxa"/>
            <w:bottom w:w="0" w:type="dxa"/>
          </w:tblCellMar>
        </w:tblPrEx>
        <w:trPr>
          <w:trHeight w:hRule="exact" w:val="216"/>
        </w:trPr>
        <w:tc>
          <w:tcPr>
            <w:tcW w:w="1416" w:type="dxa"/>
            <w:shd w:val="clear" w:color="auto" w:fill="FFFFFF"/>
          </w:tcPr>
          <w:p w14:paraId="6F9F1510" w14:textId="77777777" w:rsidR="0072615D" w:rsidRDefault="0072615D">
            <w:pPr>
              <w:framePr w:w="11347" w:h="5136" w:wrap="none" w:hAnchor="page" w:x="663" w:y="639"/>
              <w:rPr>
                <w:sz w:val="10"/>
                <w:szCs w:val="10"/>
              </w:rPr>
            </w:pPr>
          </w:p>
        </w:tc>
        <w:tc>
          <w:tcPr>
            <w:tcW w:w="1296" w:type="dxa"/>
            <w:shd w:val="clear" w:color="auto" w:fill="FFFFFF"/>
          </w:tcPr>
          <w:p w14:paraId="44F7F1CF" w14:textId="77777777" w:rsidR="0072615D" w:rsidRDefault="0072615D">
            <w:pPr>
              <w:framePr w:w="11347" w:h="5136" w:wrap="none" w:hAnchor="page" w:x="663" w:y="639"/>
              <w:rPr>
                <w:sz w:val="10"/>
                <w:szCs w:val="10"/>
              </w:rPr>
            </w:pPr>
          </w:p>
        </w:tc>
        <w:tc>
          <w:tcPr>
            <w:tcW w:w="1829" w:type="dxa"/>
            <w:shd w:val="clear" w:color="auto" w:fill="FFFFFF"/>
          </w:tcPr>
          <w:p w14:paraId="77047AB9" w14:textId="77777777" w:rsidR="0072615D" w:rsidRDefault="0072615D">
            <w:pPr>
              <w:pStyle w:val="Other0"/>
              <w:framePr w:w="11347" w:h="5136" w:wrap="none" w:hAnchor="page" w:x="663" w:y="639"/>
              <w:spacing w:line="240" w:lineRule="auto"/>
              <w:ind w:firstLine="240"/>
              <w:rPr>
                <w:sz w:val="16"/>
                <w:szCs w:val="16"/>
              </w:rPr>
            </w:pPr>
            <w:r>
              <w:rPr>
                <w:rFonts w:ascii="Times New Roman" w:eastAsia="Times New Roman" w:hAnsi="Times New Roman" w:cs="Times New Roman"/>
                <w:sz w:val="16"/>
                <w:szCs w:val="16"/>
              </w:rPr>
              <w:t>sangre, LCR, líquido</w:t>
            </w:r>
          </w:p>
        </w:tc>
        <w:tc>
          <w:tcPr>
            <w:tcW w:w="1786" w:type="dxa"/>
            <w:shd w:val="clear" w:color="auto" w:fill="FFFFFF"/>
          </w:tcPr>
          <w:p w14:paraId="01E4F3F6" w14:textId="77777777" w:rsidR="0072615D" w:rsidRDefault="0072615D">
            <w:pPr>
              <w:framePr w:w="11347" w:h="5136" w:wrap="none" w:hAnchor="page" w:x="663" w:y="639"/>
              <w:rPr>
                <w:sz w:val="10"/>
                <w:szCs w:val="10"/>
              </w:rPr>
            </w:pPr>
          </w:p>
        </w:tc>
        <w:tc>
          <w:tcPr>
            <w:tcW w:w="1382" w:type="dxa"/>
            <w:shd w:val="clear" w:color="auto" w:fill="FFFFFF"/>
          </w:tcPr>
          <w:p w14:paraId="476FD572"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enfermedades,</w:t>
            </w:r>
          </w:p>
        </w:tc>
        <w:tc>
          <w:tcPr>
            <w:tcW w:w="1862" w:type="dxa"/>
            <w:shd w:val="clear" w:color="auto" w:fill="FFFFFF"/>
          </w:tcPr>
          <w:p w14:paraId="285C4F48" w14:textId="77777777" w:rsidR="0072615D" w:rsidRDefault="0072615D">
            <w:pPr>
              <w:framePr w:w="11347" w:h="5136" w:wrap="none" w:hAnchor="page" w:x="663" w:y="639"/>
              <w:rPr>
                <w:sz w:val="10"/>
                <w:szCs w:val="10"/>
              </w:rPr>
            </w:pPr>
          </w:p>
        </w:tc>
        <w:tc>
          <w:tcPr>
            <w:tcW w:w="1776" w:type="dxa"/>
            <w:shd w:val="clear" w:color="auto" w:fill="FFFFFF"/>
          </w:tcPr>
          <w:p w14:paraId="785A57F7"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rifampicina,</w:t>
            </w:r>
          </w:p>
        </w:tc>
      </w:tr>
      <w:tr w:rsidR="0072615D" w14:paraId="2FB60E53" w14:textId="77777777">
        <w:tblPrEx>
          <w:tblCellMar>
            <w:top w:w="0" w:type="dxa"/>
            <w:bottom w:w="0" w:type="dxa"/>
          </w:tblCellMar>
        </w:tblPrEx>
        <w:trPr>
          <w:trHeight w:hRule="exact" w:val="216"/>
        </w:trPr>
        <w:tc>
          <w:tcPr>
            <w:tcW w:w="1416" w:type="dxa"/>
            <w:shd w:val="clear" w:color="auto" w:fill="FFFFFF"/>
          </w:tcPr>
          <w:p w14:paraId="03D17EBF" w14:textId="77777777" w:rsidR="0072615D" w:rsidRDefault="0072615D">
            <w:pPr>
              <w:framePr w:w="11347" w:h="5136" w:wrap="none" w:hAnchor="page" w:x="663" w:y="639"/>
              <w:rPr>
                <w:sz w:val="10"/>
                <w:szCs w:val="10"/>
              </w:rPr>
            </w:pPr>
          </w:p>
        </w:tc>
        <w:tc>
          <w:tcPr>
            <w:tcW w:w="1296" w:type="dxa"/>
            <w:shd w:val="clear" w:color="auto" w:fill="FFFFFF"/>
          </w:tcPr>
          <w:p w14:paraId="16F81917" w14:textId="77777777" w:rsidR="0072615D" w:rsidRDefault="0072615D">
            <w:pPr>
              <w:framePr w:w="11347" w:h="5136" w:wrap="none" w:hAnchor="page" w:x="663" w:y="639"/>
              <w:rPr>
                <w:sz w:val="10"/>
                <w:szCs w:val="10"/>
              </w:rPr>
            </w:pPr>
          </w:p>
        </w:tc>
        <w:tc>
          <w:tcPr>
            <w:tcW w:w="3615" w:type="dxa"/>
            <w:gridSpan w:val="2"/>
            <w:shd w:val="clear" w:color="auto" w:fill="FFFFFF"/>
            <w:vAlign w:val="bottom"/>
          </w:tcPr>
          <w:p w14:paraId="46E74792" w14:textId="77777777" w:rsidR="0072615D" w:rsidRDefault="0072615D">
            <w:pPr>
              <w:pStyle w:val="Other0"/>
              <w:framePr w:w="11347" w:h="5136" w:wrap="none" w:hAnchor="page" w:x="663" w:y="639"/>
              <w:spacing w:line="240" w:lineRule="auto"/>
              <w:ind w:firstLine="260"/>
              <w:rPr>
                <w:sz w:val="16"/>
                <w:szCs w:val="16"/>
              </w:rPr>
            </w:pPr>
            <w:r>
              <w:rPr>
                <w:rFonts w:ascii="Times New Roman" w:eastAsia="Times New Roman" w:hAnsi="Times New Roman" w:cs="Times New Roman"/>
                <w:sz w:val="16"/>
                <w:szCs w:val="16"/>
              </w:rPr>
              <w:t>pleural, biopsia de piel</w:t>
            </w:r>
          </w:p>
        </w:tc>
        <w:tc>
          <w:tcPr>
            <w:tcW w:w="1382" w:type="dxa"/>
            <w:shd w:val="clear" w:color="auto" w:fill="FFFFFF"/>
            <w:vAlign w:val="bottom"/>
          </w:tcPr>
          <w:p w14:paraId="31B17911"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por inhalación</w:t>
            </w:r>
          </w:p>
        </w:tc>
        <w:tc>
          <w:tcPr>
            <w:tcW w:w="1862" w:type="dxa"/>
            <w:shd w:val="clear" w:color="auto" w:fill="FFFFFF"/>
          </w:tcPr>
          <w:p w14:paraId="007E5087" w14:textId="77777777" w:rsidR="0072615D" w:rsidRDefault="0072615D">
            <w:pPr>
              <w:framePr w:w="11347" w:h="5136" w:wrap="none" w:hAnchor="page" w:x="663" w:y="639"/>
              <w:rPr>
                <w:sz w:val="10"/>
                <w:szCs w:val="10"/>
              </w:rPr>
            </w:pPr>
          </w:p>
        </w:tc>
        <w:tc>
          <w:tcPr>
            <w:tcW w:w="1776" w:type="dxa"/>
            <w:shd w:val="clear" w:color="auto" w:fill="FFFFFF"/>
            <w:vAlign w:val="bottom"/>
          </w:tcPr>
          <w:p w14:paraId="08E40C3C"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vancomicina,</w:t>
            </w:r>
          </w:p>
        </w:tc>
      </w:tr>
      <w:tr w:rsidR="0072615D" w14:paraId="20668F31" w14:textId="77777777">
        <w:tblPrEx>
          <w:tblCellMar>
            <w:top w:w="0" w:type="dxa"/>
            <w:bottom w:w="0" w:type="dxa"/>
          </w:tblCellMar>
        </w:tblPrEx>
        <w:trPr>
          <w:trHeight w:hRule="exact" w:val="221"/>
        </w:trPr>
        <w:tc>
          <w:tcPr>
            <w:tcW w:w="1416" w:type="dxa"/>
            <w:shd w:val="clear" w:color="auto" w:fill="FFFFFF"/>
          </w:tcPr>
          <w:p w14:paraId="765051CA" w14:textId="77777777" w:rsidR="0072615D" w:rsidRDefault="0072615D">
            <w:pPr>
              <w:framePr w:w="11347" w:h="5136" w:wrap="none" w:hAnchor="page" w:x="663" w:y="639"/>
              <w:rPr>
                <w:sz w:val="10"/>
                <w:szCs w:val="10"/>
              </w:rPr>
            </w:pPr>
          </w:p>
        </w:tc>
        <w:tc>
          <w:tcPr>
            <w:tcW w:w="1296" w:type="dxa"/>
            <w:shd w:val="clear" w:color="auto" w:fill="FFFFFF"/>
          </w:tcPr>
          <w:p w14:paraId="025EAD75" w14:textId="77777777" w:rsidR="0072615D" w:rsidRDefault="0072615D">
            <w:pPr>
              <w:framePr w:w="11347" w:h="5136" w:wrap="none" w:hAnchor="page" w:x="663" w:y="639"/>
              <w:rPr>
                <w:sz w:val="10"/>
                <w:szCs w:val="10"/>
              </w:rPr>
            </w:pPr>
          </w:p>
        </w:tc>
        <w:tc>
          <w:tcPr>
            <w:tcW w:w="1829" w:type="dxa"/>
            <w:shd w:val="clear" w:color="auto" w:fill="FFFFFF"/>
          </w:tcPr>
          <w:p w14:paraId="05310F24" w14:textId="77777777" w:rsidR="0072615D" w:rsidRDefault="0072615D">
            <w:pPr>
              <w:framePr w:w="11347" w:h="5136" w:wrap="none" w:hAnchor="page" w:x="663" w:y="639"/>
              <w:rPr>
                <w:sz w:val="10"/>
                <w:szCs w:val="10"/>
              </w:rPr>
            </w:pPr>
          </w:p>
        </w:tc>
        <w:tc>
          <w:tcPr>
            <w:tcW w:w="1786" w:type="dxa"/>
            <w:shd w:val="clear" w:color="auto" w:fill="FFFFFF"/>
          </w:tcPr>
          <w:p w14:paraId="461E7CF2" w14:textId="77777777" w:rsidR="0072615D" w:rsidRDefault="0072615D">
            <w:pPr>
              <w:framePr w:w="11347" w:h="5136" w:wrap="none" w:hAnchor="page" w:x="663" w:y="639"/>
              <w:rPr>
                <w:sz w:val="10"/>
                <w:szCs w:val="10"/>
              </w:rPr>
            </w:pPr>
          </w:p>
        </w:tc>
        <w:tc>
          <w:tcPr>
            <w:tcW w:w="1382" w:type="dxa"/>
            <w:shd w:val="clear" w:color="auto" w:fill="FFFFFF"/>
            <w:vAlign w:val="bottom"/>
          </w:tcPr>
          <w:p w14:paraId="1AAC2879"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gastrointestinales</w:t>
            </w:r>
          </w:p>
        </w:tc>
        <w:tc>
          <w:tcPr>
            <w:tcW w:w="1862" w:type="dxa"/>
            <w:shd w:val="clear" w:color="auto" w:fill="FFFFFF"/>
          </w:tcPr>
          <w:p w14:paraId="599968F8" w14:textId="77777777" w:rsidR="0072615D" w:rsidRDefault="0072615D">
            <w:pPr>
              <w:framePr w:w="11347" w:h="5136" w:wrap="none" w:hAnchor="page" w:x="663" w:y="639"/>
              <w:rPr>
                <w:sz w:val="10"/>
                <w:szCs w:val="10"/>
              </w:rPr>
            </w:pPr>
          </w:p>
        </w:tc>
        <w:tc>
          <w:tcPr>
            <w:tcW w:w="1776" w:type="dxa"/>
            <w:shd w:val="clear" w:color="auto" w:fill="FFFFFF"/>
            <w:vAlign w:val="bottom"/>
          </w:tcPr>
          <w:p w14:paraId="6D5CE914" w14:textId="77777777" w:rsidR="0072615D" w:rsidRDefault="0072615D">
            <w:pPr>
              <w:pStyle w:val="Other0"/>
              <w:framePr w:w="11347" w:h="5136" w:wrap="none" w:hAnchor="page" w:x="663" w:y="639"/>
              <w:spacing w:line="240" w:lineRule="auto"/>
              <w:ind w:firstLine="160"/>
              <w:rPr>
                <w:sz w:val="16"/>
                <w:szCs w:val="16"/>
              </w:rPr>
            </w:pPr>
            <w:r>
              <w:rPr>
                <w:rFonts w:ascii="Times New Roman" w:eastAsia="Times New Roman" w:hAnsi="Times New Roman" w:cs="Times New Roman"/>
                <w:sz w:val="16"/>
                <w:szCs w:val="16"/>
              </w:rPr>
              <w:t>penicilina, ampicilina,</w:t>
            </w:r>
          </w:p>
        </w:tc>
      </w:tr>
      <w:tr w:rsidR="0072615D" w14:paraId="6316323B" w14:textId="77777777">
        <w:tblPrEx>
          <w:tblCellMar>
            <w:top w:w="0" w:type="dxa"/>
            <w:bottom w:w="0" w:type="dxa"/>
          </w:tblCellMar>
        </w:tblPrEx>
        <w:trPr>
          <w:trHeight w:hRule="exact" w:val="840"/>
        </w:trPr>
        <w:tc>
          <w:tcPr>
            <w:tcW w:w="1416" w:type="dxa"/>
            <w:shd w:val="clear" w:color="auto" w:fill="FFFFFF"/>
          </w:tcPr>
          <w:p w14:paraId="19900612" w14:textId="77777777" w:rsidR="0072615D" w:rsidRDefault="0072615D">
            <w:pPr>
              <w:framePr w:w="11347" w:h="5136" w:wrap="none" w:hAnchor="page" w:x="663" w:y="639"/>
              <w:rPr>
                <w:sz w:val="10"/>
                <w:szCs w:val="10"/>
              </w:rPr>
            </w:pPr>
          </w:p>
        </w:tc>
        <w:tc>
          <w:tcPr>
            <w:tcW w:w="1296" w:type="dxa"/>
            <w:shd w:val="clear" w:color="auto" w:fill="FFFFFF"/>
          </w:tcPr>
          <w:p w14:paraId="4545AE04" w14:textId="77777777" w:rsidR="0072615D" w:rsidRDefault="0072615D">
            <w:pPr>
              <w:framePr w:w="11347" w:h="5136" w:wrap="none" w:hAnchor="page" w:x="663" w:y="639"/>
              <w:rPr>
                <w:sz w:val="10"/>
                <w:szCs w:val="10"/>
              </w:rPr>
            </w:pPr>
          </w:p>
        </w:tc>
        <w:tc>
          <w:tcPr>
            <w:tcW w:w="1829" w:type="dxa"/>
            <w:shd w:val="clear" w:color="auto" w:fill="FFFFFF"/>
          </w:tcPr>
          <w:p w14:paraId="1D31A240" w14:textId="77777777" w:rsidR="0072615D" w:rsidRDefault="0072615D">
            <w:pPr>
              <w:framePr w:w="11347" w:h="5136" w:wrap="none" w:hAnchor="page" w:x="663" w:y="639"/>
              <w:rPr>
                <w:sz w:val="10"/>
                <w:szCs w:val="10"/>
              </w:rPr>
            </w:pPr>
          </w:p>
        </w:tc>
        <w:tc>
          <w:tcPr>
            <w:tcW w:w="1786" w:type="dxa"/>
            <w:shd w:val="clear" w:color="auto" w:fill="FFFFFF"/>
          </w:tcPr>
          <w:p w14:paraId="142A4014" w14:textId="77777777" w:rsidR="0072615D" w:rsidRDefault="0072615D">
            <w:pPr>
              <w:framePr w:w="11347" w:h="5136" w:wrap="none" w:hAnchor="page" w:x="663" w:y="639"/>
              <w:rPr>
                <w:sz w:val="10"/>
                <w:szCs w:val="10"/>
              </w:rPr>
            </w:pPr>
          </w:p>
        </w:tc>
        <w:tc>
          <w:tcPr>
            <w:tcW w:w="1382" w:type="dxa"/>
            <w:shd w:val="clear" w:color="auto" w:fill="FFFFFF"/>
          </w:tcPr>
          <w:p w14:paraId="33E8F60A" w14:textId="77777777" w:rsidR="0072615D" w:rsidRDefault="0072615D">
            <w:pPr>
              <w:pStyle w:val="Other0"/>
              <w:framePr w:w="11347" w:h="5136" w:wrap="none" w:hAnchor="page" w:x="663" w:y="639"/>
              <w:spacing w:line="240" w:lineRule="auto"/>
              <w:ind w:firstLine="0"/>
              <w:rPr>
                <w:sz w:val="16"/>
                <w:szCs w:val="16"/>
              </w:rPr>
            </w:pPr>
            <w:r>
              <w:rPr>
                <w:rFonts w:ascii="Times New Roman" w:eastAsia="Times New Roman" w:hAnsi="Times New Roman" w:cs="Times New Roman"/>
                <w:sz w:val="16"/>
                <w:szCs w:val="16"/>
              </w:rPr>
              <w:t>o bucofaríngeas</w:t>
            </w:r>
            <w:r>
              <w:rPr>
                <w:rFonts w:ascii="Times New Roman" w:eastAsia="Times New Roman" w:hAnsi="Times New Roman" w:cs="Times New Roman"/>
                <w:sz w:val="16"/>
                <w:szCs w:val="16"/>
                <w:vertAlign w:val="superscript"/>
              </w:rPr>
              <w:t>4</w:t>
            </w:r>
          </w:p>
        </w:tc>
        <w:tc>
          <w:tcPr>
            <w:tcW w:w="1862" w:type="dxa"/>
            <w:shd w:val="clear" w:color="auto" w:fill="FFFFFF"/>
          </w:tcPr>
          <w:p w14:paraId="0B33AF02" w14:textId="77777777" w:rsidR="0072615D" w:rsidRDefault="0072615D">
            <w:pPr>
              <w:framePr w:w="11347" w:h="5136" w:wrap="none" w:hAnchor="page" w:x="663" w:y="639"/>
              <w:rPr>
                <w:sz w:val="10"/>
                <w:szCs w:val="10"/>
              </w:rPr>
            </w:pPr>
          </w:p>
        </w:tc>
        <w:tc>
          <w:tcPr>
            <w:tcW w:w="1776" w:type="dxa"/>
            <w:shd w:val="clear" w:color="auto" w:fill="FFFFFF"/>
          </w:tcPr>
          <w:p w14:paraId="58CD9D3E" w14:textId="77777777" w:rsidR="0072615D" w:rsidRDefault="0072615D">
            <w:pPr>
              <w:pStyle w:val="Other0"/>
              <w:framePr w:w="11347" w:h="5136" w:wrap="none" w:hAnchor="page" w:x="663" w:y="639"/>
              <w:spacing w:line="286" w:lineRule="auto"/>
              <w:ind w:left="160"/>
              <w:rPr>
                <w:sz w:val="16"/>
                <w:szCs w:val="16"/>
              </w:rPr>
            </w:pPr>
            <w:r>
              <w:rPr>
                <w:rFonts w:ascii="Times New Roman" w:eastAsia="Times New Roman" w:hAnsi="Times New Roman" w:cs="Times New Roman"/>
                <w:sz w:val="16"/>
                <w:szCs w:val="16"/>
              </w:rPr>
              <w:t>cloranfenicol, imipenem, clindamicina y claritromicina</w:t>
            </w:r>
          </w:p>
        </w:tc>
      </w:tr>
    </w:tbl>
    <w:p w14:paraId="6591F20D" w14:textId="77777777" w:rsidR="0072615D" w:rsidRDefault="0072615D">
      <w:pPr>
        <w:framePr w:w="11347" w:h="5136" w:wrap="none" w:hAnchor="page" w:x="663" w:y="639"/>
        <w:spacing w:line="1" w:lineRule="exact"/>
      </w:pPr>
    </w:p>
    <w:p w14:paraId="2AFFB6CA" w14:textId="77777777" w:rsidR="0072615D" w:rsidRDefault="0072615D">
      <w:pPr>
        <w:pStyle w:val="Bodytext80"/>
        <w:framePr w:w="192" w:h="4334" w:hRule="exact" w:wrap="none" w:hAnchor="page" w:x="12390" w:y="39"/>
        <w:tabs>
          <w:tab w:val="left" w:pos="2501"/>
        </w:tabs>
        <w:textDirection w:val="tbRl"/>
      </w:pPr>
      <w:r>
        <w:rPr>
          <w:sz w:val="16"/>
          <w:szCs w:val="16"/>
        </w:rPr>
        <w:t>112</w:t>
      </w:r>
      <w:r>
        <w:rPr>
          <w:sz w:val="16"/>
          <w:szCs w:val="16"/>
        </w:rPr>
        <w:tab/>
      </w:r>
      <w:r>
        <w:t>TERRORISMO BIOLÓGICO</w:t>
      </w:r>
    </w:p>
    <w:p w14:paraId="2F142399" w14:textId="77777777" w:rsidR="0072615D" w:rsidRDefault="0072615D">
      <w:pPr>
        <w:spacing w:line="360" w:lineRule="exact"/>
      </w:pPr>
    </w:p>
    <w:p w14:paraId="32A6719C" w14:textId="77777777" w:rsidR="0072615D" w:rsidRDefault="0072615D">
      <w:pPr>
        <w:spacing w:line="360" w:lineRule="exact"/>
      </w:pPr>
    </w:p>
    <w:p w14:paraId="36613D06" w14:textId="77777777" w:rsidR="0072615D" w:rsidRDefault="0072615D">
      <w:pPr>
        <w:spacing w:line="360" w:lineRule="exact"/>
      </w:pPr>
    </w:p>
    <w:p w14:paraId="4B6ED05E" w14:textId="77777777" w:rsidR="0072615D" w:rsidRDefault="0072615D">
      <w:pPr>
        <w:spacing w:line="360" w:lineRule="exact"/>
      </w:pPr>
    </w:p>
    <w:p w14:paraId="753C8109" w14:textId="77777777" w:rsidR="0072615D" w:rsidRDefault="0072615D">
      <w:pPr>
        <w:spacing w:line="360" w:lineRule="exact"/>
      </w:pPr>
    </w:p>
    <w:p w14:paraId="2D2F1CC6" w14:textId="77777777" w:rsidR="0072615D" w:rsidRDefault="0072615D">
      <w:pPr>
        <w:spacing w:line="360" w:lineRule="exact"/>
      </w:pPr>
    </w:p>
    <w:p w14:paraId="036F9DFE" w14:textId="77777777" w:rsidR="0072615D" w:rsidRDefault="0072615D">
      <w:pPr>
        <w:spacing w:line="360" w:lineRule="exact"/>
      </w:pPr>
    </w:p>
    <w:p w14:paraId="6C0CC661" w14:textId="77777777" w:rsidR="0072615D" w:rsidRDefault="0072615D">
      <w:pPr>
        <w:spacing w:line="360" w:lineRule="exact"/>
      </w:pPr>
    </w:p>
    <w:p w14:paraId="41235E6A" w14:textId="77777777" w:rsidR="0072615D" w:rsidRDefault="0072615D">
      <w:pPr>
        <w:spacing w:line="360" w:lineRule="exact"/>
      </w:pPr>
    </w:p>
    <w:p w14:paraId="04E9E6FF" w14:textId="77777777" w:rsidR="0072615D" w:rsidRDefault="0072615D">
      <w:pPr>
        <w:spacing w:line="360" w:lineRule="exact"/>
      </w:pPr>
    </w:p>
    <w:p w14:paraId="1C4F79FD" w14:textId="77777777" w:rsidR="0072615D" w:rsidRDefault="0072615D">
      <w:pPr>
        <w:spacing w:line="360" w:lineRule="exact"/>
      </w:pPr>
    </w:p>
    <w:p w14:paraId="30079EFA" w14:textId="77777777" w:rsidR="0072615D" w:rsidRDefault="0072615D">
      <w:pPr>
        <w:spacing w:line="360" w:lineRule="exact"/>
      </w:pPr>
    </w:p>
    <w:p w14:paraId="2F6A9BE9" w14:textId="77777777" w:rsidR="0072615D" w:rsidRDefault="0072615D">
      <w:pPr>
        <w:spacing w:line="360" w:lineRule="exact"/>
      </w:pPr>
    </w:p>
    <w:p w14:paraId="27EC113D" w14:textId="77777777" w:rsidR="0072615D" w:rsidRDefault="0072615D">
      <w:pPr>
        <w:spacing w:line="360" w:lineRule="exact"/>
      </w:pPr>
    </w:p>
    <w:p w14:paraId="265E119A" w14:textId="77777777" w:rsidR="0072615D" w:rsidRDefault="0072615D">
      <w:pPr>
        <w:spacing w:line="360" w:lineRule="exact"/>
      </w:pPr>
    </w:p>
    <w:p w14:paraId="01D5FC84" w14:textId="77777777" w:rsidR="0072615D" w:rsidRDefault="0072615D">
      <w:pPr>
        <w:spacing w:after="373" w:line="1" w:lineRule="exact"/>
      </w:pPr>
    </w:p>
    <w:p w14:paraId="094516F1" w14:textId="77777777" w:rsidR="0072615D" w:rsidRDefault="0072615D">
      <w:pPr>
        <w:spacing w:line="1" w:lineRule="exact"/>
        <w:sectPr w:rsidR="0072615D" w:rsidSect="0072615D">
          <w:headerReference w:type="even" r:id="rId269"/>
          <w:headerReference w:type="default" r:id="rId270"/>
          <w:footerReference w:type="even" r:id="rId271"/>
          <w:footerReference w:type="default" r:id="rId272"/>
          <w:footnotePr>
            <w:numFmt w:val="chicago"/>
          </w:footnotePr>
          <w:pgSz w:w="13022" w:h="8501" w:orient="landscape"/>
          <w:pgMar w:top="480" w:right="441" w:bottom="1148" w:left="662" w:header="52" w:footer="3" w:gutter="0"/>
          <w:cols w:space="720"/>
          <w:noEndnote/>
          <w:docGrid w:linePitch="360"/>
          <w15:footnoteColumns w:val="1"/>
        </w:sectPr>
      </w:pPr>
    </w:p>
    <w:p w14:paraId="3A8DDDDE" w14:textId="77777777" w:rsidR="0072615D" w:rsidRDefault="0072615D">
      <w:pPr>
        <w:pStyle w:val="Heading31"/>
        <w:keepNext/>
        <w:keepLines/>
        <w:framePr w:w="10546" w:h="557" w:wrap="none" w:hAnchor="page" w:x="1081" w:y="1"/>
        <w:spacing w:line="211" w:lineRule="auto"/>
        <w:jc w:val="center"/>
        <w:rPr>
          <w:sz w:val="16"/>
          <w:szCs w:val="16"/>
        </w:rPr>
      </w:pPr>
      <w:bookmarkStart w:id="367" w:name="bookmark367"/>
      <w:bookmarkStart w:id="368" w:name="bookmark368"/>
      <w:bookmarkStart w:id="369" w:name="bookmark369"/>
      <w:r>
        <w:rPr>
          <w:b w:val="0"/>
          <w:bCs w:val="0"/>
        </w:rPr>
        <w:t xml:space="preserve">Cuadro 2 - 2. </w:t>
      </w:r>
      <w:r>
        <w:t>Armas biológicas: métodos diagnósticos recomendados, precauciones en el aislamiento y tratamiento</w:t>
      </w:r>
      <w:r>
        <w:br/>
        <w:t xml:space="preserve">y profilaxia de niños </w:t>
      </w:r>
      <w:r>
        <w:rPr>
          <w:rFonts w:ascii="Times New Roman" w:eastAsia="Times New Roman" w:hAnsi="Times New Roman" w:cs="Times New Roman"/>
          <w:b w:val="0"/>
          <w:bCs w:val="0"/>
          <w:i/>
          <w:iCs/>
          <w:w w:val="100"/>
          <w:sz w:val="16"/>
          <w:szCs w:val="16"/>
        </w:rPr>
        <w:t>continuación</w:t>
      </w:r>
      <w:bookmarkEnd w:id="367"/>
      <w:bookmarkEnd w:id="368"/>
      <w:bookmarkEnd w:id="369"/>
    </w:p>
    <w:tbl>
      <w:tblPr>
        <w:tblOverlap w:val="never"/>
        <w:tblW w:w="0" w:type="auto"/>
        <w:tblLayout w:type="fixed"/>
        <w:tblCellMar>
          <w:left w:w="10" w:type="dxa"/>
          <w:right w:w="10" w:type="dxa"/>
        </w:tblCellMar>
        <w:tblLook w:val="04A0" w:firstRow="1" w:lastRow="0" w:firstColumn="1" w:lastColumn="0" w:noHBand="0" w:noVBand="1"/>
      </w:tblPr>
      <w:tblGrid>
        <w:gridCol w:w="1128"/>
        <w:gridCol w:w="1632"/>
        <w:gridCol w:w="3494"/>
        <w:gridCol w:w="1522"/>
        <w:gridCol w:w="1843"/>
        <w:gridCol w:w="1810"/>
      </w:tblGrid>
      <w:tr w:rsidR="0072615D" w14:paraId="543D1195" w14:textId="77777777">
        <w:tblPrEx>
          <w:tblCellMar>
            <w:top w:w="0" w:type="dxa"/>
            <w:bottom w:w="0" w:type="dxa"/>
          </w:tblCellMar>
        </w:tblPrEx>
        <w:trPr>
          <w:trHeight w:hRule="exact" w:val="278"/>
        </w:trPr>
        <w:tc>
          <w:tcPr>
            <w:tcW w:w="1128" w:type="dxa"/>
            <w:shd w:val="clear" w:color="auto" w:fill="231F20"/>
            <w:vAlign w:val="bottom"/>
          </w:tcPr>
          <w:p w14:paraId="6F854E99"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Agente</w:t>
            </w:r>
          </w:p>
        </w:tc>
        <w:tc>
          <w:tcPr>
            <w:tcW w:w="1632" w:type="dxa"/>
            <w:shd w:val="clear" w:color="auto" w:fill="231F20"/>
            <w:vAlign w:val="bottom"/>
          </w:tcPr>
          <w:p w14:paraId="68254701"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spacing w:line="240" w:lineRule="auto"/>
              <w:ind w:firstLine="340"/>
              <w:rPr>
                <w:sz w:val="24"/>
                <w:szCs w:val="24"/>
              </w:rPr>
            </w:pPr>
            <w:r>
              <w:rPr>
                <w:rFonts w:ascii="Arial" w:eastAsia="Arial" w:hAnsi="Arial" w:cs="Arial"/>
                <w:b/>
                <w:bCs/>
                <w:color w:val="FFFFFF"/>
                <w:w w:val="70"/>
                <w:sz w:val="24"/>
                <w:szCs w:val="24"/>
              </w:rPr>
              <w:t>Periodo</w:t>
            </w:r>
          </w:p>
        </w:tc>
        <w:tc>
          <w:tcPr>
            <w:tcW w:w="3494" w:type="dxa"/>
            <w:shd w:val="clear" w:color="auto" w:fill="231F20"/>
            <w:vAlign w:val="bottom"/>
          </w:tcPr>
          <w:p w14:paraId="7921E247"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tabs>
                <w:tab w:val="left" w:pos="1694"/>
              </w:tabs>
              <w:spacing w:line="240" w:lineRule="auto"/>
              <w:ind w:firstLine="0"/>
              <w:rPr>
                <w:sz w:val="24"/>
                <w:szCs w:val="24"/>
              </w:rPr>
            </w:pPr>
            <w:r>
              <w:rPr>
                <w:rFonts w:ascii="Arial" w:eastAsia="Arial" w:hAnsi="Arial" w:cs="Arial"/>
                <w:b/>
                <w:bCs/>
                <w:color w:val="FFFFFF"/>
                <w:w w:val="70"/>
                <w:sz w:val="24"/>
                <w:szCs w:val="24"/>
              </w:rPr>
              <w:t>Muestras para</w:t>
            </w:r>
            <w:r>
              <w:rPr>
                <w:rFonts w:ascii="Arial" w:eastAsia="Arial" w:hAnsi="Arial" w:cs="Arial"/>
                <w:b/>
                <w:bCs/>
                <w:color w:val="FFFFFF"/>
                <w:w w:val="70"/>
                <w:sz w:val="24"/>
                <w:szCs w:val="24"/>
              </w:rPr>
              <w:tab/>
              <w:t>Precauciones en</w:t>
            </w:r>
          </w:p>
        </w:tc>
        <w:tc>
          <w:tcPr>
            <w:tcW w:w="1522" w:type="dxa"/>
            <w:shd w:val="clear" w:color="auto" w:fill="231F20"/>
            <w:vAlign w:val="bottom"/>
          </w:tcPr>
          <w:p w14:paraId="23F2B3BB"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Opciones</w:t>
            </w:r>
          </w:p>
        </w:tc>
        <w:tc>
          <w:tcPr>
            <w:tcW w:w="1843" w:type="dxa"/>
            <w:shd w:val="clear" w:color="auto" w:fill="231F20"/>
            <w:vAlign w:val="bottom"/>
          </w:tcPr>
          <w:p w14:paraId="30E5E32D"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Profilaxia después</w:t>
            </w:r>
          </w:p>
        </w:tc>
        <w:tc>
          <w:tcPr>
            <w:tcW w:w="1810" w:type="dxa"/>
            <w:shd w:val="clear" w:color="auto" w:fill="231F20"/>
            <w:vAlign w:val="bottom"/>
          </w:tcPr>
          <w:p w14:paraId="7E4911CE"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Comentarios</w:t>
            </w:r>
          </w:p>
        </w:tc>
      </w:tr>
      <w:tr w:rsidR="0072615D" w14:paraId="42D2D079" w14:textId="77777777">
        <w:tblPrEx>
          <w:tblCellMar>
            <w:top w:w="0" w:type="dxa"/>
            <w:bottom w:w="0" w:type="dxa"/>
          </w:tblCellMar>
        </w:tblPrEx>
        <w:trPr>
          <w:trHeight w:hRule="exact" w:val="283"/>
        </w:trPr>
        <w:tc>
          <w:tcPr>
            <w:tcW w:w="1128" w:type="dxa"/>
            <w:shd w:val="clear" w:color="auto" w:fill="231F20"/>
          </w:tcPr>
          <w:p w14:paraId="45D863CF" w14:textId="77777777" w:rsidR="0072615D" w:rsidRDefault="0072615D">
            <w:pPr>
              <w:framePr w:w="11429" w:h="6086" w:wrap="none" w:hAnchor="page" w:x="635" w:y="611"/>
              <w:rPr>
                <w:sz w:val="10"/>
                <w:szCs w:val="10"/>
              </w:rPr>
            </w:pPr>
          </w:p>
        </w:tc>
        <w:tc>
          <w:tcPr>
            <w:tcW w:w="1632" w:type="dxa"/>
            <w:shd w:val="clear" w:color="auto" w:fill="231F20"/>
          </w:tcPr>
          <w:p w14:paraId="1979DE82"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spacing w:line="240" w:lineRule="auto"/>
              <w:ind w:firstLine="340"/>
              <w:rPr>
                <w:sz w:val="24"/>
                <w:szCs w:val="24"/>
              </w:rPr>
            </w:pPr>
            <w:r>
              <w:rPr>
                <w:rFonts w:ascii="Arial" w:eastAsia="Arial" w:hAnsi="Arial" w:cs="Arial"/>
                <w:b/>
                <w:bCs/>
                <w:color w:val="FFFFFF"/>
                <w:w w:val="70"/>
                <w:sz w:val="24"/>
                <w:szCs w:val="24"/>
              </w:rPr>
              <w:t>de incubación</w:t>
            </w:r>
          </w:p>
        </w:tc>
        <w:tc>
          <w:tcPr>
            <w:tcW w:w="3494" w:type="dxa"/>
            <w:shd w:val="clear" w:color="auto" w:fill="231F20"/>
          </w:tcPr>
          <w:p w14:paraId="7359E0B0"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tabs>
                <w:tab w:val="left" w:pos="1694"/>
              </w:tabs>
              <w:spacing w:line="240" w:lineRule="auto"/>
              <w:ind w:firstLine="0"/>
              <w:rPr>
                <w:sz w:val="24"/>
                <w:szCs w:val="24"/>
              </w:rPr>
            </w:pPr>
            <w:r>
              <w:rPr>
                <w:rFonts w:ascii="Arial" w:eastAsia="Arial" w:hAnsi="Arial" w:cs="Arial"/>
                <w:b/>
                <w:bCs/>
                <w:color w:val="FFFFFF"/>
                <w:w w:val="70"/>
                <w:sz w:val="24"/>
                <w:szCs w:val="24"/>
              </w:rPr>
              <w:t>el diagnóstico</w:t>
            </w:r>
            <w:r>
              <w:rPr>
                <w:rFonts w:ascii="Arial" w:eastAsia="Arial" w:hAnsi="Arial" w:cs="Arial"/>
                <w:b/>
                <w:bCs/>
                <w:color w:val="FFFFFF"/>
                <w:w w:val="70"/>
                <w:sz w:val="24"/>
                <w:szCs w:val="24"/>
              </w:rPr>
              <w:tab/>
              <w:t>el aislamiento</w:t>
            </w:r>
          </w:p>
        </w:tc>
        <w:tc>
          <w:tcPr>
            <w:tcW w:w="1522" w:type="dxa"/>
            <w:shd w:val="clear" w:color="auto" w:fill="231F20"/>
          </w:tcPr>
          <w:p w14:paraId="5A0DBA5E"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terapéuticas</w:t>
            </w:r>
          </w:p>
        </w:tc>
        <w:tc>
          <w:tcPr>
            <w:tcW w:w="1843" w:type="dxa"/>
            <w:shd w:val="clear" w:color="auto" w:fill="231F20"/>
          </w:tcPr>
          <w:p w14:paraId="5BB3A0DB" w14:textId="77777777" w:rsidR="0072615D" w:rsidRDefault="0072615D">
            <w:pPr>
              <w:pStyle w:val="Other0"/>
              <w:framePr w:w="11429" w:h="6086" w:wrap="none" w:hAnchor="page" w:x="635" w:y="61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de exposición</w:t>
            </w:r>
            <w:r>
              <w:rPr>
                <w:rFonts w:ascii="Times New Roman" w:eastAsia="Times New Roman" w:hAnsi="Times New Roman" w:cs="Times New Roman"/>
                <w:color w:val="FFFFFF"/>
                <w:sz w:val="8"/>
                <w:szCs w:val="8"/>
                <w:vertAlign w:val="superscript"/>
              </w:rPr>
              <w:t>1</w:t>
            </w:r>
          </w:p>
        </w:tc>
        <w:tc>
          <w:tcPr>
            <w:tcW w:w="1810" w:type="dxa"/>
            <w:shd w:val="clear" w:color="auto" w:fill="231F20"/>
          </w:tcPr>
          <w:p w14:paraId="152EE34D" w14:textId="77777777" w:rsidR="0072615D" w:rsidRDefault="0072615D">
            <w:pPr>
              <w:framePr w:w="11429" w:h="6086" w:wrap="none" w:hAnchor="page" w:x="635" w:y="611"/>
              <w:rPr>
                <w:sz w:val="10"/>
                <w:szCs w:val="10"/>
              </w:rPr>
            </w:pPr>
          </w:p>
        </w:tc>
      </w:tr>
      <w:tr w:rsidR="0072615D" w14:paraId="284F1915" w14:textId="77777777">
        <w:tblPrEx>
          <w:tblCellMar>
            <w:top w:w="0" w:type="dxa"/>
            <w:bottom w:w="0" w:type="dxa"/>
          </w:tblCellMar>
        </w:tblPrEx>
        <w:trPr>
          <w:trHeight w:hRule="exact" w:val="274"/>
        </w:trPr>
        <w:tc>
          <w:tcPr>
            <w:tcW w:w="1128" w:type="dxa"/>
            <w:shd w:val="clear" w:color="auto" w:fill="FFFFFF"/>
            <w:vAlign w:val="bottom"/>
          </w:tcPr>
          <w:p w14:paraId="2C948115" w14:textId="77777777" w:rsidR="0072615D" w:rsidRDefault="0072615D">
            <w:pPr>
              <w:pStyle w:val="Other0"/>
              <w:framePr w:w="11429" w:h="6086" w:wrap="none" w:hAnchor="page" w:x="635" w:y="611"/>
              <w:spacing w:line="240" w:lineRule="auto"/>
              <w:ind w:firstLine="0"/>
              <w:rPr>
                <w:sz w:val="16"/>
                <w:szCs w:val="16"/>
              </w:rPr>
            </w:pPr>
            <w:r>
              <w:rPr>
                <w:rFonts w:ascii="Times New Roman" w:eastAsia="Times New Roman" w:hAnsi="Times New Roman" w:cs="Times New Roman"/>
                <w:sz w:val="16"/>
                <w:szCs w:val="16"/>
              </w:rPr>
              <w:t>Botulismo</w:t>
            </w:r>
          </w:p>
        </w:tc>
        <w:tc>
          <w:tcPr>
            <w:tcW w:w="1632" w:type="dxa"/>
            <w:shd w:val="clear" w:color="auto" w:fill="FFFFFF"/>
            <w:vAlign w:val="bottom"/>
          </w:tcPr>
          <w:p w14:paraId="5828D546" w14:textId="77777777" w:rsidR="0072615D" w:rsidRDefault="0072615D">
            <w:pPr>
              <w:pStyle w:val="Other0"/>
              <w:framePr w:w="11429" w:h="6086" w:wrap="none" w:hAnchor="page" w:x="635" w:y="611"/>
              <w:spacing w:line="240" w:lineRule="auto"/>
              <w:ind w:firstLine="340"/>
              <w:rPr>
                <w:sz w:val="16"/>
                <w:szCs w:val="16"/>
              </w:rPr>
            </w:pPr>
            <w:r>
              <w:rPr>
                <w:rFonts w:ascii="Times New Roman" w:eastAsia="Times New Roman" w:hAnsi="Times New Roman" w:cs="Times New Roman"/>
                <w:sz w:val="16"/>
                <w:szCs w:val="16"/>
              </w:rPr>
              <w:t>Transmisión por</w:t>
            </w:r>
          </w:p>
        </w:tc>
        <w:tc>
          <w:tcPr>
            <w:tcW w:w="3494" w:type="dxa"/>
            <w:shd w:val="clear" w:color="auto" w:fill="FFFFFF"/>
            <w:vAlign w:val="bottom"/>
          </w:tcPr>
          <w:p w14:paraId="318AC5AF" w14:textId="77777777" w:rsidR="0072615D" w:rsidRDefault="0072615D">
            <w:pPr>
              <w:pStyle w:val="Other0"/>
              <w:framePr w:w="11429" w:h="6086" w:wrap="none" w:hAnchor="page" w:x="635" w:y="611"/>
              <w:spacing w:line="240" w:lineRule="auto"/>
              <w:ind w:firstLine="0"/>
              <w:rPr>
                <w:sz w:val="16"/>
                <w:szCs w:val="16"/>
              </w:rPr>
            </w:pPr>
            <w:r>
              <w:rPr>
                <w:rFonts w:ascii="Times New Roman" w:eastAsia="Times New Roman" w:hAnsi="Times New Roman" w:cs="Times New Roman"/>
                <w:sz w:val="16"/>
                <w:szCs w:val="16"/>
              </w:rPr>
              <w:t>Detección de toxina de Habitual</w:t>
            </w:r>
          </w:p>
        </w:tc>
        <w:tc>
          <w:tcPr>
            <w:tcW w:w="1522" w:type="dxa"/>
            <w:shd w:val="clear" w:color="auto" w:fill="FFFFFF"/>
            <w:vAlign w:val="bottom"/>
          </w:tcPr>
          <w:p w14:paraId="33CE8997" w14:textId="77777777" w:rsidR="0072615D" w:rsidRDefault="0072615D">
            <w:pPr>
              <w:pStyle w:val="Other0"/>
              <w:framePr w:w="11429" w:h="6086" w:wrap="none" w:hAnchor="page" w:x="635" w:y="611"/>
              <w:spacing w:line="240" w:lineRule="auto"/>
              <w:ind w:firstLine="140"/>
              <w:rPr>
                <w:sz w:val="16"/>
                <w:szCs w:val="16"/>
              </w:rPr>
            </w:pPr>
            <w:r>
              <w:rPr>
                <w:rFonts w:ascii="Times New Roman" w:eastAsia="Times New Roman" w:hAnsi="Times New Roman" w:cs="Times New Roman"/>
                <w:sz w:val="16"/>
                <w:szCs w:val="16"/>
              </w:rPr>
              <w:t>Medidas de sostén;</w:t>
            </w:r>
          </w:p>
        </w:tc>
        <w:tc>
          <w:tcPr>
            <w:tcW w:w="1843" w:type="dxa"/>
            <w:shd w:val="clear" w:color="auto" w:fill="FFFFFF"/>
          </w:tcPr>
          <w:p w14:paraId="1581367B" w14:textId="77777777" w:rsidR="0072615D" w:rsidRDefault="0072615D">
            <w:pPr>
              <w:framePr w:w="11429" w:h="6086" w:wrap="none" w:hAnchor="page" w:x="635" w:y="611"/>
              <w:rPr>
                <w:sz w:val="10"/>
                <w:szCs w:val="10"/>
              </w:rPr>
            </w:pPr>
          </w:p>
        </w:tc>
        <w:tc>
          <w:tcPr>
            <w:tcW w:w="1810" w:type="dxa"/>
            <w:shd w:val="clear" w:color="auto" w:fill="FFFFFF"/>
            <w:vAlign w:val="bottom"/>
          </w:tcPr>
          <w:p w14:paraId="1913D13F" w14:textId="77777777" w:rsidR="0072615D" w:rsidRDefault="0072615D">
            <w:pPr>
              <w:pStyle w:val="Other0"/>
              <w:framePr w:w="11429" w:h="6086" w:wrap="none" w:hAnchor="page" w:x="635" w:y="611"/>
              <w:spacing w:line="240" w:lineRule="auto"/>
              <w:ind w:firstLine="0"/>
              <w:rPr>
                <w:sz w:val="16"/>
                <w:szCs w:val="16"/>
              </w:rPr>
            </w:pPr>
            <w:r>
              <w:rPr>
                <w:rFonts w:ascii="Times New Roman" w:eastAsia="Times New Roman" w:hAnsi="Times New Roman" w:cs="Times New Roman"/>
                <w:sz w:val="16"/>
                <w:szCs w:val="16"/>
              </w:rPr>
              <w:t>Es necesario</w:t>
            </w:r>
          </w:p>
        </w:tc>
      </w:tr>
      <w:tr w:rsidR="0072615D" w14:paraId="58E33051" w14:textId="77777777">
        <w:tblPrEx>
          <w:tblCellMar>
            <w:top w:w="0" w:type="dxa"/>
            <w:bottom w:w="0" w:type="dxa"/>
          </w:tblCellMar>
        </w:tblPrEx>
        <w:trPr>
          <w:trHeight w:hRule="exact" w:val="216"/>
        </w:trPr>
        <w:tc>
          <w:tcPr>
            <w:tcW w:w="1128" w:type="dxa"/>
            <w:shd w:val="clear" w:color="auto" w:fill="FFFFFF"/>
          </w:tcPr>
          <w:p w14:paraId="7D820122" w14:textId="77777777" w:rsidR="0072615D" w:rsidRDefault="0072615D">
            <w:pPr>
              <w:framePr w:w="11429" w:h="6086" w:wrap="none" w:hAnchor="page" w:x="635" w:y="611"/>
              <w:rPr>
                <w:sz w:val="10"/>
                <w:szCs w:val="10"/>
              </w:rPr>
            </w:pPr>
          </w:p>
        </w:tc>
        <w:tc>
          <w:tcPr>
            <w:tcW w:w="1632" w:type="dxa"/>
            <w:shd w:val="clear" w:color="auto" w:fill="FFFFFF"/>
            <w:vAlign w:val="bottom"/>
          </w:tcPr>
          <w:p w14:paraId="7F7272A1" w14:textId="77777777" w:rsidR="0072615D" w:rsidRDefault="0072615D">
            <w:pPr>
              <w:pStyle w:val="Other0"/>
              <w:framePr w:w="11429" w:h="6086" w:wrap="none" w:hAnchor="page" w:x="635" w:y="611"/>
              <w:spacing w:line="240" w:lineRule="auto"/>
              <w:ind w:firstLine="440"/>
              <w:rPr>
                <w:sz w:val="16"/>
                <w:szCs w:val="16"/>
              </w:rPr>
            </w:pPr>
            <w:r>
              <w:rPr>
                <w:rFonts w:ascii="Times New Roman" w:eastAsia="Times New Roman" w:hAnsi="Times New Roman" w:cs="Times New Roman"/>
                <w:sz w:val="16"/>
                <w:szCs w:val="16"/>
              </w:rPr>
              <w:t>alimentos:</w:t>
            </w:r>
          </w:p>
        </w:tc>
        <w:tc>
          <w:tcPr>
            <w:tcW w:w="3494" w:type="dxa"/>
            <w:shd w:val="clear" w:color="auto" w:fill="FFFFFF"/>
            <w:vAlign w:val="bottom"/>
          </w:tcPr>
          <w:p w14:paraId="64A47F4D"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suero, heces, líquido</w:t>
            </w:r>
          </w:p>
        </w:tc>
        <w:tc>
          <w:tcPr>
            <w:tcW w:w="1522" w:type="dxa"/>
            <w:shd w:val="clear" w:color="auto" w:fill="FFFFFF"/>
            <w:vAlign w:val="bottom"/>
          </w:tcPr>
          <w:p w14:paraId="15B48DB5"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se necesita a veces</w:t>
            </w:r>
          </w:p>
        </w:tc>
        <w:tc>
          <w:tcPr>
            <w:tcW w:w="1843" w:type="dxa"/>
            <w:shd w:val="clear" w:color="auto" w:fill="FFFFFF"/>
          </w:tcPr>
          <w:p w14:paraId="4AAD1F56" w14:textId="77777777" w:rsidR="0072615D" w:rsidRDefault="0072615D">
            <w:pPr>
              <w:framePr w:w="11429" w:h="6086" w:wrap="none" w:hAnchor="page" w:x="635" w:y="611"/>
              <w:rPr>
                <w:sz w:val="10"/>
                <w:szCs w:val="10"/>
              </w:rPr>
            </w:pPr>
          </w:p>
        </w:tc>
        <w:tc>
          <w:tcPr>
            <w:tcW w:w="1810" w:type="dxa"/>
            <w:shd w:val="clear" w:color="auto" w:fill="FFFFFF"/>
            <w:vAlign w:val="bottom"/>
          </w:tcPr>
          <w:p w14:paraId="6E980420"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administrar antitoxina</w:t>
            </w:r>
          </w:p>
        </w:tc>
      </w:tr>
      <w:tr w:rsidR="0072615D" w14:paraId="632CBCCE" w14:textId="77777777">
        <w:tblPrEx>
          <w:tblCellMar>
            <w:top w:w="0" w:type="dxa"/>
            <w:bottom w:w="0" w:type="dxa"/>
          </w:tblCellMar>
        </w:tblPrEx>
        <w:trPr>
          <w:trHeight w:hRule="exact" w:val="230"/>
        </w:trPr>
        <w:tc>
          <w:tcPr>
            <w:tcW w:w="1128" w:type="dxa"/>
            <w:shd w:val="clear" w:color="auto" w:fill="FFFFFF"/>
          </w:tcPr>
          <w:p w14:paraId="1EC17476" w14:textId="77777777" w:rsidR="0072615D" w:rsidRDefault="0072615D">
            <w:pPr>
              <w:framePr w:w="11429" w:h="6086" w:wrap="none" w:hAnchor="page" w:x="635" w:y="611"/>
              <w:rPr>
                <w:sz w:val="10"/>
                <w:szCs w:val="10"/>
              </w:rPr>
            </w:pPr>
          </w:p>
        </w:tc>
        <w:tc>
          <w:tcPr>
            <w:tcW w:w="1632" w:type="dxa"/>
            <w:shd w:val="clear" w:color="auto" w:fill="FFFFFF"/>
          </w:tcPr>
          <w:p w14:paraId="7E9D8EF5" w14:textId="77777777" w:rsidR="0072615D" w:rsidRDefault="0072615D">
            <w:pPr>
              <w:pStyle w:val="Other0"/>
              <w:framePr w:w="11429" w:h="6086" w:wrap="none" w:hAnchor="page" w:x="635" w:y="611"/>
              <w:spacing w:line="240" w:lineRule="auto"/>
              <w:ind w:firstLine="440"/>
              <w:rPr>
                <w:sz w:val="16"/>
                <w:szCs w:val="16"/>
              </w:rPr>
            </w:pPr>
            <w:r>
              <w:rPr>
                <w:rFonts w:ascii="Times New Roman" w:eastAsia="Times New Roman" w:hAnsi="Times New Roman" w:cs="Times New Roman"/>
                <w:sz w:val="16"/>
                <w:szCs w:val="16"/>
              </w:rPr>
              <w:t>2 h-8 días; por</w:t>
            </w:r>
          </w:p>
        </w:tc>
        <w:tc>
          <w:tcPr>
            <w:tcW w:w="3494" w:type="dxa"/>
            <w:shd w:val="clear" w:color="auto" w:fill="FFFFFF"/>
          </w:tcPr>
          <w:p w14:paraId="7D8240C4"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de enema o del</w:t>
            </w:r>
          </w:p>
        </w:tc>
        <w:tc>
          <w:tcPr>
            <w:tcW w:w="1522" w:type="dxa"/>
            <w:shd w:val="clear" w:color="auto" w:fill="FFFFFF"/>
          </w:tcPr>
          <w:p w14:paraId="08FB9179"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ventilación</w:t>
            </w:r>
          </w:p>
        </w:tc>
        <w:tc>
          <w:tcPr>
            <w:tcW w:w="1843" w:type="dxa"/>
            <w:shd w:val="clear" w:color="auto" w:fill="FFFFFF"/>
          </w:tcPr>
          <w:p w14:paraId="36088295" w14:textId="77777777" w:rsidR="0072615D" w:rsidRDefault="0072615D">
            <w:pPr>
              <w:framePr w:w="11429" w:h="6086" w:wrap="none" w:hAnchor="page" w:x="635" w:y="611"/>
              <w:rPr>
                <w:sz w:val="10"/>
                <w:szCs w:val="10"/>
              </w:rPr>
            </w:pPr>
          </w:p>
        </w:tc>
        <w:tc>
          <w:tcPr>
            <w:tcW w:w="1810" w:type="dxa"/>
            <w:shd w:val="clear" w:color="auto" w:fill="FFFFFF"/>
          </w:tcPr>
          <w:p w14:paraId="7F866DBC"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específica de tipos en</w:t>
            </w:r>
          </w:p>
        </w:tc>
      </w:tr>
      <w:tr w:rsidR="0072615D" w14:paraId="058945FC" w14:textId="77777777">
        <w:tblPrEx>
          <w:tblCellMar>
            <w:top w:w="0" w:type="dxa"/>
            <w:bottom w:w="0" w:type="dxa"/>
          </w:tblCellMar>
        </w:tblPrEx>
        <w:trPr>
          <w:trHeight w:hRule="exact" w:val="202"/>
        </w:trPr>
        <w:tc>
          <w:tcPr>
            <w:tcW w:w="1128" w:type="dxa"/>
            <w:shd w:val="clear" w:color="auto" w:fill="FFFFFF"/>
          </w:tcPr>
          <w:p w14:paraId="46542040" w14:textId="77777777" w:rsidR="0072615D" w:rsidRDefault="0072615D">
            <w:pPr>
              <w:framePr w:w="11429" w:h="6086" w:wrap="none" w:hAnchor="page" w:x="635" w:y="611"/>
              <w:rPr>
                <w:sz w:val="10"/>
                <w:szCs w:val="10"/>
              </w:rPr>
            </w:pPr>
          </w:p>
        </w:tc>
        <w:tc>
          <w:tcPr>
            <w:tcW w:w="1632" w:type="dxa"/>
            <w:shd w:val="clear" w:color="auto" w:fill="FFFFFF"/>
            <w:vAlign w:val="bottom"/>
          </w:tcPr>
          <w:p w14:paraId="246602EE" w14:textId="77777777" w:rsidR="0072615D" w:rsidRDefault="0072615D">
            <w:pPr>
              <w:pStyle w:val="Other0"/>
              <w:framePr w:w="11429" w:h="6086" w:wrap="none" w:hAnchor="page" w:x="635" w:y="611"/>
              <w:spacing w:line="240" w:lineRule="auto"/>
              <w:ind w:firstLine="440"/>
              <w:rPr>
                <w:sz w:val="16"/>
                <w:szCs w:val="16"/>
              </w:rPr>
            </w:pPr>
            <w:r>
              <w:rPr>
                <w:rFonts w:ascii="Times New Roman" w:eastAsia="Times New Roman" w:hAnsi="Times New Roman" w:cs="Times New Roman"/>
                <w:sz w:val="16"/>
                <w:szCs w:val="16"/>
              </w:rPr>
              <w:t>inhalación:</w:t>
            </w:r>
          </w:p>
        </w:tc>
        <w:tc>
          <w:tcPr>
            <w:tcW w:w="3494" w:type="dxa"/>
            <w:shd w:val="clear" w:color="auto" w:fill="FFFFFF"/>
            <w:vAlign w:val="bottom"/>
          </w:tcPr>
          <w:p w14:paraId="788B2977"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estómago, vómito o</w:t>
            </w:r>
          </w:p>
        </w:tc>
        <w:tc>
          <w:tcPr>
            <w:tcW w:w="1522" w:type="dxa"/>
            <w:shd w:val="clear" w:color="auto" w:fill="FFFFFF"/>
            <w:vAlign w:val="bottom"/>
          </w:tcPr>
          <w:p w14:paraId="0DC2C59A"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mecánica y</w:t>
            </w:r>
          </w:p>
        </w:tc>
        <w:tc>
          <w:tcPr>
            <w:tcW w:w="1843" w:type="dxa"/>
            <w:shd w:val="clear" w:color="auto" w:fill="FFFFFF"/>
          </w:tcPr>
          <w:p w14:paraId="042352BB" w14:textId="77777777" w:rsidR="0072615D" w:rsidRDefault="0072615D">
            <w:pPr>
              <w:framePr w:w="11429" w:h="6086" w:wrap="none" w:hAnchor="page" w:x="635" w:y="611"/>
              <w:rPr>
                <w:sz w:val="10"/>
                <w:szCs w:val="10"/>
              </w:rPr>
            </w:pPr>
          </w:p>
        </w:tc>
        <w:tc>
          <w:tcPr>
            <w:tcW w:w="1810" w:type="dxa"/>
            <w:shd w:val="clear" w:color="auto" w:fill="FFFFFF"/>
            <w:vAlign w:val="bottom"/>
          </w:tcPr>
          <w:p w14:paraId="5A2982BC"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la medida de lo</w:t>
            </w:r>
          </w:p>
        </w:tc>
      </w:tr>
      <w:tr w:rsidR="0072615D" w14:paraId="3AE4C4A6" w14:textId="77777777">
        <w:tblPrEx>
          <w:tblCellMar>
            <w:top w:w="0" w:type="dxa"/>
            <w:bottom w:w="0" w:type="dxa"/>
          </w:tblCellMar>
        </w:tblPrEx>
        <w:trPr>
          <w:trHeight w:hRule="exact" w:val="216"/>
        </w:trPr>
        <w:tc>
          <w:tcPr>
            <w:tcW w:w="1128" w:type="dxa"/>
            <w:shd w:val="clear" w:color="auto" w:fill="FFFFFF"/>
          </w:tcPr>
          <w:p w14:paraId="7E4E864C" w14:textId="77777777" w:rsidR="0072615D" w:rsidRDefault="0072615D">
            <w:pPr>
              <w:framePr w:w="11429" w:h="6086" w:wrap="none" w:hAnchor="page" w:x="635" w:y="611"/>
              <w:rPr>
                <w:sz w:val="10"/>
                <w:szCs w:val="10"/>
              </w:rPr>
            </w:pPr>
          </w:p>
        </w:tc>
        <w:tc>
          <w:tcPr>
            <w:tcW w:w="1632" w:type="dxa"/>
            <w:shd w:val="clear" w:color="auto" w:fill="FFFFFF"/>
            <w:vAlign w:val="bottom"/>
          </w:tcPr>
          <w:p w14:paraId="258302D4" w14:textId="77777777" w:rsidR="0072615D" w:rsidRDefault="0072615D">
            <w:pPr>
              <w:pStyle w:val="Other0"/>
              <w:framePr w:w="11429" w:h="6086" w:wrap="none" w:hAnchor="page" w:x="635" w:y="611"/>
              <w:spacing w:line="240" w:lineRule="auto"/>
              <w:ind w:firstLine="440"/>
              <w:rPr>
                <w:sz w:val="16"/>
                <w:szCs w:val="16"/>
              </w:rPr>
            </w:pPr>
            <w:r>
              <w:rPr>
                <w:rFonts w:ascii="Times New Roman" w:eastAsia="Times New Roman" w:hAnsi="Times New Roman" w:cs="Times New Roman"/>
                <w:sz w:val="16"/>
                <w:szCs w:val="16"/>
              </w:rPr>
              <w:t>24-72 h</w:t>
            </w:r>
          </w:p>
        </w:tc>
        <w:tc>
          <w:tcPr>
            <w:tcW w:w="3494" w:type="dxa"/>
            <w:shd w:val="clear" w:color="auto" w:fill="FFFFFF"/>
            <w:vAlign w:val="bottom"/>
          </w:tcPr>
          <w:p w14:paraId="2E10442D"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muestras de alimentos</w:t>
            </w:r>
          </w:p>
        </w:tc>
        <w:tc>
          <w:tcPr>
            <w:tcW w:w="1522" w:type="dxa"/>
            <w:shd w:val="clear" w:color="auto" w:fill="FFFFFF"/>
            <w:vAlign w:val="bottom"/>
          </w:tcPr>
          <w:p w14:paraId="41143EED"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nutrición. Tan</w:t>
            </w:r>
          </w:p>
        </w:tc>
        <w:tc>
          <w:tcPr>
            <w:tcW w:w="1843" w:type="dxa"/>
            <w:shd w:val="clear" w:color="auto" w:fill="FFFFFF"/>
          </w:tcPr>
          <w:p w14:paraId="40BED600" w14:textId="77777777" w:rsidR="0072615D" w:rsidRDefault="0072615D">
            <w:pPr>
              <w:framePr w:w="11429" w:h="6086" w:wrap="none" w:hAnchor="page" w:x="635" w:y="611"/>
              <w:rPr>
                <w:sz w:val="10"/>
                <w:szCs w:val="10"/>
              </w:rPr>
            </w:pPr>
          </w:p>
        </w:tc>
        <w:tc>
          <w:tcPr>
            <w:tcW w:w="1810" w:type="dxa"/>
            <w:shd w:val="clear" w:color="auto" w:fill="FFFFFF"/>
            <w:vAlign w:val="bottom"/>
          </w:tcPr>
          <w:p w14:paraId="742497E9"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posible; dicho</w:t>
            </w:r>
          </w:p>
        </w:tc>
      </w:tr>
      <w:tr w:rsidR="0072615D" w14:paraId="4FEA4F88" w14:textId="77777777">
        <w:tblPrEx>
          <w:tblCellMar>
            <w:top w:w="0" w:type="dxa"/>
            <w:bottom w:w="0" w:type="dxa"/>
          </w:tblCellMar>
        </w:tblPrEx>
        <w:trPr>
          <w:trHeight w:hRule="exact" w:val="230"/>
        </w:trPr>
        <w:tc>
          <w:tcPr>
            <w:tcW w:w="1128" w:type="dxa"/>
            <w:shd w:val="clear" w:color="auto" w:fill="FFFFFF"/>
          </w:tcPr>
          <w:p w14:paraId="7558E9A5" w14:textId="77777777" w:rsidR="0072615D" w:rsidRDefault="0072615D">
            <w:pPr>
              <w:framePr w:w="11429" w:h="6086" w:wrap="none" w:hAnchor="page" w:x="635" w:y="611"/>
              <w:rPr>
                <w:sz w:val="10"/>
                <w:szCs w:val="10"/>
              </w:rPr>
            </w:pPr>
          </w:p>
        </w:tc>
        <w:tc>
          <w:tcPr>
            <w:tcW w:w="1632" w:type="dxa"/>
            <w:shd w:val="clear" w:color="auto" w:fill="FFFFFF"/>
          </w:tcPr>
          <w:p w14:paraId="6F085ADF" w14:textId="77777777" w:rsidR="0072615D" w:rsidRDefault="0072615D">
            <w:pPr>
              <w:framePr w:w="11429" w:h="6086" w:wrap="none" w:hAnchor="page" w:x="635" w:y="611"/>
              <w:rPr>
                <w:sz w:val="10"/>
                <w:szCs w:val="10"/>
              </w:rPr>
            </w:pPr>
          </w:p>
        </w:tc>
        <w:tc>
          <w:tcPr>
            <w:tcW w:w="3494" w:type="dxa"/>
            <w:shd w:val="clear" w:color="auto" w:fill="FFFFFF"/>
            <w:vAlign w:val="bottom"/>
          </w:tcPr>
          <w:p w14:paraId="2E9307A3"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sospechosos; cultivo</w:t>
            </w:r>
          </w:p>
        </w:tc>
        <w:tc>
          <w:tcPr>
            <w:tcW w:w="1522" w:type="dxa"/>
            <w:shd w:val="clear" w:color="auto" w:fill="FFFFFF"/>
            <w:vAlign w:val="bottom"/>
          </w:tcPr>
          <w:p w14:paraId="5998BDF9"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pronto sea posible</w:t>
            </w:r>
          </w:p>
        </w:tc>
        <w:tc>
          <w:tcPr>
            <w:tcW w:w="1843" w:type="dxa"/>
            <w:shd w:val="clear" w:color="auto" w:fill="FFFFFF"/>
          </w:tcPr>
          <w:p w14:paraId="53BCD76B" w14:textId="77777777" w:rsidR="0072615D" w:rsidRDefault="0072615D">
            <w:pPr>
              <w:framePr w:w="11429" w:h="6086" w:wrap="none" w:hAnchor="page" w:x="635" w:y="611"/>
              <w:rPr>
                <w:sz w:val="10"/>
                <w:szCs w:val="10"/>
              </w:rPr>
            </w:pPr>
          </w:p>
        </w:tc>
        <w:tc>
          <w:tcPr>
            <w:tcW w:w="1810" w:type="dxa"/>
            <w:shd w:val="clear" w:color="auto" w:fill="FFFFFF"/>
            <w:vAlign w:val="bottom"/>
          </w:tcPr>
          <w:p w14:paraId="0EA0F52C"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producto evita el</w:t>
            </w:r>
          </w:p>
        </w:tc>
      </w:tr>
      <w:tr w:rsidR="0072615D" w14:paraId="69853DAB" w14:textId="77777777">
        <w:tblPrEx>
          <w:tblCellMar>
            <w:top w:w="0" w:type="dxa"/>
            <w:bottom w:w="0" w:type="dxa"/>
          </w:tblCellMar>
        </w:tblPrEx>
        <w:trPr>
          <w:trHeight w:hRule="exact" w:val="202"/>
        </w:trPr>
        <w:tc>
          <w:tcPr>
            <w:tcW w:w="1128" w:type="dxa"/>
            <w:shd w:val="clear" w:color="auto" w:fill="FFFFFF"/>
          </w:tcPr>
          <w:p w14:paraId="6AF9F73C" w14:textId="77777777" w:rsidR="0072615D" w:rsidRDefault="0072615D">
            <w:pPr>
              <w:framePr w:w="11429" w:h="6086" w:wrap="none" w:hAnchor="page" w:x="635" w:y="611"/>
              <w:rPr>
                <w:sz w:val="10"/>
                <w:szCs w:val="10"/>
              </w:rPr>
            </w:pPr>
          </w:p>
        </w:tc>
        <w:tc>
          <w:tcPr>
            <w:tcW w:w="1632" w:type="dxa"/>
            <w:shd w:val="clear" w:color="auto" w:fill="FFFFFF"/>
          </w:tcPr>
          <w:p w14:paraId="128EA90B" w14:textId="77777777" w:rsidR="0072615D" w:rsidRDefault="0072615D">
            <w:pPr>
              <w:framePr w:w="11429" w:h="6086" w:wrap="none" w:hAnchor="page" w:x="635" w:y="611"/>
              <w:rPr>
                <w:sz w:val="10"/>
                <w:szCs w:val="10"/>
              </w:rPr>
            </w:pPr>
          </w:p>
        </w:tc>
        <w:tc>
          <w:tcPr>
            <w:tcW w:w="3494" w:type="dxa"/>
            <w:shd w:val="clear" w:color="auto" w:fill="FFFFFF"/>
          </w:tcPr>
          <w:p w14:paraId="05F7C25F"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de heces o secreciones</w:t>
            </w:r>
          </w:p>
        </w:tc>
        <w:tc>
          <w:tcPr>
            <w:tcW w:w="1522" w:type="dxa"/>
            <w:shd w:val="clear" w:color="auto" w:fill="FFFFFF"/>
          </w:tcPr>
          <w:p w14:paraId="0CE872E8"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administrar</w:t>
            </w:r>
          </w:p>
        </w:tc>
        <w:tc>
          <w:tcPr>
            <w:tcW w:w="1843" w:type="dxa"/>
            <w:shd w:val="clear" w:color="auto" w:fill="FFFFFF"/>
          </w:tcPr>
          <w:p w14:paraId="4C8CF131" w14:textId="77777777" w:rsidR="0072615D" w:rsidRDefault="0072615D">
            <w:pPr>
              <w:framePr w:w="11429" w:h="6086" w:wrap="none" w:hAnchor="page" w:x="635" w:y="611"/>
              <w:rPr>
                <w:sz w:val="10"/>
                <w:szCs w:val="10"/>
              </w:rPr>
            </w:pPr>
          </w:p>
        </w:tc>
        <w:tc>
          <w:tcPr>
            <w:tcW w:w="1810" w:type="dxa"/>
            <w:shd w:val="clear" w:color="auto" w:fill="FFFFFF"/>
          </w:tcPr>
          <w:p w14:paraId="560DC682"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daño adicional</w:t>
            </w:r>
          </w:p>
        </w:tc>
      </w:tr>
      <w:tr w:rsidR="0072615D" w14:paraId="46A84A69" w14:textId="77777777">
        <w:tblPrEx>
          <w:tblCellMar>
            <w:top w:w="0" w:type="dxa"/>
            <w:bottom w:w="0" w:type="dxa"/>
          </w:tblCellMar>
        </w:tblPrEx>
        <w:trPr>
          <w:trHeight w:hRule="exact" w:val="230"/>
        </w:trPr>
        <w:tc>
          <w:tcPr>
            <w:tcW w:w="1128" w:type="dxa"/>
            <w:shd w:val="clear" w:color="auto" w:fill="FFFFFF"/>
          </w:tcPr>
          <w:p w14:paraId="379BBE29" w14:textId="77777777" w:rsidR="0072615D" w:rsidRDefault="0072615D">
            <w:pPr>
              <w:framePr w:w="11429" w:h="6086" w:wrap="none" w:hAnchor="page" w:x="635" w:y="611"/>
              <w:rPr>
                <w:sz w:val="10"/>
                <w:szCs w:val="10"/>
              </w:rPr>
            </w:pPr>
          </w:p>
        </w:tc>
        <w:tc>
          <w:tcPr>
            <w:tcW w:w="1632" w:type="dxa"/>
            <w:shd w:val="clear" w:color="auto" w:fill="FFFFFF"/>
          </w:tcPr>
          <w:p w14:paraId="6CDAFA17" w14:textId="77777777" w:rsidR="0072615D" w:rsidRDefault="0072615D">
            <w:pPr>
              <w:framePr w:w="11429" w:h="6086" w:wrap="none" w:hAnchor="page" w:x="635" w:y="611"/>
              <w:rPr>
                <w:sz w:val="10"/>
                <w:szCs w:val="10"/>
              </w:rPr>
            </w:pPr>
          </w:p>
        </w:tc>
        <w:tc>
          <w:tcPr>
            <w:tcW w:w="3494" w:type="dxa"/>
            <w:shd w:val="clear" w:color="auto" w:fill="FFFFFF"/>
            <w:vAlign w:val="bottom"/>
          </w:tcPr>
          <w:p w14:paraId="27B94456"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gástricas; pruebas de</w:t>
            </w:r>
          </w:p>
        </w:tc>
        <w:tc>
          <w:tcPr>
            <w:tcW w:w="1522" w:type="dxa"/>
            <w:shd w:val="clear" w:color="auto" w:fill="FFFFFF"/>
            <w:vAlign w:val="bottom"/>
          </w:tcPr>
          <w:p w14:paraId="097F5403"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antitoxina</w:t>
            </w:r>
          </w:p>
        </w:tc>
        <w:tc>
          <w:tcPr>
            <w:tcW w:w="1843" w:type="dxa"/>
            <w:shd w:val="clear" w:color="auto" w:fill="FFFFFF"/>
          </w:tcPr>
          <w:p w14:paraId="74C6B67A" w14:textId="77777777" w:rsidR="0072615D" w:rsidRDefault="0072615D">
            <w:pPr>
              <w:framePr w:w="11429" w:h="6086" w:wrap="none" w:hAnchor="page" w:x="635" w:y="611"/>
              <w:rPr>
                <w:sz w:val="10"/>
                <w:szCs w:val="10"/>
              </w:rPr>
            </w:pPr>
          </w:p>
        </w:tc>
        <w:tc>
          <w:tcPr>
            <w:tcW w:w="1810" w:type="dxa"/>
            <w:shd w:val="clear" w:color="auto" w:fill="FFFFFF"/>
            <w:vAlign w:val="bottom"/>
          </w:tcPr>
          <w:p w14:paraId="065359CA"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de nervios, pero no</w:t>
            </w:r>
          </w:p>
        </w:tc>
      </w:tr>
      <w:tr w:rsidR="0072615D" w14:paraId="42F461FD" w14:textId="77777777">
        <w:tblPrEx>
          <w:tblCellMar>
            <w:top w:w="0" w:type="dxa"/>
            <w:bottom w:w="0" w:type="dxa"/>
          </w:tblCellMar>
        </w:tblPrEx>
        <w:trPr>
          <w:trHeight w:hRule="exact" w:val="221"/>
        </w:trPr>
        <w:tc>
          <w:tcPr>
            <w:tcW w:w="1128" w:type="dxa"/>
            <w:shd w:val="clear" w:color="auto" w:fill="FFFFFF"/>
          </w:tcPr>
          <w:p w14:paraId="413B888B" w14:textId="77777777" w:rsidR="0072615D" w:rsidRDefault="0072615D">
            <w:pPr>
              <w:framePr w:w="11429" w:h="6086" w:wrap="none" w:hAnchor="page" w:x="635" w:y="611"/>
              <w:rPr>
                <w:sz w:val="10"/>
                <w:szCs w:val="10"/>
              </w:rPr>
            </w:pPr>
          </w:p>
        </w:tc>
        <w:tc>
          <w:tcPr>
            <w:tcW w:w="1632" w:type="dxa"/>
            <w:shd w:val="clear" w:color="auto" w:fill="FFFFFF"/>
          </w:tcPr>
          <w:p w14:paraId="23F213A4" w14:textId="77777777" w:rsidR="0072615D" w:rsidRDefault="0072615D">
            <w:pPr>
              <w:framePr w:w="11429" w:h="6086" w:wrap="none" w:hAnchor="page" w:x="635" w:y="611"/>
              <w:rPr>
                <w:sz w:val="10"/>
                <w:szCs w:val="10"/>
              </w:rPr>
            </w:pPr>
          </w:p>
        </w:tc>
        <w:tc>
          <w:tcPr>
            <w:tcW w:w="3494" w:type="dxa"/>
            <w:shd w:val="clear" w:color="auto" w:fill="FFFFFF"/>
          </w:tcPr>
          <w:p w14:paraId="18E83793"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conducción nerviosa</w:t>
            </w:r>
          </w:p>
        </w:tc>
        <w:tc>
          <w:tcPr>
            <w:tcW w:w="1522" w:type="dxa"/>
            <w:shd w:val="clear" w:color="auto" w:fill="FFFFFF"/>
          </w:tcPr>
          <w:p w14:paraId="1FA8B056"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botulínica equina</w:t>
            </w:r>
          </w:p>
        </w:tc>
        <w:tc>
          <w:tcPr>
            <w:tcW w:w="1843" w:type="dxa"/>
            <w:shd w:val="clear" w:color="auto" w:fill="FFFFFF"/>
          </w:tcPr>
          <w:p w14:paraId="258193FB" w14:textId="77777777" w:rsidR="0072615D" w:rsidRDefault="0072615D">
            <w:pPr>
              <w:framePr w:w="11429" w:h="6086" w:wrap="none" w:hAnchor="page" w:x="635" w:y="611"/>
              <w:rPr>
                <w:sz w:val="10"/>
                <w:szCs w:val="10"/>
              </w:rPr>
            </w:pPr>
          </w:p>
        </w:tc>
        <w:tc>
          <w:tcPr>
            <w:tcW w:w="1810" w:type="dxa"/>
            <w:shd w:val="clear" w:color="auto" w:fill="FFFFFF"/>
          </w:tcPr>
          <w:p w14:paraId="7716DB9F"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revierte la parálisis</w:t>
            </w:r>
          </w:p>
        </w:tc>
      </w:tr>
      <w:tr w:rsidR="0072615D" w14:paraId="73643CF9" w14:textId="77777777">
        <w:tblPrEx>
          <w:tblCellMar>
            <w:top w:w="0" w:type="dxa"/>
            <w:bottom w:w="0" w:type="dxa"/>
          </w:tblCellMar>
        </w:tblPrEx>
        <w:trPr>
          <w:trHeight w:hRule="exact" w:val="322"/>
        </w:trPr>
        <w:tc>
          <w:tcPr>
            <w:tcW w:w="1128" w:type="dxa"/>
            <w:shd w:val="clear" w:color="auto" w:fill="FFFFFF"/>
          </w:tcPr>
          <w:p w14:paraId="3460113C" w14:textId="77777777" w:rsidR="0072615D" w:rsidRDefault="0072615D">
            <w:pPr>
              <w:framePr w:w="11429" w:h="6086" w:wrap="none" w:hAnchor="page" w:x="635" w:y="611"/>
              <w:rPr>
                <w:sz w:val="10"/>
                <w:szCs w:val="10"/>
              </w:rPr>
            </w:pPr>
          </w:p>
        </w:tc>
        <w:tc>
          <w:tcPr>
            <w:tcW w:w="1632" w:type="dxa"/>
            <w:shd w:val="clear" w:color="auto" w:fill="FFFFFF"/>
          </w:tcPr>
          <w:p w14:paraId="6481FAF8" w14:textId="77777777" w:rsidR="0072615D" w:rsidRDefault="0072615D">
            <w:pPr>
              <w:framePr w:w="11429" w:h="6086" w:wrap="none" w:hAnchor="page" w:x="635" w:y="611"/>
              <w:rPr>
                <w:sz w:val="10"/>
                <w:szCs w:val="10"/>
              </w:rPr>
            </w:pPr>
          </w:p>
        </w:tc>
        <w:tc>
          <w:tcPr>
            <w:tcW w:w="3494" w:type="dxa"/>
            <w:shd w:val="clear" w:color="auto" w:fill="FFFFFF"/>
          </w:tcPr>
          <w:p w14:paraId="6985E391" w14:textId="77777777" w:rsidR="0072615D" w:rsidRDefault="0072615D">
            <w:pPr>
              <w:framePr w:w="11429" w:h="6086" w:wrap="none" w:hAnchor="page" w:x="635" w:y="611"/>
              <w:rPr>
                <w:sz w:val="10"/>
                <w:szCs w:val="10"/>
              </w:rPr>
            </w:pPr>
          </w:p>
        </w:tc>
        <w:tc>
          <w:tcPr>
            <w:tcW w:w="1522" w:type="dxa"/>
            <w:shd w:val="clear" w:color="auto" w:fill="FFFFFF"/>
          </w:tcPr>
          <w:p w14:paraId="50782BF5"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(CDC)</w:t>
            </w:r>
            <w:r>
              <w:rPr>
                <w:rFonts w:ascii="Times New Roman" w:eastAsia="Times New Roman" w:hAnsi="Times New Roman" w:cs="Times New Roman"/>
                <w:sz w:val="16"/>
                <w:szCs w:val="16"/>
                <w:vertAlign w:val="superscript"/>
              </w:rPr>
              <w:t>6</w:t>
            </w:r>
          </w:p>
        </w:tc>
        <w:tc>
          <w:tcPr>
            <w:tcW w:w="1843" w:type="dxa"/>
            <w:shd w:val="clear" w:color="auto" w:fill="FFFFFF"/>
          </w:tcPr>
          <w:p w14:paraId="2D3B40A1" w14:textId="77777777" w:rsidR="0072615D" w:rsidRDefault="0072615D">
            <w:pPr>
              <w:framePr w:w="11429" w:h="6086" w:wrap="none" w:hAnchor="page" w:x="635" w:y="611"/>
              <w:rPr>
                <w:sz w:val="10"/>
                <w:szCs w:val="10"/>
              </w:rPr>
            </w:pPr>
          </w:p>
        </w:tc>
        <w:tc>
          <w:tcPr>
            <w:tcW w:w="1810" w:type="dxa"/>
            <w:shd w:val="clear" w:color="auto" w:fill="FFFFFF"/>
          </w:tcPr>
          <w:p w14:paraId="552B262C"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existente</w:t>
            </w:r>
          </w:p>
        </w:tc>
      </w:tr>
      <w:tr w:rsidR="0072615D" w14:paraId="6C032DFB" w14:textId="77777777">
        <w:tblPrEx>
          <w:tblCellMar>
            <w:top w:w="0" w:type="dxa"/>
            <w:bottom w:w="0" w:type="dxa"/>
          </w:tblCellMar>
        </w:tblPrEx>
        <w:trPr>
          <w:trHeight w:hRule="exact" w:val="322"/>
        </w:trPr>
        <w:tc>
          <w:tcPr>
            <w:tcW w:w="1128" w:type="dxa"/>
            <w:shd w:val="clear" w:color="auto" w:fill="FFFFFF"/>
            <w:vAlign w:val="bottom"/>
          </w:tcPr>
          <w:p w14:paraId="6784183D" w14:textId="77777777" w:rsidR="0072615D" w:rsidRDefault="0072615D">
            <w:pPr>
              <w:pStyle w:val="Other0"/>
              <w:framePr w:w="11429" w:h="6086" w:wrap="none" w:hAnchor="page" w:x="635" w:y="611"/>
              <w:spacing w:line="240" w:lineRule="auto"/>
              <w:ind w:firstLine="0"/>
              <w:rPr>
                <w:sz w:val="16"/>
                <w:szCs w:val="16"/>
              </w:rPr>
            </w:pPr>
            <w:r>
              <w:rPr>
                <w:rFonts w:ascii="Times New Roman" w:eastAsia="Times New Roman" w:hAnsi="Times New Roman" w:cs="Times New Roman"/>
                <w:sz w:val="16"/>
                <w:szCs w:val="16"/>
              </w:rPr>
              <w:t>Brucelosis</w:t>
            </w:r>
          </w:p>
        </w:tc>
        <w:tc>
          <w:tcPr>
            <w:tcW w:w="1632" w:type="dxa"/>
            <w:shd w:val="clear" w:color="auto" w:fill="FFFFFF"/>
            <w:vAlign w:val="bottom"/>
          </w:tcPr>
          <w:p w14:paraId="51A2B8B2" w14:textId="77777777" w:rsidR="0072615D" w:rsidRDefault="0072615D">
            <w:pPr>
              <w:pStyle w:val="Other0"/>
              <w:framePr w:w="11429" w:h="6086" w:wrap="none" w:hAnchor="page" w:x="635" w:y="611"/>
              <w:spacing w:line="240" w:lineRule="auto"/>
              <w:ind w:firstLine="340"/>
              <w:rPr>
                <w:sz w:val="16"/>
                <w:szCs w:val="16"/>
              </w:rPr>
            </w:pPr>
            <w:r>
              <w:rPr>
                <w:rFonts w:ascii="Times New Roman" w:eastAsia="Times New Roman" w:hAnsi="Times New Roman" w:cs="Times New Roman"/>
                <w:sz w:val="16"/>
                <w:szCs w:val="16"/>
              </w:rPr>
              <w:t>5-60 días</w:t>
            </w:r>
          </w:p>
        </w:tc>
        <w:tc>
          <w:tcPr>
            <w:tcW w:w="3494" w:type="dxa"/>
            <w:shd w:val="clear" w:color="auto" w:fill="FFFFFF"/>
            <w:vAlign w:val="bottom"/>
          </w:tcPr>
          <w:p w14:paraId="6A946B04" w14:textId="77777777" w:rsidR="0072615D" w:rsidRDefault="0072615D">
            <w:pPr>
              <w:pStyle w:val="Other0"/>
              <w:framePr w:w="11429" w:h="6086" w:wrap="none" w:hAnchor="page" w:x="635" w:y="611"/>
              <w:tabs>
                <w:tab w:val="left" w:pos="1694"/>
              </w:tabs>
              <w:spacing w:line="240" w:lineRule="auto"/>
              <w:ind w:firstLine="0"/>
              <w:rPr>
                <w:sz w:val="16"/>
                <w:szCs w:val="16"/>
              </w:rPr>
            </w:pPr>
            <w:r>
              <w:rPr>
                <w:rFonts w:ascii="Times New Roman" w:eastAsia="Times New Roman" w:hAnsi="Times New Roman" w:cs="Times New Roman"/>
                <w:sz w:val="16"/>
                <w:szCs w:val="16"/>
              </w:rPr>
              <w:t>Cultivo de sangre o</w:t>
            </w:r>
            <w:r>
              <w:rPr>
                <w:rFonts w:ascii="Times New Roman" w:eastAsia="Times New Roman" w:hAnsi="Times New Roman" w:cs="Times New Roman"/>
                <w:sz w:val="16"/>
                <w:szCs w:val="16"/>
              </w:rPr>
              <w:tab/>
              <w:t>Habitual; contacto de</w:t>
            </w:r>
          </w:p>
        </w:tc>
        <w:tc>
          <w:tcPr>
            <w:tcW w:w="1522" w:type="dxa"/>
            <w:shd w:val="clear" w:color="auto" w:fill="FFFFFF"/>
            <w:vAlign w:val="bottom"/>
          </w:tcPr>
          <w:p w14:paraId="5ADA56F0" w14:textId="77777777" w:rsidR="0072615D" w:rsidRDefault="0072615D">
            <w:pPr>
              <w:pStyle w:val="Other0"/>
              <w:framePr w:w="11429" w:h="6086" w:wrap="none" w:hAnchor="page" w:x="635" w:y="611"/>
              <w:spacing w:line="240" w:lineRule="auto"/>
              <w:ind w:firstLine="140"/>
              <w:rPr>
                <w:sz w:val="16"/>
                <w:szCs w:val="16"/>
              </w:rPr>
            </w:pPr>
            <w:r>
              <w:rPr>
                <w:rFonts w:ascii="Times New Roman" w:eastAsia="Times New Roman" w:hAnsi="Times New Roman" w:cs="Times New Roman"/>
                <w:sz w:val="16"/>
                <w:szCs w:val="16"/>
              </w:rPr>
              <w:t>Doxiciclina</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y</w:t>
            </w:r>
          </w:p>
        </w:tc>
        <w:tc>
          <w:tcPr>
            <w:tcW w:w="3653" w:type="dxa"/>
            <w:gridSpan w:val="2"/>
            <w:shd w:val="clear" w:color="auto" w:fill="FFFFFF"/>
            <w:vAlign w:val="bottom"/>
          </w:tcPr>
          <w:p w14:paraId="054610E7" w14:textId="77777777" w:rsidR="0072615D" w:rsidRDefault="0072615D">
            <w:pPr>
              <w:pStyle w:val="Other0"/>
              <w:framePr w:w="11429" w:h="6086" w:wrap="none" w:hAnchor="page" w:x="635" w:y="611"/>
              <w:spacing w:line="240" w:lineRule="auto"/>
              <w:ind w:firstLine="0"/>
              <w:rPr>
                <w:sz w:val="16"/>
                <w:szCs w:val="16"/>
              </w:rPr>
            </w:pPr>
            <w:r>
              <w:rPr>
                <w:rFonts w:ascii="Times New Roman" w:eastAsia="Times New Roman" w:hAnsi="Times New Roman" w:cs="Times New Roman"/>
                <w:sz w:val="16"/>
                <w:szCs w:val="16"/>
              </w:rPr>
              <w:t>Doxiciclina</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y rifampicina TMP-SMX puede</w:t>
            </w:r>
          </w:p>
        </w:tc>
      </w:tr>
      <w:tr w:rsidR="0072615D" w14:paraId="60161695" w14:textId="77777777">
        <w:tblPrEx>
          <w:tblCellMar>
            <w:top w:w="0" w:type="dxa"/>
            <w:bottom w:w="0" w:type="dxa"/>
          </w:tblCellMar>
        </w:tblPrEx>
        <w:trPr>
          <w:trHeight w:hRule="exact" w:val="216"/>
        </w:trPr>
        <w:tc>
          <w:tcPr>
            <w:tcW w:w="1128" w:type="dxa"/>
            <w:shd w:val="clear" w:color="auto" w:fill="FFFFFF"/>
          </w:tcPr>
          <w:p w14:paraId="5107DBA3" w14:textId="77777777" w:rsidR="0072615D" w:rsidRDefault="0072615D">
            <w:pPr>
              <w:framePr w:w="11429" w:h="6086" w:wrap="none" w:hAnchor="page" w:x="635" w:y="611"/>
              <w:rPr>
                <w:sz w:val="10"/>
                <w:szCs w:val="10"/>
              </w:rPr>
            </w:pPr>
          </w:p>
        </w:tc>
        <w:tc>
          <w:tcPr>
            <w:tcW w:w="1632" w:type="dxa"/>
            <w:shd w:val="clear" w:color="auto" w:fill="FFFFFF"/>
          </w:tcPr>
          <w:p w14:paraId="3581D3F5" w14:textId="77777777" w:rsidR="0072615D" w:rsidRDefault="0072615D">
            <w:pPr>
              <w:framePr w:w="11429" w:h="6086" w:wrap="none" w:hAnchor="page" w:x="635" w:y="611"/>
              <w:rPr>
                <w:sz w:val="10"/>
                <w:szCs w:val="10"/>
              </w:rPr>
            </w:pPr>
          </w:p>
        </w:tc>
        <w:tc>
          <w:tcPr>
            <w:tcW w:w="3494" w:type="dxa"/>
            <w:shd w:val="clear" w:color="auto" w:fill="FFFFFF"/>
            <w:vAlign w:val="bottom"/>
          </w:tcPr>
          <w:p w14:paraId="50AD2C61"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médula ósea; suero de lesiones cutáneas</w:t>
            </w:r>
          </w:p>
        </w:tc>
        <w:tc>
          <w:tcPr>
            <w:tcW w:w="1522" w:type="dxa"/>
            <w:shd w:val="clear" w:color="auto" w:fill="FFFFFF"/>
            <w:vAlign w:val="bottom"/>
          </w:tcPr>
          <w:p w14:paraId="1E8C5EEE" w14:textId="77777777" w:rsidR="0072615D" w:rsidRDefault="0072615D">
            <w:pPr>
              <w:pStyle w:val="Other0"/>
              <w:framePr w:w="11429" w:h="6086" w:wrap="none" w:hAnchor="page" w:x="635" w:y="611"/>
              <w:spacing w:line="240" w:lineRule="auto"/>
              <w:ind w:left="240" w:firstLine="0"/>
              <w:rPr>
                <w:sz w:val="16"/>
                <w:szCs w:val="16"/>
              </w:rPr>
            </w:pPr>
            <w:r>
              <w:rPr>
                <w:rFonts w:ascii="Times New Roman" w:eastAsia="Times New Roman" w:hAnsi="Times New Roman" w:cs="Times New Roman"/>
                <w:sz w:val="16"/>
                <w:szCs w:val="16"/>
              </w:rPr>
              <w:t>rifampicina; si el</w:t>
            </w:r>
          </w:p>
        </w:tc>
        <w:tc>
          <w:tcPr>
            <w:tcW w:w="1843" w:type="dxa"/>
            <w:shd w:val="clear" w:color="auto" w:fill="FFFFFF"/>
          </w:tcPr>
          <w:p w14:paraId="0A229433" w14:textId="77777777" w:rsidR="0072615D" w:rsidRDefault="0072615D">
            <w:pPr>
              <w:framePr w:w="11429" w:h="6086" w:wrap="none" w:hAnchor="page" w:x="635" w:y="611"/>
              <w:rPr>
                <w:sz w:val="10"/>
                <w:szCs w:val="10"/>
              </w:rPr>
            </w:pPr>
          </w:p>
        </w:tc>
        <w:tc>
          <w:tcPr>
            <w:tcW w:w="1810" w:type="dxa"/>
            <w:shd w:val="clear" w:color="auto" w:fill="FFFFFF"/>
            <w:vAlign w:val="bottom"/>
          </w:tcPr>
          <w:p w14:paraId="6B9C23CB"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sustituir a la</w:t>
            </w:r>
          </w:p>
        </w:tc>
      </w:tr>
      <w:tr w:rsidR="0072615D" w14:paraId="0A19147D" w14:textId="77777777">
        <w:tblPrEx>
          <w:tblCellMar>
            <w:top w:w="0" w:type="dxa"/>
            <w:bottom w:w="0" w:type="dxa"/>
          </w:tblCellMar>
        </w:tblPrEx>
        <w:trPr>
          <w:trHeight w:hRule="exact" w:val="216"/>
        </w:trPr>
        <w:tc>
          <w:tcPr>
            <w:tcW w:w="1128" w:type="dxa"/>
            <w:shd w:val="clear" w:color="auto" w:fill="FFFFFF"/>
          </w:tcPr>
          <w:p w14:paraId="4A6D4B70" w14:textId="77777777" w:rsidR="0072615D" w:rsidRDefault="0072615D">
            <w:pPr>
              <w:framePr w:w="11429" w:h="6086" w:wrap="none" w:hAnchor="page" w:x="635" w:y="611"/>
              <w:rPr>
                <w:sz w:val="10"/>
                <w:szCs w:val="10"/>
              </w:rPr>
            </w:pPr>
          </w:p>
        </w:tc>
        <w:tc>
          <w:tcPr>
            <w:tcW w:w="1632" w:type="dxa"/>
            <w:shd w:val="clear" w:color="auto" w:fill="FFFFFF"/>
          </w:tcPr>
          <w:p w14:paraId="5DF3E472" w14:textId="77777777" w:rsidR="0072615D" w:rsidRDefault="0072615D">
            <w:pPr>
              <w:framePr w:w="11429" w:h="6086" w:wrap="none" w:hAnchor="page" w:x="635" w:y="611"/>
              <w:rPr>
                <w:sz w:val="10"/>
                <w:szCs w:val="10"/>
              </w:rPr>
            </w:pPr>
          </w:p>
        </w:tc>
        <w:tc>
          <w:tcPr>
            <w:tcW w:w="3494" w:type="dxa"/>
            <w:shd w:val="clear" w:color="auto" w:fill="FFFFFF"/>
            <w:vAlign w:val="bottom"/>
          </w:tcPr>
          <w:p w14:paraId="708FE4AB" w14:textId="77777777" w:rsidR="0072615D" w:rsidRDefault="0072615D">
            <w:pPr>
              <w:pStyle w:val="Other0"/>
              <w:framePr w:w="11429" w:h="6086" w:wrap="none" w:hAnchor="page" w:x="635" w:y="611"/>
              <w:tabs>
                <w:tab w:val="left" w:pos="1919"/>
              </w:tabs>
              <w:spacing w:line="240" w:lineRule="auto"/>
              <w:ind w:firstLine="220"/>
              <w:rPr>
                <w:sz w:val="16"/>
                <w:szCs w:val="16"/>
              </w:rPr>
            </w:pPr>
            <w:r>
              <w:rPr>
                <w:rFonts w:ascii="Times New Roman" w:eastAsia="Times New Roman" w:hAnsi="Times New Roman" w:cs="Times New Roman"/>
                <w:sz w:val="16"/>
                <w:szCs w:val="16"/>
              </w:rPr>
              <w:t>fase aguda y</w:t>
            </w:r>
            <w:r>
              <w:rPr>
                <w:rFonts w:ascii="Times New Roman" w:eastAsia="Times New Roman" w:hAnsi="Times New Roman" w:cs="Times New Roman"/>
                <w:sz w:val="16"/>
                <w:szCs w:val="16"/>
              </w:rPr>
              <w:tab/>
              <w:t>húmedas</w:t>
            </w:r>
          </w:p>
        </w:tc>
        <w:tc>
          <w:tcPr>
            <w:tcW w:w="1522" w:type="dxa"/>
            <w:shd w:val="clear" w:color="auto" w:fill="FFFFFF"/>
            <w:vAlign w:val="bottom"/>
          </w:tcPr>
          <w:p w14:paraId="5B446C9B" w14:textId="77777777" w:rsidR="0072615D" w:rsidRDefault="0072615D">
            <w:pPr>
              <w:pStyle w:val="Other0"/>
              <w:framePr w:w="11429" w:h="6086" w:wrap="none" w:hAnchor="page" w:x="635" w:y="611"/>
              <w:spacing w:line="240" w:lineRule="auto"/>
              <w:ind w:left="240" w:firstLine="0"/>
              <w:rPr>
                <w:sz w:val="16"/>
                <w:szCs w:val="16"/>
              </w:rPr>
            </w:pPr>
            <w:r>
              <w:rPr>
                <w:rFonts w:ascii="Times New Roman" w:eastAsia="Times New Roman" w:hAnsi="Times New Roman" w:cs="Times New Roman"/>
                <w:sz w:val="16"/>
                <w:szCs w:val="16"/>
              </w:rPr>
              <w:t>niño tiene menos</w:t>
            </w:r>
          </w:p>
        </w:tc>
        <w:tc>
          <w:tcPr>
            <w:tcW w:w="1843" w:type="dxa"/>
            <w:shd w:val="clear" w:color="auto" w:fill="FFFFFF"/>
          </w:tcPr>
          <w:p w14:paraId="6B075324" w14:textId="77777777" w:rsidR="0072615D" w:rsidRDefault="0072615D">
            <w:pPr>
              <w:framePr w:w="11429" w:h="6086" w:wrap="none" w:hAnchor="page" w:x="635" w:y="611"/>
              <w:rPr>
                <w:sz w:val="10"/>
                <w:szCs w:val="10"/>
              </w:rPr>
            </w:pPr>
          </w:p>
        </w:tc>
        <w:tc>
          <w:tcPr>
            <w:tcW w:w="1810" w:type="dxa"/>
            <w:shd w:val="clear" w:color="auto" w:fill="FFFFFF"/>
            <w:vAlign w:val="bottom"/>
          </w:tcPr>
          <w:p w14:paraId="130D8E4E"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rifampicina con</w:t>
            </w:r>
          </w:p>
        </w:tc>
      </w:tr>
      <w:tr w:rsidR="0072615D" w14:paraId="06CD7BAB" w14:textId="77777777">
        <w:tblPrEx>
          <w:tblCellMar>
            <w:top w:w="0" w:type="dxa"/>
            <w:bottom w:w="0" w:type="dxa"/>
          </w:tblCellMar>
        </w:tblPrEx>
        <w:trPr>
          <w:trHeight w:hRule="exact" w:val="216"/>
        </w:trPr>
        <w:tc>
          <w:tcPr>
            <w:tcW w:w="1128" w:type="dxa"/>
            <w:shd w:val="clear" w:color="auto" w:fill="FFFFFF"/>
          </w:tcPr>
          <w:p w14:paraId="7F33C431" w14:textId="77777777" w:rsidR="0072615D" w:rsidRDefault="0072615D">
            <w:pPr>
              <w:framePr w:w="11429" w:h="6086" w:wrap="none" w:hAnchor="page" w:x="635" w:y="611"/>
              <w:rPr>
                <w:sz w:val="10"/>
                <w:szCs w:val="10"/>
              </w:rPr>
            </w:pPr>
          </w:p>
        </w:tc>
        <w:tc>
          <w:tcPr>
            <w:tcW w:w="1632" w:type="dxa"/>
            <w:shd w:val="clear" w:color="auto" w:fill="FFFFFF"/>
          </w:tcPr>
          <w:p w14:paraId="7FFA8242" w14:textId="77777777" w:rsidR="0072615D" w:rsidRDefault="0072615D">
            <w:pPr>
              <w:framePr w:w="11429" w:h="6086" w:wrap="none" w:hAnchor="page" w:x="635" w:y="611"/>
              <w:rPr>
                <w:sz w:val="10"/>
                <w:szCs w:val="10"/>
              </w:rPr>
            </w:pPr>
          </w:p>
        </w:tc>
        <w:tc>
          <w:tcPr>
            <w:tcW w:w="3494" w:type="dxa"/>
            <w:shd w:val="clear" w:color="auto" w:fill="FFFFFF"/>
            <w:vAlign w:val="bottom"/>
          </w:tcPr>
          <w:p w14:paraId="486424EC"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convalecencia para</w:t>
            </w:r>
          </w:p>
        </w:tc>
        <w:tc>
          <w:tcPr>
            <w:tcW w:w="1522" w:type="dxa"/>
            <w:shd w:val="clear" w:color="auto" w:fill="FFFFFF"/>
            <w:vAlign w:val="bottom"/>
          </w:tcPr>
          <w:p w14:paraId="44E950D2" w14:textId="77777777" w:rsidR="0072615D" w:rsidRDefault="0072615D">
            <w:pPr>
              <w:pStyle w:val="Other0"/>
              <w:framePr w:w="11429" w:h="6086" w:wrap="none" w:hAnchor="page" w:x="635" w:y="611"/>
              <w:spacing w:line="240" w:lineRule="auto"/>
              <w:ind w:left="240" w:firstLine="0"/>
              <w:rPr>
                <w:sz w:val="16"/>
                <w:szCs w:val="16"/>
              </w:rPr>
            </w:pPr>
            <w:r>
              <w:rPr>
                <w:rFonts w:ascii="Times New Roman" w:eastAsia="Times New Roman" w:hAnsi="Times New Roman" w:cs="Times New Roman"/>
                <w:sz w:val="16"/>
                <w:szCs w:val="16"/>
              </w:rPr>
              <w:t>de 8 años,</w:t>
            </w:r>
          </w:p>
        </w:tc>
        <w:tc>
          <w:tcPr>
            <w:tcW w:w="1843" w:type="dxa"/>
            <w:shd w:val="clear" w:color="auto" w:fill="FFFFFF"/>
          </w:tcPr>
          <w:p w14:paraId="45CE4F05" w14:textId="77777777" w:rsidR="0072615D" w:rsidRDefault="0072615D">
            <w:pPr>
              <w:framePr w:w="11429" w:h="6086" w:wrap="none" w:hAnchor="page" w:x="635" w:y="611"/>
              <w:rPr>
                <w:sz w:val="10"/>
                <w:szCs w:val="10"/>
              </w:rPr>
            </w:pPr>
          </w:p>
        </w:tc>
        <w:tc>
          <w:tcPr>
            <w:tcW w:w="1810" w:type="dxa"/>
            <w:shd w:val="clear" w:color="auto" w:fill="FFFFFF"/>
            <w:vAlign w:val="bottom"/>
          </w:tcPr>
          <w:p w14:paraId="16BA5EA4"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doxiciclina</w:t>
            </w:r>
          </w:p>
        </w:tc>
      </w:tr>
      <w:tr w:rsidR="0072615D" w14:paraId="4620F20F" w14:textId="77777777">
        <w:tblPrEx>
          <w:tblCellMar>
            <w:top w:w="0" w:type="dxa"/>
            <w:bottom w:w="0" w:type="dxa"/>
          </w:tblCellMar>
        </w:tblPrEx>
        <w:trPr>
          <w:trHeight w:hRule="exact" w:val="221"/>
        </w:trPr>
        <w:tc>
          <w:tcPr>
            <w:tcW w:w="1128" w:type="dxa"/>
            <w:shd w:val="clear" w:color="auto" w:fill="FFFFFF"/>
          </w:tcPr>
          <w:p w14:paraId="140E0A8B" w14:textId="77777777" w:rsidR="0072615D" w:rsidRDefault="0072615D">
            <w:pPr>
              <w:framePr w:w="11429" w:h="6086" w:wrap="none" w:hAnchor="page" w:x="635" w:y="611"/>
              <w:rPr>
                <w:sz w:val="10"/>
                <w:szCs w:val="10"/>
              </w:rPr>
            </w:pPr>
          </w:p>
        </w:tc>
        <w:tc>
          <w:tcPr>
            <w:tcW w:w="1632" w:type="dxa"/>
            <w:shd w:val="clear" w:color="auto" w:fill="FFFFFF"/>
          </w:tcPr>
          <w:p w14:paraId="79B72B8B" w14:textId="77777777" w:rsidR="0072615D" w:rsidRDefault="0072615D">
            <w:pPr>
              <w:framePr w:w="11429" w:h="6086" w:wrap="none" w:hAnchor="page" w:x="635" w:y="611"/>
              <w:rPr>
                <w:sz w:val="10"/>
                <w:szCs w:val="10"/>
              </w:rPr>
            </w:pPr>
          </w:p>
        </w:tc>
        <w:tc>
          <w:tcPr>
            <w:tcW w:w="3494" w:type="dxa"/>
            <w:shd w:val="clear" w:color="auto" w:fill="FFFFFF"/>
          </w:tcPr>
          <w:p w14:paraId="030E646B"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identificación de</w:t>
            </w:r>
          </w:p>
        </w:tc>
        <w:tc>
          <w:tcPr>
            <w:tcW w:w="1522" w:type="dxa"/>
            <w:shd w:val="clear" w:color="auto" w:fill="FFFFFF"/>
          </w:tcPr>
          <w:p w14:paraId="5A2F0628" w14:textId="77777777" w:rsidR="0072615D" w:rsidRDefault="0072615D">
            <w:pPr>
              <w:pStyle w:val="Other0"/>
              <w:framePr w:w="11429" w:h="6086" w:wrap="none" w:hAnchor="page" w:x="635" w:y="611"/>
              <w:spacing w:line="240" w:lineRule="auto"/>
              <w:ind w:left="240" w:firstLine="0"/>
              <w:rPr>
                <w:sz w:val="16"/>
                <w:szCs w:val="16"/>
              </w:rPr>
            </w:pPr>
            <w:r>
              <w:rPr>
                <w:rFonts w:ascii="Times New Roman" w:eastAsia="Times New Roman" w:hAnsi="Times New Roman" w:cs="Times New Roman"/>
                <w:sz w:val="16"/>
                <w:szCs w:val="16"/>
              </w:rPr>
              <w:t>administrar</w:t>
            </w:r>
          </w:p>
        </w:tc>
        <w:tc>
          <w:tcPr>
            <w:tcW w:w="1843" w:type="dxa"/>
            <w:shd w:val="clear" w:color="auto" w:fill="FFFFFF"/>
          </w:tcPr>
          <w:p w14:paraId="590C0998" w14:textId="77777777" w:rsidR="0072615D" w:rsidRDefault="0072615D">
            <w:pPr>
              <w:framePr w:w="11429" w:h="6086" w:wrap="none" w:hAnchor="page" w:x="635" w:y="611"/>
              <w:rPr>
                <w:sz w:val="10"/>
                <w:szCs w:val="10"/>
              </w:rPr>
            </w:pPr>
          </w:p>
        </w:tc>
        <w:tc>
          <w:tcPr>
            <w:tcW w:w="1810" w:type="dxa"/>
            <w:shd w:val="clear" w:color="auto" w:fill="FFFFFF"/>
          </w:tcPr>
          <w:p w14:paraId="3DD8EDA0" w14:textId="77777777" w:rsidR="0072615D" w:rsidRDefault="0072615D">
            <w:pPr>
              <w:framePr w:w="11429" w:h="6086" w:wrap="none" w:hAnchor="page" w:x="635" w:y="611"/>
              <w:rPr>
                <w:sz w:val="10"/>
                <w:szCs w:val="10"/>
              </w:rPr>
            </w:pPr>
          </w:p>
        </w:tc>
      </w:tr>
      <w:tr w:rsidR="0072615D" w14:paraId="450E9CCF" w14:textId="77777777">
        <w:tblPrEx>
          <w:tblCellMar>
            <w:top w:w="0" w:type="dxa"/>
            <w:bottom w:w="0" w:type="dxa"/>
          </w:tblCellMar>
        </w:tblPrEx>
        <w:trPr>
          <w:trHeight w:hRule="exact" w:val="422"/>
        </w:trPr>
        <w:tc>
          <w:tcPr>
            <w:tcW w:w="1128" w:type="dxa"/>
            <w:shd w:val="clear" w:color="auto" w:fill="FFFFFF"/>
          </w:tcPr>
          <w:p w14:paraId="78F3089B" w14:textId="77777777" w:rsidR="0072615D" w:rsidRDefault="0072615D">
            <w:pPr>
              <w:framePr w:w="11429" w:h="6086" w:wrap="none" w:hAnchor="page" w:x="635" w:y="611"/>
              <w:rPr>
                <w:sz w:val="10"/>
                <w:szCs w:val="10"/>
              </w:rPr>
            </w:pPr>
          </w:p>
        </w:tc>
        <w:tc>
          <w:tcPr>
            <w:tcW w:w="1632" w:type="dxa"/>
            <w:shd w:val="clear" w:color="auto" w:fill="FFFFFF"/>
          </w:tcPr>
          <w:p w14:paraId="1E9E1660" w14:textId="77777777" w:rsidR="0072615D" w:rsidRDefault="0072615D">
            <w:pPr>
              <w:framePr w:w="11429" w:h="6086" w:wrap="none" w:hAnchor="page" w:x="635" w:y="611"/>
              <w:rPr>
                <w:sz w:val="10"/>
                <w:szCs w:val="10"/>
              </w:rPr>
            </w:pPr>
          </w:p>
        </w:tc>
        <w:tc>
          <w:tcPr>
            <w:tcW w:w="3494" w:type="dxa"/>
            <w:shd w:val="clear" w:color="auto" w:fill="FFFFFF"/>
          </w:tcPr>
          <w:p w14:paraId="31CD224A"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anticuerpos</w:t>
            </w:r>
          </w:p>
        </w:tc>
        <w:tc>
          <w:tcPr>
            <w:tcW w:w="1522" w:type="dxa"/>
            <w:shd w:val="clear" w:color="auto" w:fill="FFFFFF"/>
          </w:tcPr>
          <w:p w14:paraId="25A93A51" w14:textId="77777777" w:rsidR="0072615D" w:rsidRDefault="0072615D">
            <w:pPr>
              <w:pStyle w:val="Other0"/>
              <w:framePr w:w="11429" w:h="6086" w:wrap="none" w:hAnchor="page" w:x="635" w:y="611"/>
              <w:spacing w:line="283" w:lineRule="auto"/>
              <w:ind w:left="240" w:firstLine="0"/>
              <w:rPr>
                <w:sz w:val="16"/>
                <w:szCs w:val="16"/>
              </w:rPr>
            </w:pPr>
            <w:r>
              <w:rPr>
                <w:rFonts w:ascii="Times New Roman" w:eastAsia="Times New Roman" w:hAnsi="Times New Roman" w:cs="Times New Roman"/>
                <w:sz w:val="16"/>
                <w:szCs w:val="16"/>
              </w:rPr>
              <w:t>trimetoprim- sulfametoxazol</w:t>
            </w:r>
          </w:p>
        </w:tc>
        <w:tc>
          <w:tcPr>
            <w:tcW w:w="1843" w:type="dxa"/>
            <w:shd w:val="clear" w:color="auto" w:fill="FFFFFF"/>
          </w:tcPr>
          <w:p w14:paraId="682EE933" w14:textId="77777777" w:rsidR="0072615D" w:rsidRDefault="0072615D">
            <w:pPr>
              <w:framePr w:w="11429" w:h="6086" w:wrap="none" w:hAnchor="page" w:x="635" w:y="611"/>
              <w:rPr>
                <w:sz w:val="10"/>
                <w:szCs w:val="10"/>
              </w:rPr>
            </w:pPr>
          </w:p>
        </w:tc>
        <w:tc>
          <w:tcPr>
            <w:tcW w:w="1810" w:type="dxa"/>
            <w:shd w:val="clear" w:color="auto" w:fill="FFFFFF"/>
          </w:tcPr>
          <w:p w14:paraId="6AB53712" w14:textId="77777777" w:rsidR="0072615D" w:rsidRDefault="0072615D">
            <w:pPr>
              <w:framePr w:w="11429" w:h="6086" w:wrap="none" w:hAnchor="page" w:x="635" w:y="611"/>
              <w:rPr>
                <w:sz w:val="10"/>
                <w:szCs w:val="10"/>
              </w:rPr>
            </w:pPr>
          </w:p>
        </w:tc>
      </w:tr>
      <w:tr w:rsidR="0072615D" w14:paraId="14EB6773" w14:textId="77777777">
        <w:tblPrEx>
          <w:tblCellMar>
            <w:top w:w="0" w:type="dxa"/>
            <w:bottom w:w="0" w:type="dxa"/>
          </w:tblCellMar>
        </w:tblPrEx>
        <w:trPr>
          <w:trHeight w:hRule="exact" w:val="341"/>
        </w:trPr>
        <w:tc>
          <w:tcPr>
            <w:tcW w:w="1128" w:type="dxa"/>
            <w:shd w:val="clear" w:color="auto" w:fill="FFFFFF"/>
          </w:tcPr>
          <w:p w14:paraId="5CA280EC" w14:textId="77777777" w:rsidR="0072615D" w:rsidRDefault="0072615D">
            <w:pPr>
              <w:framePr w:w="11429" w:h="6086" w:wrap="none" w:hAnchor="page" w:x="635" w:y="611"/>
              <w:rPr>
                <w:sz w:val="10"/>
                <w:szCs w:val="10"/>
              </w:rPr>
            </w:pPr>
          </w:p>
        </w:tc>
        <w:tc>
          <w:tcPr>
            <w:tcW w:w="1632" w:type="dxa"/>
            <w:shd w:val="clear" w:color="auto" w:fill="FFFFFF"/>
          </w:tcPr>
          <w:p w14:paraId="6138C1C3" w14:textId="77777777" w:rsidR="0072615D" w:rsidRDefault="0072615D">
            <w:pPr>
              <w:framePr w:w="11429" w:h="6086" w:wrap="none" w:hAnchor="page" w:x="635" w:y="611"/>
              <w:rPr>
                <w:sz w:val="10"/>
                <w:szCs w:val="10"/>
              </w:rPr>
            </w:pPr>
          </w:p>
        </w:tc>
        <w:tc>
          <w:tcPr>
            <w:tcW w:w="3494" w:type="dxa"/>
            <w:shd w:val="clear" w:color="auto" w:fill="FFFFFF"/>
          </w:tcPr>
          <w:p w14:paraId="596E427C" w14:textId="77777777" w:rsidR="0072615D" w:rsidRDefault="0072615D">
            <w:pPr>
              <w:framePr w:w="11429" w:h="6086" w:wrap="none" w:hAnchor="page" w:x="635" w:y="611"/>
              <w:rPr>
                <w:sz w:val="10"/>
                <w:szCs w:val="10"/>
              </w:rPr>
            </w:pPr>
          </w:p>
        </w:tc>
        <w:tc>
          <w:tcPr>
            <w:tcW w:w="1522" w:type="dxa"/>
            <w:shd w:val="clear" w:color="auto" w:fill="FFFFFF"/>
          </w:tcPr>
          <w:p w14:paraId="75F9776B"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(TMP-SMX)</w:t>
            </w:r>
          </w:p>
        </w:tc>
        <w:tc>
          <w:tcPr>
            <w:tcW w:w="1843" w:type="dxa"/>
            <w:shd w:val="clear" w:color="auto" w:fill="FFFFFF"/>
          </w:tcPr>
          <w:p w14:paraId="7E67450B" w14:textId="77777777" w:rsidR="0072615D" w:rsidRDefault="0072615D">
            <w:pPr>
              <w:framePr w:w="11429" w:h="6086" w:wrap="none" w:hAnchor="page" w:x="635" w:y="611"/>
              <w:rPr>
                <w:sz w:val="10"/>
                <w:szCs w:val="10"/>
              </w:rPr>
            </w:pPr>
          </w:p>
        </w:tc>
        <w:tc>
          <w:tcPr>
            <w:tcW w:w="1810" w:type="dxa"/>
            <w:shd w:val="clear" w:color="auto" w:fill="FFFFFF"/>
          </w:tcPr>
          <w:p w14:paraId="5AD0BCE4" w14:textId="77777777" w:rsidR="0072615D" w:rsidRDefault="0072615D">
            <w:pPr>
              <w:framePr w:w="11429" w:h="6086" w:wrap="none" w:hAnchor="page" w:x="635" w:y="611"/>
              <w:rPr>
                <w:sz w:val="10"/>
                <w:szCs w:val="10"/>
              </w:rPr>
            </w:pPr>
          </w:p>
        </w:tc>
      </w:tr>
      <w:tr w:rsidR="0072615D" w14:paraId="0BF9253F" w14:textId="77777777">
        <w:tblPrEx>
          <w:tblCellMar>
            <w:top w:w="0" w:type="dxa"/>
            <w:bottom w:w="0" w:type="dxa"/>
          </w:tblCellMar>
        </w:tblPrEx>
        <w:trPr>
          <w:trHeight w:hRule="exact" w:val="322"/>
        </w:trPr>
        <w:tc>
          <w:tcPr>
            <w:tcW w:w="1128" w:type="dxa"/>
            <w:shd w:val="clear" w:color="auto" w:fill="FFFFFF"/>
            <w:vAlign w:val="bottom"/>
          </w:tcPr>
          <w:p w14:paraId="25EC5A7B" w14:textId="77777777" w:rsidR="0072615D" w:rsidRDefault="0072615D">
            <w:pPr>
              <w:pStyle w:val="Other0"/>
              <w:framePr w:w="11429" w:h="6086" w:wrap="none" w:hAnchor="page" w:x="635" w:y="611"/>
              <w:spacing w:line="240" w:lineRule="auto"/>
              <w:ind w:firstLine="0"/>
              <w:rPr>
                <w:sz w:val="16"/>
                <w:szCs w:val="16"/>
              </w:rPr>
            </w:pPr>
            <w:r>
              <w:rPr>
                <w:rFonts w:ascii="Times New Roman" w:eastAsia="Times New Roman" w:hAnsi="Times New Roman" w:cs="Times New Roman"/>
                <w:sz w:val="16"/>
                <w:szCs w:val="16"/>
              </w:rPr>
              <w:t>Peste</w:t>
            </w:r>
          </w:p>
        </w:tc>
        <w:tc>
          <w:tcPr>
            <w:tcW w:w="1632" w:type="dxa"/>
            <w:shd w:val="clear" w:color="auto" w:fill="FFFFFF"/>
            <w:vAlign w:val="bottom"/>
          </w:tcPr>
          <w:p w14:paraId="7757E0E5" w14:textId="77777777" w:rsidR="0072615D" w:rsidRDefault="0072615D">
            <w:pPr>
              <w:pStyle w:val="Other0"/>
              <w:framePr w:w="11429" w:h="6086" w:wrap="none" w:hAnchor="page" w:x="635" w:y="611"/>
              <w:spacing w:line="240" w:lineRule="auto"/>
              <w:ind w:firstLine="340"/>
              <w:rPr>
                <w:sz w:val="16"/>
                <w:szCs w:val="16"/>
              </w:rPr>
            </w:pPr>
            <w:r>
              <w:rPr>
                <w:rFonts w:ascii="Times New Roman" w:eastAsia="Times New Roman" w:hAnsi="Times New Roman" w:cs="Times New Roman"/>
                <w:sz w:val="16"/>
                <w:szCs w:val="16"/>
              </w:rPr>
              <w:t>2-4 días</w:t>
            </w:r>
          </w:p>
        </w:tc>
        <w:tc>
          <w:tcPr>
            <w:tcW w:w="3494" w:type="dxa"/>
            <w:shd w:val="clear" w:color="auto" w:fill="FFFFFF"/>
            <w:vAlign w:val="bottom"/>
          </w:tcPr>
          <w:p w14:paraId="015BA496" w14:textId="77777777" w:rsidR="0072615D" w:rsidRDefault="0072615D">
            <w:pPr>
              <w:pStyle w:val="Other0"/>
              <w:framePr w:w="11429" w:h="6086" w:wrap="none" w:hAnchor="page" w:x="635" w:y="611"/>
              <w:spacing w:line="240" w:lineRule="auto"/>
              <w:ind w:firstLine="0"/>
              <w:rPr>
                <w:sz w:val="16"/>
                <w:szCs w:val="16"/>
              </w:rPr>
            </w:pPr>
            <w:r>
              <w:rPr>
                <w:rFonts w:ascii="Times New Roman" w:eastAsia="Times New Roman" w:hAnsi="Times New Roman" w:cs="Times New Roman"/>
                <w:sz w:val="16"/>
                <w:szCs w:val="16"/>
              </w:rPr>
              <w:t>Cultivo o tinción con Gotitas de Pflügger</w:t>
            </w:r>
          </w:p>
        </w:tc>
        <w:tc>
          <w:tcPr>
            <w:tcW w:w="1522" w:type="dxa"/>
            <w:shd w:val="clear" w:color="auto" w:fill="FFFFFF"/>
            <w:vAlign w:val="bottom"/>
          </w:tcPr>
          <w:p w14:paraId="33C5B77B" w14:textId="77777777" w:rsidR="0072615D" w:rsidRDefault="0072615D">
            <w:pPr>
              <w:pStyle w:val="Other0"/>
              <w:framePr w:w="11429" w:h="6086" w:wrap="none" w:hAnchor="page" w:x="635" w:y="611"/>
              <w:spacing w:line="240" w:lineRule="auto"/>
              <w:ind w:firstLine="140"/>
              <w:rPr>
                <w:sz w:val="16"/>
                <w:szCs w:val="16"/>
              </w:rPr>
            </w:pPr>
            <w:r>
              <w:rPr>
                <w:rFonts w:ascii="Times New Roman" w:eastAsia="Times New Roman" w:hAnsi="Times New Roman" w:cs="Times New Roman"/>
                <w:sz w:val="16"/>
                <w:szCs w:val="16"/>
              </w:rPr>
              <w:t>Sulfatos de</w:t>
            </w:r>
          </w:p>
        </w:tc>
        <w:tc>
          <w:tcPr>
            <w:tcW w:w="1843" w:type="dxa"/>
            <w:shd w:val="clear" w:color="auto" w:fill="FFFFFF"/>
            <w:vAlign w:val="bottom"/>
          </w:tcPr>
          <w:p w14:paraId="431CAADF" w14:textId="77777777" w:rsidR="0072615D" w:rsidRDefault="0072615D">
            <w:pPr>
              <w:pStyle w:val="Other0"/>
              <w:framePr w:w="11429" w:h="6086" w:wrap="none" w:hAnchor="page" w:x="635" w:y="611"/>
              <w:spacing w:line="240" w:lineRule="auto"/>
              <w:ind w:firstLine="0"/>
              <w:rPr>
                <w:sz w:val="16"/>
                <w:szCs w:val="16"/>
              </w:rPr>
            </w:pPr>
            <w:r>
              <w:rPr>
                <w:rFonts w:ascii="Times New Roman" w:eastAsia="Times New Roman" w:hAnsi="Times New Roman" w:cs="Times New Roman"/>
                <w:sz w:val="16"/>
                <w:szCs w:val="16"/>
              </w:rPr>
              <w:t>Doxiciclina</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tetraciclina</w:t>
            </w:r>
            <w:r>
              <w:rPr>
                <w:rFonts w:ascii="Times New Roman" w:eastAsia="Times New Roman" w:hAnsi="Times New Roman" w:cs="Times New Roman"/>
                <w:sz w:val="16"/>
                <w:szCs w:val="16"/>
                <w:vertAlign w:val="superscript"/>
              </w:rPr>
              <w:t>3</w:t>
            </w:r>
          </w:p>
        </w:tc>
        <w:tc>
          <w:tcPr>
            <w:tcW w:w="1810" w:type="dxa"/>
            <w:shd w:val="clear" w:color="auto" w:fill="FFFFFF"/>
            <w:vAlign w:val="bottom"/>
          </w:tcPr>
          <w:p w14:paraId="3DD41367" w14:textId="77777777" w:rsidR="0072615D" w:rsidRDefault="0072615D">
            <w:pPr>
              <w:pStyle w:val="Other0"/>
              <w:framePr w:w="11429" w:h="6086" w:wrap="none" w:hAnchor="page" w:x="635" w:y="611"/>
              <w:spacing w:line="240" w:lineRule="auto"/>
              <w:ind w:firstLine="0"/>
              <w:rPr>
                <w:sz w:val="16"/>
                <w:szCs w:val="16"/>
              </w:rPr>
            </w:pPr>
            <w:r>
              <w:rPr>
                <w:rFonts w:ascii="Times New Roman" w:eastAsia="Times New Roman" w:hAnsi="Times New Roman" w:cs="Times New Roman"/>
                <w:sz w:val="16"/>
                <w:szCs w:val="16"/>
              </w:rPr>
              <w:t>TMP-SMX en un</w:t>
            </w:r>
          </w:p>
        </w:tc>
      </w:tr>
      <w:tr w:rsidR="0072615D" w14:paraId="6186E3DC" w14:textId="77777777">
        <w:tblPrEx>
          <w:tblCellMar>
            <w:top w:w="0" w:type="dxa"/>
            <w:bottom w:w="0" w:type="dxa"/>
          </w:tblCellMar>
        </w:tblPrEx>
        <w:trPr>
          <w:trHeight w:hRule="exact" w:val="235"/>
        </w:trPr>
        <w:tc>
          <w:tcPr>
            <w:tcW w:w="1128" w:type="dxa"/>
            <w:shd w:val="clear" w:color="auto" w:fill="FFFFFF"/>
          </w:tcPr>
          <w:p w14:paraId="701698A8" w14:textId="77777777" w:rsidR="0072615D" w:rsidRDefault="0072615D">
            <w:pPr>
              <w:framePr w:w="11429" w:h="6086" w:wrap="none" w:hAnchor="page" w:x="635" w:y="611"/>
              <w:rPr>
                <w:sz w:val="10"/>
                <w:szCs w:val="10"/>
              </w:rPr>
            </w:pPr>
          </w:p>
        </w:tc>
        <w:tc>
          <w:tcPr>
            <w:tcW w:w="1632" w:type="dxa"/>
            <w:shd w:val="clear" w:color="auto" w:fill="FFFFFF"/>
          </w:tcPr>
          <w:p w14:paraId="2DEB5CC5" w14:textId="77777777" w:rsidR="0072615D" w:rsidRDefault="0072615D">
            <w:pPr>
              <w:framePr w:w="11429" w:h="6086" w:wrap="none" w:hAnchor="page" w:x="635" w:y="611"/>
              <w:rPr>
                <w:sz w:val="10"/>
                <w:szCs w:val="10"/>
              </w:rPr>
            </w:pPr>
          </w:p>
        </w:tc>
        <w:tc>
          <w:tcPr>
            <w:tcW w:w="3494" w:type="dxa"/>
            <w:shd w:val="clear" w:color="auto" w:fill="FFFFFF"/>
            <w:vAlign w:val="bottom"/>
          </w:tcPr>
          <w:p w14:paraId="3952AF3C"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anticuerpo fluorescente (gotículas)</w:t>
            </w:r>
          </w:p>
        </w:tc>
        <w:tc>
          <w:tcPr>
            <w:tcW w:w="1522" w:type="dxa"/>
            <w:shd w:val="clear" w:color="auto" w:fill="FFFFFF"/>
            <w:vAlign w:val="bottom"/>
          </w:tcPr>
          <w:p w14:paraId="34195715"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estreptomicina o</w:t>
            </w:r>
          </w:p>
        </w:tc>
        <w:tc>
          <w:tcPr>
            <w:tcW w:w="1843" w:type="dxa"/>
            <w:shd w:val="clear" w:color="auto" w:fill="FFFFFF"/>
          </w:tcPr>
          <w:p w14:paraId="4B2E82A4" w14:textId="77777777" w:rsidR="0072615D" w:rsidRDefault="0072615D">
            <w:pPr>
              <w:framePr w:w="11429" w:h="6086" w:wrap="none" w:hAnchor="page" w:x="635" w:y="611"/>
              <w:rPr>
                <w:sz w:val="10"/>
                <w:szCs w:val="10"/>
              </w:rPr>
            </w:pPr>
          </w:p>
        </w:tc>
        <w:tc>
          <w:tcPr>
            <w:tcW w:w="1810" w:type="dxa"/>
            <w:shd w:val="clear" w:color="auto" w:fill="FFFFFF"/>
            <w:vAlign w:val="bottom"/>
          </w:tcPr>
          <w:p w14:paraId="5256A864"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fármaco alternativo;</w:t>
            </w:r>
          </w:p>
        </w:tc>
      </w:tr>
      <w:tr w:rsidR="0072615D" w14:paraId="39B70217" w14:textId="77777777">
        <w:tblPrEx>
          <w:tblCellMar>
            <w:top w:w="0" w:type="dxa"/>
            <w:bottom w:w="0" w:type="dxa"/>
          </w:tblCellMar>
        </w:tblPrEx>
        <w:trPr>
          <w:trHeight w:hRule="exact" w:val="216"/>
        </w:trPr>
        <w:tc>
          <w:tcPr>
            <w:tcW w:w="1128" w:type="dxa"/>
            <w:shd w:val="clear" w:color="auto" w:fill="FFFFFF"/>
          </w:tcPr>
          <w:p w14:paraId="0EE05F78" w14:textId="77777777" w:rsidR="0072615D" w:rsidRDefault="0072615D">
            <w:pPr>
              <w:framePr w:w="11429" w:h="6086" w:wrap="none" w:hAnchor="page" w:x="635" w:y="611"/>
              <w:rPr>
                <w:sz w:val="10"/>
                <w:szCs w:val="10"/>
              </w:rPr>
            </w:pPr>
          </w:p>
        </w:tc>
        <w:tc>
          <w:tcPr>
            <w:tcW w:w="1632" w:type="dxa"/>
            <w:shd w:val="clear" w:color="auto" w:fill="FFFFFF"/>
          </w:tcPr>
          <w:p w14:paraId="50BB2B53" w14:textId="77777777" w:rsidR="0072615D" w:rsidRDefault="0072615D">
            <w:pPr>
              <w:framePr w:w="11429" w:h="6086" w:wrap="none" w:hAnchor="page" w:x="635" w:y="611"/>
              <w:rPr>
                <w:sz w:val="10"/>
                <w:szCs w:val="10"/>
              </w:rPr>
            </w:pPr>
          </w:p>
        </w:tc>
        <w:tc>
          <w:tcPr>
            <w:tcW w:w="3494" w:type="dxa"/>
            <w:shd w:val="clear" w:color="auto" w:fill="FFFFFF"/>
          </w:tcPr>
          <w:p w14:paraId="3779F9DA"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de sangre, esputo,</w:t>
            </w:r>
          </w:p>
        </w:tc>
        <w:tc>
          <w:tcPr>
            <w:tcW w:w="1522" w:type="dxa"/>
            <w:shd w:val="clear" w:color="auto" w:fill="FFFFFF"/>
          </w:tcPr>
          <w:p w14:paraId="5D72ECD8"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gentamicina,</w:t>
            </w:r>
          </w:p>
        </w:tc>
        <w:tc>
          <w:tcPr>
            <w:tcW w:w="1843" w:type="dxa"/>
            <w:shd w:val="clear" w:color="auto" w:fill="FFFFFF"/>
          </w:tcPr>
          <w:p w14:paraId="1CF513B5" w14:textId="77777777" w:rsidR="0072615D" w:rsidRDefault="0072615D">
            <w:pPr>
              <w:framePr w:w="11429" w:h="6086" w:wrap="none" w:hAnchor="page" w:x="635" w:y="611"/>
              <w:rPr>
                <w:sz w:val="10"/>
                <w:szCs w:val="10"/>
              </w:rPr>
            </w:pPr>
          </w:p>
        </w:tc>
        <w:tc>
          <w:tcPr>
            <w:tcW w:w="1810" w:type="dxa"/>
            <w:shd w:val="clear" w:color="auto" w:fill="FFFFFF"/>
          </w:tcPr>
          <w:p w14:paraId="0101B630"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cloranfenicol contra</w:t>
            </w:r>
          </w:p>
        </w:tc>
      </w:tr>
      <w:tr w:rsidR="0072615D" w14:paraId="0A4B2F36" w14:textId="77777777">
        <w:tblPrEx>
          <w:tblCellMar>
            <w:top w:w="0" w:type="dxa"/>
            <w:bottom w:w="0" w:type="dxa"/>
          </w:tblCellMar>
        </w:tblPrEx>
        <w:trPr>
          <w:trHeight w:hRule="exact" w:val="221"/>
        </w:trPr>
        <w:tc>
          <w:tcPr>
            <w:tcW w:w="1128" w:type="dxa"/>
            <w:shd w:val="clear" w:color="auto" w:fill="FFFFFF"/>
          </w:tcPr>
          <w:p w14:paraId="3CD7FE1B" w14:textId="77777777" w:rsidR="0072615D" w:rsidRDefault="0072615D">
            <w:pPr>
              <w:framePr w:w="11429" w:h="6086" w:wrap="none" w:hAnchor="page" w:x="635" w:y="611"/>
              <w:rPr>
                <w:sz w:val="10"/>
                <w:szCs w:val="10"/>
              </w:rPr>
            </w:pPr>
          </w:p>
        </w:tc>
        <w:tc>
          <w:tcPr>
            <w:tcW w:w="1632" w:type="dxa"/>
            <w:shd w:val="clear" w:color="auto" w:fill="FFFFFF"/>
          </w:tcPr>
          <w:p w14:paraId="453C1744" w14:textId="77777777" w:rsidR="0072615D" w:rsidRDefault="0072615D">
            <w:pPr>
              <w:framePr w:w="11429" w:h="6086" w:wrap="none" w:hAnchor="page" w:x="635" w:y="611"/>
              <w:rPr>
                <w:sz w:val="10"/>
                <w:szCs w:val="10"/>
              </w:rPr>
            </w:pPr>
          </w:p>
        </w:tc>
        <w:tc>
          <w:tcPr>
            <w:tcW w:w="3494" w:type="dxa"/>
            <w:shd w:val="clear" w:color="auto" w:fill="FFFFFF"/>
          </w:tcPr>
          <w:p w14:paraId="2D557428"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líquido aspirado de</w:t>
            </w:r>
          </w:p>
        </w:tc>
        <w:tc>
          <w:tcPr>
            <w:tcW w:w="1522" w:type="dxa"/>
            <w:shd w:val="clear" w:color="auto" w:fill="FFFFFF"/>
          </w:tcPr>
          <w:p w14:paraId="4255DDF3"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doxiciclina</w:t>
            </w:r>
            <w:r>
              <w:rPr>
                <w:rFonts w:ascii="Times New Roman" w:eastAsia="Times New Roman" w:hAnsi="Times New Roman" w:cs="Times New Roman"/>
                <w:sz w:val="16"/>
                <w:szCs w:val="16"/>
                <w:vertAlign w:val="superscript"/>
              </w:rPr>
              <w:t>3</w:t>
            </w:r>
          </w:p>
        </w:tc>
        <w:tc>
          <w:tcPr>
            <w:tcW w:w="1843" w:type="dxa"/>
            <w:shd w:val="clear" w:color="auto" w:fill="FFFFFF"/>
          </w:tcPr>
          <w:p w14:paraId="73308EB0" w14:textId="77777777" w:rsidR="0072615D" w:rsidRDefault="0072615D">
            <w:pPr>
              <w:framePr w:w="11429" w:h="6086" w:wrap="none" w:hAnchor="page" w:x="635" w:y="611"/>
              <w:rPr>
                <w:sz w:val="10"/>
                <w:szCs w:val="10"/>
              </w:rPr>
            </w:pPr>
          </w:p>
        </w:tc>
        <w:tc>
          <w:tcPr>
            <w:tcW w:w="1810" w:type="dxa"/>
            <w:shd w:val="clear" w:color="auto" w:fill="FFFFFF"/>
          </w:tcPr>
          <w:p w14:paraId="28DEE6DB" w14:textId="77777777" w:rsidR="0072615D" w:rsidRDefault="0072615D">
            <w:pPr>
              <w:pStyle w:val="Other0"/>
              <w:framePr w:w="11429" w:h="6086" w:wrap="none" w:hAnchor="page" w:x="635" w:y="611"/>
              <w:spacing w:line="240" w:lineRule="auto"/>
              <w:ind w:firstLine="160"/>
              <w:rPr>
                <w:sz w:val="16"/>
                <w:szCs w:val="16"/>
              </w:rPr>
            </w:pPr>
            <w:r>
              <w:rPr>
                <w:rFonts w:ascii="Times New Roman" w:eastAsia="Times New Roman" w:hAnsi="Times New Roman" w:cs="Times New Roman"/>
                <w:sz w:val="16"/>
                <w:szCs w:val="16"/>
              </w:rPr>
              <w:t>meningitis</w:t>
            </w:r>
          </w:p>
        </w:tc>
      </w:tr>
      <w:tr w:rsidR="0072615D" w14:paraId="4BBF266B" w14:textId="77777777">
        <w:tblPrEx>
          <w:tblCellMar>
            <w:top w:w="0" w:type="dxa"/>
            <w:bottom w:w="0" w:type="dxa"/>
          </w:tblCellMar>
        </w:tblPrEx>
        <w:trPr>
          <w:trHeight w:hRule="exact" w:val="235"/>
        </w:trPr>
        <w:tc>
          <w:tcPr>
            <w:tcW w:w="1128" w:type="dxa"/>
            <w:shd w:val="clear" w:color="auto" w:fill="FFFFFF"/>
          </w:tcPr>
          <w:p w14:paraId="015EE152" w14:textId="77777777" w:rsidR="0072615D" w:rsidRDefault="0072615D">
            <w:pPr>
              <w:framePr w:w="11429" w:h="6086" w:wrap="none" w:hAnchor="page" w:x="635" w:y="611"/>
              <w:rPr>
                <w:sz w:val="10"/>
                <w:szCs w:val="10"/>
              </w:rPr>
            </w:pPr>
          </w:p>
        </w:tc>
        <w:tc>
          <w:tcPr>
            <w:tcW w:w="1632" w:type="dxa"/>
            <w:shd w:val="clear" w:color="auto" w:fill="FFFFFF"/>
          </w:tcPr>
          <w:p w14:paraId="2FF6AAD5" w14:textId="77777777" w:rsidR="0072615D" w:rsidRDefault="0072615D">
            <w:pPr>
              <w:framePr w:w="11429" w:h="6086" w:wrap="none" w:hAnchor="page" w:x="635" w:y="611"/>
              <w:rPr>
                <w:sz w:val="10"/>
                <w:szCs w:val="10"/>
              </w:rPr>
            </w:pPr>
          </w:p>
        </w:tc>
        <w:tc>
          <w:tcPr>
            <w:tcW w:w="3494" w:type="dxa"/>
            <w:shd w:val="clear" w:color="auto" w:fill="FFFFFF"/>
          </w:tcPr>
          <w:p w14:paraId="25046F05" w14:textId="77777777" w:rsidR="0072615D" w:rsidRDefault="0072615D">
            <w:pPr>
              <w:pStyle w:val="Other0"/>
              <w:framePr w:w="11429" w:h="6086" w:wrap="none" w:hAnchor="page" w:x="635" w:y="611"/>
              <w:spacing w:line="240" w:lineRule="auto"/>
              <w:ind w:firstLine="220"/>
              <w:rPr>
                <w:sz w:val="16"/>
                <w:szCs w:val="16"/>
              </w:rPr>
            </w:pPr>
            <w:r>
              <w:rPr>
                <w:rFonts w:ascii="Times New Roman" w:eastAsia="Times New Roman" w:hAnsi="Times New Roman" w:cs="Times New Roman"/>
                <w:sz w:val="16"/>
                <w:szCs w:val="16"/>
              </w:rPr>
              <w:t>ganglios linfáticos</w:t>
            </w:r>
          </w:p>
        </w:tc>
        <w:tc>
          <w:tcPr>
            <w:tcW w:w="1522" w:type="dxa"/>
            <w:shd w:val="clear" w:color="auto" w:fill="FFFFFF"/>
          </w:tcPr>
          <w:p w14:paraId="3623D64A" w14:textId="77777777" w:rsidR="0072615D" w:rsidRDefault="0072615D">
            <w:pPr>
              <w:pStyle w:val="Other0"/>
              <w:framePr w:w="11429" w:h="6086" w:wrap="none" w:hAnchor="page" w:x="635" w:y="611"/>
              <w:spacing w:line="240" w:lineRule="auto"/>
              <w:ind w:firstLine="240"/>
              <w:rPr>
                <w:sz w:val="16"/>
                <w:szCs w:val="16"/>
              </w:rPr>
            </w:pPr>
            <w:r>
              <w:rPr>
                <w:rFonts w:ascii="Times New Roman" w:eastAsia="Times New Roman" w:hAnsi="Times New Roman" w:cs="Times New Roman"/>
                <w:sz w:val="16"/>
                <w:szCs w:val="16"/>
              </w:rPr>
              <w:t>o tetraciclina</w:t>
            </w:r>
            <w:r>
              <w:rPr>
                <w:rFonts w:ascii="Times New Roman" w:eastAsia="Times New Roman" w:hAnsi="Times New Roman" w:cs="Times New Roman"/>
                <w:sz w:val="16"/>
                <w:szCs w:val="16"/>
                <w:vertAlign w:val="superscript"/>
              </w:rPr>
              <w:t>3</w:t>
            </w:r>
          </w:p>
        </w:tc>
        <w:tc>
          <w:tcPr>
            <w:tcW w:w="1843" w:type="dxa"/>
            <w:shd w:val="clear" w:color="auto" w:fill="FFFFFF"/>
          </w:tcPr>
          <w:p w14:paraId="17E0B14F" w14:textId="77777777" w:rsidR="0072615D" w:rsidRDefault="0072615D">
            <w:pPr>
              <w:framePr w:w="11429" w:h="6086" w:wrap="none" w:hAnchor="page" w:x="635" w:y="611"/>
              <w:rPr>
                <w:sz w:val="10"/>
                <w:szCs w:val="10"/>
              </w:rPr>
            </w:pPr>
          </w:p>
        </w:tc>
        <w:tc>
          <w:tcPr>
            <w:tcW w:w="1810" w:type="dxa"/>
            <w:shd w:val="clear" w:color="auto" w:fill="FFFFFF"/>
          </w:tcPr>
          <w:p w14:paraId="21FEEC62" w14:textId="77777777" w:rsidR="0072615D" w:rsidRDefault="0072615D">
            <w:pPr>
              <w:framePr w:w="11429" w:h="6086" w:wrap="none" w:hAnchor="page" w:x="635" w:y="611"/>
              <w:rPr>
                <w:sz w:val="10"/>
                <w:szCs w:val="10"/>
              </w:rPr>
            </w:pPr>
          </w:p>
        </w:tc>
      </w:tr>
    </w:tbl>
    <w:p w14:paraId="7F31C743" w14:textId="77777777" w:rsidR="0072615D" w:rsidRDefault="0072615D">
      <w:pPr>
        <w:framePr w:w="11429" w:h="6086" w:wrap="none" w:hAnchor="page" w:x="635" w:y="611"/>
        <w:spacing w:line="1" w:lineRule="exact"/>
      </w:pPr>
    </w:p>
    <w:p w14:paraId="33B640DD" w14:textId="77777777" w:rsidR="0072615D" w:rsidRDefault="0072615D">
      <w:pPr>
        <w:pStyle w:val="Bodytext80"/>
        <w:framePr w:w="192" w:h="4344" w:hRule="exact" w:wrap="none" w:hAnchor="page" w:x="12390" w:y="2550"/>
        <w:tabs>
          <w:tab w:val="left" w:pos="4042"/>
        </w:tabs>
        <w:textDirection w:val="tbRl"/>
        <w:rPr>
          <w:sz w:val="16"/>
          <w:szCs w:val="16"/>
        </w:rPr>
      </w:pPr>
      <w:r>
        <w:t>TERRORISMO BIOLÓGICO</w:t>
      </w:r>
      <w:r>
        <w:tab/>
      </w:r>
      <w:r>
        <w:rPr>
          <w:sz w:val="16"/>
          <w:szCs w:val="16"/>
        </w:rPr>
        <w:t>113</w:t>
      </w:r>
    </w:p>
    <w:p w14:paraId="71E32AEF" w14:textId="77777777" w:rsidR="0072615D" w:rsidRDefault="0072615D">
      <w:pPr>
        <w:spacing w:line="360" w:lineRule="exact"/>
      </w:pPr>
    </w:p>
    <w:p w14:paraId="32F30C0F" w14:textId="77777777" w:rsidR="0072615D" w:rsidRDefault="0072615D">
      <w:pPr>
        <w:spacing w:line="360" w:lineRule="exact"/>
      </w:pPr>
    </w:p>
    <w:p w14:paraId="31227165" w14:textId="77777777" w:rsidR="0072615D" w:rsidRDefault="0072615D">
      <w:pPr>
        <w:spacing w:line="360" w:lineRule="exact"/>
      </w:pPr>
    </w:p>
    <w:p w14:paraId="1164F048" w14:textId="77777777" w:rsidR="0072615D" w:rsidRDefault="0072615D">
      <w:pPr>
        <w:spacing w:line="360" w:lineRule="exact"/>
      </w:pPr>
    </w:p>
    <w:p w14:paraId="6862C3A9" w14:textId="77777777" w:rsidR="0072615D" w:rsidRDefault="0072615D">
      <w:pPr>
        <w:spacing w:line="360" w:lineRule="exact"/>
      </w:pPr>
    </w:p>
    <w:p w14:paraId="2FF90B81" w14:textId="77777777" w:rsidR="0072615D" w:rsidRDefault="0072615D">
      <w:pPr>
        <w:spacing w:line="360" w:lineRule="exact"/>
      </w:pPr>
    </w:p>
    <w:p w14:paraId="003B16EE" w14:textId="77777777" w:rsidR="0072615D" w:rsidRDefault="0072615D">
      <w:pPr>
        <w:spacing w:line="360" w:lineRule="exact"/>
      </w:pPr>
    </w:p>
    <w:p w14:paraId="75EB4B60" w14:textId="77777777" w:rsidR="0072615D" w:rsidRDefault="0072615D">
      <w:pPr>
        <w:spacing w:line="360" w:lineRule="exact"/>
      </w:pPr>
    </w:p>
    <w:p w14:paraId="5EB79471" w14:textId="77777777" w:rsidR="0072615D" w:rsidRDefault="0072615D">
      <w:pPr>
        <w:spacing w:line="360" w:lineRule="exact"/>
      </w:pPr>
    </w:p>
    <w:p w14:paraId="43C690F0" w14:textId="77777777" w:rsidR="0072615D" w:rsidRDefault="0072615D">
      <w:pPr>
        <w:spacing w:line="360" w:lineRule="exact"/>
      </w:pPr>
    </w:p>
    <w:p w14:paraId="33B31184" w14:textId="77777777" w:rsidR="0072615D" w:rsidRDefault="0072615D">
      <w:pPr>
        <w:spacing w:line="360" w:lineRule="exact"/>
      </w:pPr>
    </w:p>
    <w:p w14:paraId="77B3D5FB" w14:textId="77777777" w:rsidR="0072615D" w:rsidRDefault="0072615D">
      <w:pPr>
        <w:spacing w:line="360" w:lineRule="exact"/>
      </w:pPr>
    </w:p>
    <w:p w14:paraId="49250701" w14:textId="77777777" w:rsidR="0072615D" w:rsidRDefault="0072615D">
      <w:pPr>
        <w:spacing w:line="360" w:lineRule="exact"/>
      </w:pPr>
    </w:p>
    <w:p w14:paraId="2C8A7EEA" w14:textId="77777777" w:rsidR="0072615D" w:rsidRDefault="0072615D">
      <w:pPr>
        <w:spacing w:line="360" w:lineRule="exact"/>
      </w:pPr>
    </w:p>
    <w:p w14:paraId="5833B0C5" w14:textId="77777777" w:rsidR="0072615D" w:rsidRDefault="0072615D">
      <w:pPr>
        <w:spacing w:line="360" w:lineRule="exact"/>
      </w:pPr>
    </w:p>
    <w:p w14:paraId="521166A2" w14:textId="77777777" w:rsidR="0072615D" w:rsidRDefault="0072615D">
      <w:pPr>
        <w:spacing w:line="360" w:lineRule="exact"/>
      </w:pPr>
    </w:p>
    <w:p w14:paraId="009B325E" w14:textId="77777777" w:rsidR="0072615D" w:rsidRDefault="0072615D">
      <w:pPr>
        <w:spacing w:line="360" w:lineRule="exact"/>
      </w:pPr>
    </w:p>
    <w:p w14:paraId="5CE7E7A2" w14:textId="77777777" w:rsidR="0072615D" w:rsidRDefault="0072615D">
      <w:pPr>
        <w:spacing w:line="360" w:lineRule="exact"/>
      </w:pPr>
    </w:p>
    <w:p w14:paraId="47AE277D" w14:textId="77777777" w:rsidR="0072615D" w:rsidRDefault="0072615D">
      <w:pPr>
        <w:spacing w:after="397" w:line="1" w:lineRule="exact"/>
      </w:pPr>
    </w:p>
    <w:p w14:paraId="7F2DD274" w14:textId="77777777" w:rsidR="0072615D" w:rsidRDefault="0072615D">
      <w:pPr>
        <w:spacing w:line="1" w:lineRule="exact"/>
        <w:sectPr w:rsidR="0072615D" w:rsidSect="0072615D">
          <w:headerReference w:type="even" r:id="rId273"/>
          <w:headerReference w:type="default" r:id="rId274"/>
          <w:footerReference w:type="even" r:id="rId275"/>
          <w:footerReference w:type="default" r:id="rId276"/>
          <w:footnotePr>
            <w:numFmt w:val="chicago"/>
          </w:footnotePr>
          <w:pgSz w:w="13022" w:h="8501" w:orient="landscape"/>
          <w:pgMar w:top="1104" w:right="442" w:bottom="519" w:left="634" w:header="676" w:footer="3" w:gutter="0"/>
          <w:cols w:space="720"/>
          <w:noEndnote/>
          <w:docGrid w:linePitch="360"/>
          <w15:footnoteColumns w:val="1"/>
        </w:sectPr>
      </w:pPr>
    </w:p>
    <w:p w14:paraId="1BEFA980" w14:textId="77777777" w:rsidR="0072615D" w:rsidRDefault="0072615D">
      <w:pPr>
        <w:pStyle w:val="Heading31"/>
        <w:keepNext/>
        <w:keepLines/>
        <w:framePr w:w="10546" w:h="562" w:wrap="none" w:hAnchor="page" w:x="1071" w:y="1"/>
        <w:spacing w:line="211" w:lineRule="auto"/>
        <w:jc w:val="center"/>
        <w:rPr>
          <w:sz w:val="16"/>
          <w:szCs w:val="16"/>
        </w:rPr>
      </w:pPr>
      <w:bookmarkStart w:id="370" w:name="bookmark370"/>
      <w:bookmarkStart w:id="371" w:name="bookmark371"/>
      <w:bookmarkStart w:id="372" w:name="bookmark372"/>
      <w:r>
        <w:rPr>
          <w:b w:val="0"/>
          <w:bCs w:val="0"/>
        </w:rPr>
        <w:t xml:space="preserve">Cuadro 2 - 2. </w:t>
      </w:r>
      <w:r>
        <w:t>Armas biológicas: métodos diagnósticos recomendados, precauciones en el aislamiento y tratamiento</w:t>
      </w:r>
      <w:r>
        <w:br/>
        <w:t xml:space="preserve">y profilaxia de niños </w:t>
      </w:r>
      <w:r>
        <w:rPr>
          <w:rFonts w:ascii="Times New Roman" w:eastAsia="Times New Roman" w:hAnsi="Times New Roman" w:cs="Times New Roman"/>
          <w:b w:val="0"/>
          <w:bCs w:val="0"/>
          <w:i/>
          <w:iCs/>
          <w:w w:val="100"/>
          <w:sz w:val="16"/>
          <w:szCs w:val="16"/>
        </w:rPr>
        <w:t>continuación</w:t>
      </w:r>
      <w:bookmarkEnd w:id="370"/>
      <w:bookmarkEnd w:id="371"/>
      <w:bookmarkEnd w:id="372"/>
    </w:p>
    <w:tbl>
      <w:tblPr>
        <w:tblOverlap w:val="never"/>
        <w:tblW w:w="0" w:type="auto"/>
        <w:tblLayout w:type="fixed"/>
        <w:tblCellMar>
          <w:left w:w="10" w:type="dxa"/>
          <w:right w:w="10" w:type="dxa"/>
        </w:tblCellMar>
        <w:tblLook w:val="04A0" w:firstRow="1" w:lastRow="0" w:firstColumn="1" w:lastColumn="0" w:noHBand="0" w:noVBand="1"/>
      </w:tblPr>
      <w:tblGrid>
        <w:gridCol w:w="1330"/>
        <w:gridCol w:w="1416"/>
        <w:gridCol w:w="1795"/>
        <w:gridCol w:w="1718"/>
        <w:gridCol w:w="1478"/>
        <w:gridCol w:w="1925"/>
        <w:gridCol w:w="1766"/>
      </w:tblGrid>
      <w:tr w:rsidR="0072615D" w14:paraId="790E0602" w14:textId="77777777">
        <w:tblPrEx>
          <w:tblCellMar>
            <w:top w:w="0" w:type="dxa"/>
            <w:bottom w:w="0" w:type="dxa"/>
          </w:tblCellMar>
        </w:tblPrEx>
        <w:trPr>
          <w:trHeight w:hRule="exact" w:val="562"/>
        </w:trPr>
        <w:tc>
          <w:tcPr>
            <w:tcW w:w="1330" w:type="dxa"/>
            <w:shd w:val="clear" w:color="auto" w:fill="231F20"/>
          </w:tcPr>
          <w:p w14:paraId="544642A1" w14:textId="77777777" w:rsidR="0072615D" w:rsidRDefault="0072615D">
            <w:pPr>
              <w:pStyle w:val="Other0"/>
              <w:framePr w:w="11429" w:h="5366" w:wrap="none" w:hAnchor="page" w:x="625" w:y="61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Agente</w:t>
            </w:r>
          </w:p>
        </w:tc>
        <w:tc>
          <w:tcPr>
            <w:tcW w:w="1416" w:type="dxa"/>
            <w:shd w:val="clear" w:color="auto" w:fill="231F20"/>
            <w:vAlign w:val="bottom"/>
          </w:tcPr>
          <w:p w14:paraId="2676FDFF" w14:textId="77777777" w:rsidR="0072615D" w:rsidRDefault="0072615D">
            <w:pPr>
              <w:pStyle w:val="Other0"/>
              <w:framePr w:w="11429" w:h="5366" w:wrap="none" w:hAnchor="page" w:x="625" w:y="611"/>
              <w:pBdr>
                <w:top w:val="single" w:sz="0" w:space="0" w:color="231F20"/>
                <w:left w:val="single" w:sz="0" w:space="0" w:color="231F20"/>
                <w:bottom w:val="single" w:sz="0" w:space="0" w:color="231F20"/>
                <w:right w:val="single" w:sz="0" w:space="0" w:color="231F20"/>
              </w:pBdr>
              <w:shd w:val="clear" w:color="auto" w:fill="231F20"/>
              <w:spacing w:line="214" w:lineRule="auto"/>
              <w:ind w:left="140" w:firstLine="0"/>
              <w:rPr>
                <w:sz w:val="24"/>
                <w:szCs w:val="24"/>
              </w:rPr>
            </w:pPr>
            <w:r>
              <w:rPr>
                <w:rFonts w:ascii="Arial" w:eastAsia="Arial" w:hAnsi="Arial" w:cs="Arial"/>
                <w:b/>
                <w:bCs/>
                <w:color w:val="FFFFFF"/>
                <w:w w:val="70"/>
                <w:sz w:val="24"/>
                <w:szCs w:val="24"/>
              </w:rPr>
              <w:t>Periodo de incubación</w:t>
            </w:r>
          </w:p>
        </w:tc>
        <w:tc>
          <w:tcPr>
            <w:tcW w:w="1795" w:type="dxa"/>
            <w:shd w:val="clear" w:color="auto" w:fill="231F20"/>
            <w:vAlign w:val="bottom"/>
          </w:tcPr>
          <w:p w14:paraId="3DFADB81" w14:textId="77777777" w:rsidR="0072615D" w:rsidRDefault="0072615D">
            <w:pPr>
              <w:pStyle w:val="Other0"/>
              <w:framePr w:w="11429" w:h="5366" w:wrap="none" w:hAnchor="page" w:x="625" w:y="611"/>
              <w:pBdr>
                <w:top w:val="single" w:sz="0" w:space="0" w:color="231F20"/>
                <w:left w:val="single" w:sz="0" w:space="0" w:color="231F20"/>
                <w:bottom w:val="single" w:sz="0" w:space="0" w:color="231F20"/>
                <w:right w:val="single" w:sz="0" w:space="0" w:color="231F20"/>
              </w:pBdr>
              <w:shd w:val="clear" w:color="auto" w:fill="231F20"/>
              <w:spacing w:line="214" w:lineRule="auto"/>
              <w:ind w:right="460" w:firstLine="0"/>
              <w:jc w:val="right"/>
              <w:rPr>
                <w:sz w:val="24"/>
                <w:szCs w:val="24"/>
              </w:rPr>
            </w:pPr>
            <w:r>
              <w:rPr>
                <w:rFonts w:ascii="Arial" w:eastAsia="Arial" w:hAnsi="Arial" w:cs="Arial"/>
                <w:b/>
                <w:bCs/>
                <w:color w:val="FFFFFF"/>
                <w:w w:val="70"/>
                <w:sz w:val="24"/>
                <w:szCs w:val="24"/>
              </w:rPr>
              <w:t>Muestras para el diagnóstico</w:t>
            </w:r>
          </w:p>
        </w:tc>
        <w:tc>
          <w:tcPr>
            <w:tcW w:w="1718" w:type="dxa"/>
            <w:shd w:val="clear" w:color="auto" w:fill="231F20"/>
            <w:vAlign w:val="bottom"/>
          </w:tcPr>
          <w:p w14:paraId="5BC3C2B9" w14:textId="77777777" w:rsidR="0072615D" w:rsidRDefault="0072615D">
            <w:pPr>
              <w:pStyle w:val="Other0"/>
              <w:framePr w:w="11429" w:h="5366" w:wrap="none" w:hAnchor="page" w:x="625" w:y="611"/>
              <w:pBdr>
                <w:top w:val="single" w:sz="0" w:space="0" w:color="231F20"/>
                <w:left w:val="single" w:sz="0" w:space="0" w:color="231F20"/>
                <w:bottom w:val="single" w:sz="0" w:space="0" w:color="231F20"/>
                <w:right w:val="single" w:sz="0" w:space="0" w:color="231F20"/>
              </w:pBdr>
              <w:shd w:val="clear" w:color="auto" w:fill="231F20"/>
              <w:spacing w:line="221" w:lineRule="auto"/>
              <w:ind w:firstLine="0"/>
              <w:rPr>
                <w:sz w:val="24"/>
                <w:szCs w:val="24"/>
              </w:rPr>
            </w:pPr>
            <w:r>
              <w:rPr>
                <w:rFonts w:ascii="Arial" w:eastAsia="Arial" w:hAnsi="Arial" w:cs="Arial"/>
                <w:b/>
                <w:bCs/>
                <w:color w:val="FFFFFF"/>
                <w:w w:val="70"/>
                <w:sz w:val="24"/>
                <w:szCs w:val="24"/>
              </w:rPr>
              <w:t>Precauciones en el aislamiento</w:t>
            </w:r>
          </w:p>
        </w:tc>
        <w:tc>
          <w:tcPr>
            <w:tcW w:w="1478" w:type="dxa"/>
            <w:shd w:val="clear" w:color="auto" w:fill="231F20"/>
            <w:vAlign w:val="bottom"/>
          </w:tcPr>
          <w:p w14:paraId="00120B67" w14:textId="77777777" w:rsidR="0072615D" w:rsidRDefault="0072615D">
            <w:pPr>
              <w:pStyle w:val="Other0"/>
              <w:framePr w:w="11429" w:h="5366" w:wrap="none" w:hAnchor="page" w:x="625" w:y="611"/>
              <w:pBdr>
                <w:top w:val="single" w:sz="0" w:space="0" w:color="231F20"/>
                <w:left w:val="single" w:sz="0" w:space="0" w:color="231F20"/>
                <w:bottom w:val="single" w:sz="0" w:space="0" w:color="231F20"/>
                <w:right w:val="single" w:sz="0" w:space="0" w:color="231F20"/>
              </w:pBdr>
              <w:shd w:val="clear" w:color="auto" w:fill="231F20"/>
              <w:spacing w:line="221" w:lineRule="auto"/>
              <w:ind w:left="140" w:firstLine="0"/>
              <w:rPr>
                <w:sz w:val="24"/>
                <w:szCs w:val="24"/>
              </w:rPr>
            </w:pPr>
            <w:r>
              <w:rPr>
                <w:rFonts w:ascii="Arial" w:eastAsia="Arial" w:hAnsi="Arial" w:cs="Arial"/>
                <w:b/>
                <w:bCs/>
                <w:color w:val="FFFFFF"/>
                <w:w w:val="70"/>
                <w:sz w:val="24"/>
                <w:szCs w:val="24"/>
              </w:rPr>
              <w:t>Opciones terapéuticas</w:t>
            </w:r>
          </w:p>
        </w:tc>
        <w:tc>
          <w:tcPr>
            <w:tcW w:w="1925" w:type="dxa"/>
            <w:shd w:val="clear" w:color="auto" w:fill="231F20"/>
            <w:vAlign w:val="bottom"/>
          </w:tcPr>
          <w:p w14:paraId="4F4C19E0" w14:textId="77777777" w:rsidR="0072615D" w:rsidRDefault="0072615D">
            <w:pPr>
              <w:pStyle w:val="Other0"/>
              <w:framePr w:w="11429" w:h="5366" w:wrap="none" w:hAnchor="page" w:x="625" w:y="611"/>
              <w:pBdr>
                <w:top w:val="single" w:sz="0" w:space="0" w:color="231F20"/>
                <w:left w:val="single" w:sz="0" w:space="0" w:color="231F20"/>
                <w:bottom w:val="single" w:sz="0" w:space="0" w:color="231F20"/>
                <w:right w:val="single" w:sz="0" w:space="0" w:color="231F20"/>
              </w:pBdr>
              <w:shd w:val="clear" w:color="auto" w:fill="231F20"/>
              <w:spacing w:line="218" w:lineRule="auto"/>
              <w:ind w:firstLine="0"/>
              <w:rPr>
                <w:sz w:val="8"/>
                <w:szCs w:val="8"/>
              </w:rPr>
            </w:pPr>
            <w:r>
              <w:rPr>
                <w:rFonts w:ascii="Arial" w:eastAsia="Arial" w:hAnsi="Arial" w:cs="Arial"/>
                <w:b/>
                <w:bCs/>
                <w:color w:val="FFFFFF"/>
                <w:w w:val="70"/>
                <w:sz w:val="24"/>
                <w:szCs w:val="24"/>
              </w:rPr>
              <w:t>Profilaxia después de exposición</w:t>
            </w:r>
            <w:r>
              <w:rPr>
                <w:rFonts w:ascii="Times New Roman" w:eastAsia="Times New Roman" w:hAnsi="Times New Roman" w:cs="Times New Roman"/>
                <w:color w:val="FFFFFF"/>
                <w:sz w:val="8"/>
                <w:szCs w:val="8"/>
                <w:vertAlign w:val="superscript"/>
              </w:rPr>
              <w:t>1</w:t>
            </w:r>
          </w:p>
        </w:tc>
        <w:tc>
          <w:tcPr>
            <w:tcW w:w="1766" w:type="dxa"/>
            <w:shd w:val="clear" w:color="auto" w:fill="231F20"/>
          </w:tcPr>
          <w:p w14:paraId="35898DB4" w14:textId="77777777" w:rsidR="0072615D" w:rsidRDefault="0072615D">
            <w:pPr>
              <w:pStyle w:val="Other0"/>
              <w:framePr w:w="11429" w:h="5366" w:wrap="none" w:hAnchor="page" w:x="625" w:y="61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Comentarios</w:t>
            </w:r>
          </w:p>
        </w:tc>
      </w:tr>
      <w:tr w:rsidR="0072615D" w14:paraId="67F7CCAA" w14:textId="77777777">
        <w:tblPrEx>
          <w:tblCellMar>
            <w:top w:w="0" w:type="dxa"/>
            <w:bottom w:w="0" w:type="dxa"/>
          </w:tblCellMar>
        </w:tblPrEx>
        <w:trPr>
          <w:trHeight w:hRule="exact" w:val="1061"/>
        </w:trPr>
        <w:tc>
          <w:tcPr>
            <w:tcW w:w="1330" w:type="dxa"/>
            <w:shd w:val="clear" w:color="auto" w:fill="FFFFFF"/>
          </w:tcPr>
          <w:p w14:paraId="2A096FD7" w14:textId="77777777" w:rsidR="0072615D" w:rsidRDefault="0072615D">
            <w:pPr>
              <w:pStyle w:val="Other0"/>
              <w:framePr w:w="11429" w:h="5366" w:wrap="none" w:hAnchor="page" w:x="625" w:y="611"/>
              <w:spacing w:before="80" w:line="240" w:lineRule="auto"/>
              <w:ind w:firstLine="0"/>
              <w:rPr>
                <w:sz w:val="16"/>
                <w:szCs w:val="16"/>
              </w:rPr>
            </w:pPr>
            <w:r>
              <w:rPr>
                <w:rFonts w:ascii="Times New Roman" w:eastAsia="Times New Roman" w:hAnsi="Times New Roman" w:cs="Times New Roman"/>
                <w:sz w:val="16"/>
                <w:szCs w:val="16"/>
              </w:rPr>
              <w:t>Q, fiebre</w:t>
            </w:r>
          </w:p>
        </w:tc>
        <w:tc>
          <w:tcPr>
            <w:tcW w:w="1416" w:type="dxa"/>
            <w:shd w:val="clear" w:color="auto" w:fill="FFFFFF"/>
          </w:tcPr>
          <w:p w14:paraId="47146159" w14:textId="77777777" w:rsidR="0072615D" w:rsidRDefault="0072615D">
            <w:pPr>
              <w:pStyle w:val="Other0"/>
              <w:framePr w:w="11429" w:h="5366" w:wrap="none" w:hAnchor="page" w:x="625" w:y="611"/>
              <w:spacing w:before="80" w:line="240" w:lineRule="auto"/>
              <w:ind w:firstLine="140"/>
              <w:rPr>
                <w:sz w:val="16"/>
                <w:szCs w:val="16"/>
              </w:rPr>
            </w:pPr>
            <w:r>
              <w:rPr>
                <w:rFonts w:ascii="Times New Roman" w:eastAsia="Times New Roman" w:hAnsi="Times New Roman" w:cs="Times New Roman"/>
                <w:sz w:val="16"/>
                <w:szCs w:val="16"/>
              </w:rPr>
              <w:t>10-40 días</w:t>
            </w:r>
          </w:p>
        </w:tc>
        <w:tc>
          <w:tcPr>
            <w:tcW w:w="1795" w:type="dxa"/>
            <w:shd w:val="clear" w:color="auto" w:fill="FFFFFF"/>
          </w:tcPr>
          <w:p w14:paraId="73E76FCA" w14:textId="77777777" w:rsidR="0072615D" w:rsidRDefault="0072615D">
            <w:pPr>
              <w:pStyle w:val="Other0"/>
              <w:framePr w:w="11429" w:h="5366" w:wrap="none" w:hAnchor="page" w:x="625" w:y="611"/>
              <w:spacing w:before="80" w:line="288" w:lineRule="auto"/>
              <w:ind w:left="240" w:hanging="100"/>
              <w:rPr>
                <w:sz w:val="16"/>
                <w:szCs w:val="16"/>
              </w:rPr>
            </w:pPr>
            <w:r>
              <w:rPr>
                <w:rFonts w:ascii="Times New Roman" w:eastAsia="Times New Roman" w:hAnsi="Times New Roman" w:cs="Times New Roman"/>
                <w:sz w:val="16"/>
                <w:szCs w:val="16"/>
              </w:rPr>
              <w:t>Suero de fase aguda y convalecencia</w:t>
            </w:r>
          </w:p>
        </w:tc>
        <w:tc>
          <w:tcPr>
            <w:tcW w:w="1718" w:type="dxa"/>
            <w:shd w:val="clear" w:color="auto" w:fill="FFFFFF"/>
          </w:tcPr>
          <w:p w14:paraId="10B89E22" w14:textId="77777777" w:rsidR="0072615D" w:rsidRDefault="0072615D">
            <w:pPr>
              <w:pStyle w:val="Other0"/>
              <w:framePr w:w="11429" w:h="5366" w:wrap="none" w:hAnchor="page" w:x="625" w:y="611"/>
              <w:spacing w:before="80" w:line="240" w:lineRule="auto"/>
              <w:ind w:firstLine="0"/>
              <w:rPr>
                <w:sz w:val="16"/>
                <w:szCs w:val="16"/>
              </w:rPr>
            </w:pPr>
            <w:r>
              <w:rPr>
                <w:rFonts w:ascii="Times New Roman" w:eastAsia="Times New Roman" w:hAnsi="Times New Roman" w:cs="Times New Roman"/>
                <w:sz w:val="16"/>
                <w:szCs w:val="16"/>
              </w:rPr>
              <w:t>Habituales</w:t>
            </w:r>
          </w:p>
        </w:tc>
        <w:tc>
          <w:tcPr>
            <w:tcW w:w="1478" w:type="dxa"/>
            <w:shd w:val="clear" w:color="auto" w:fill="FFFFFF"/>
          </w:tcPr>
          <w:p w14:paraId="15973AAC" w14:textId="77777777" w:rsidR="0072615D" w:rsidRDefault="0072615D">
            <w:pPr>
              <w:pStyle w:val="Other0"/>
              <w:framePr w:w="11429" w:h="5366" w:wrap="none" w:hAnchor="page" w:x="625" w:y="611"/>
              <w:spacing w:before="80" w:line="288" w:lineRule="auto"/>
              <w:ind w:left="140" w:firstLine="0"/>
              <w:rPr>
                <w:sz w:val="16"/>
                <w:szCs w:val="16"/>
              </w:rPr>
            </w:pPr>
            <w:r>
              <w:rPr>
                <w:rFonts w:ascii="Times New Roman" w:eastAsia="Times New Roman" w:hAnsi="Times New Roman" w:cs="Times New Roman"/>
                <w:sz w:val="16"/>
                <w:szCs w:val="16"/>
              </w:rPr>
              <w:t>Doxiciclina</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o tetraciclina</w:t>
            </w:r>
            <w:r>
              <w:rPr>
                <w:rFonts w:ascii="Times New Roman" w:eastAsia="Times New Roman" w:hAnsi="Times New Roman" w:cs="Times New Roman"/>
                <w:sz w:val="16"/>
                <w:szCs w:val="16"/>
                <w:vertAlign w:val="superscript"/>
              </w:rPr>
              <w:t>3</w:t>
            </w:r>
          </w:p>
        </w:tc>
        <w:tc>
          <w:tcPr>
            <w:tcW w:w="1925" w:type="dxa"/>
            <w:shd w:val="clear" w:color="auto" w:fill="FFFFFF"/>
          </w:tcPr>
          <w:p w14:paraId="65B2946D" w14:textId="77777777" w:rsidR="0072615D" w:rsidRDefault="0072615D">
            <w:pPr>
              <w:pStyle w:val="Other0"/>
              <w:framePr w:w="11429" w:h="5366" w:wrap="none" w:hAnchor="page" w:x="625" w:y="611"/>
              <w:spacing w:before="80" w:line="288" w:lineRule="auto"/>
              <w:ind w:firstLine="0"/>
              <w:rPr>
                <w:sz w:val="16"/>
                <w:szCs w:val="16"/>
              </w:rPr>
            </w:pPr>
            <w:r>
              <w:rPr>
                <w:rFonts w:ascii="Times New Roman" w:eastAsia="Times New Roman" w:hAnsi="Times New Roman" w:cs="Times New Roman"/>
                <w:sz w:val="16"/>
                <w:szCs w:val="16"/>
              </w:rPr>
              <w:t>Doxiciclina</w:t>
            </w:r>
            <w:r>
              <w:rPr>
                <w:rFonts w:ascii="Times New Roman" w:eastAsia="Times New Roman" w:hAnsi="Times New Roman" w:cs="Times New Roman"/>
                <w:sz w:val="16"/>
                <w:szCs w:val="16"/>
                <w:vertAlign w:val="superscript"/>
              </w:rPr>
              <w:t>3</w:t>
            </w:r>
            <w:r>
              <w:rPr>
                <w:rFonts w:ascii="Times New Roman" w:eastAsia="Times New Roman" w:hAnsi="Times New Roman" w:cs="Times New Roman"/>
                <w:sz w:val="16"/>
                <w:szCs w:val="16"/>
              </w:rPr>
              <w:t xml:space="preserve"> o tetraciclina</w:t>
            </w:r>
            <w:r>
              <w:rPr>
                <w:rFonts w:ascii="Times New Roman" w:eastAsia="Times New Roman" w:hAnsi="Times New Roman" w:cs="Times New Roman"/>
                <w:sz w:val="16"/>
                <w:szCs w:val="16"/>
                <w:vertAlign w:val="superscript"/>
              </w:rPr>
              <w:t>3</w:t>
            </w:r>
          </w:p>
        </w:tc>
        <w:tc>
          <w:tcPr>
            <w:tcW w:w="1766" w:type="dxa"/>
            <w:shd w:val="clear" w:color="auto" w:fill="FFFFFF"/>
            <w:vAlign w:val="center"/>
          </w:tcPr>
          <w:p w14:paraId="0EF4FF6E" w14:textId="77777777" w:rsidR="0072615D" w:rsidRDefault="0072615D">
            <w:pPr>
              <w:pStyle w:val="Other0"/>
              <w:framePr w:w="11429" w:h="5366" w:wrap="none" w:hAnchor="page" w:x="625" w:y="611"/>
              <w:spacing w:line="283" w:lineRule="auto"/>
              <w:ind w:firstLine="0"/>
              <w:rPr>
                <w:sz w:val="16"/>
                <w:szCs w:val="16"/>
              </w:rPr>
            </w:pPr>
            <w:r>
              <w:rPr>
                <w:rFonts w:ascii="Times New Roman" w:eastAsia="Times New Roman" w:hAnsi="Times New Roman" w:cs="Times New Roman"/>
                <w:sz w:val="16"/>
                <w:szCs w:val="16"/>
              </w:rPr>
              <w:t>El cloranfenicol es una alternativa para tratamiento o profilaxis</w:t>
            </w:r>
          </w:p>
        </w:tc>
      </w:tr>
      <w:tr w:rsidR="0072615D" w14:paraId="561455CC" w14:textId="77777777">
        <w:tblPrEx>
          <w:tblCellMar>
            <w:top w:w="0" w:type="dxa"/>
            <w:bottom w:w="0" w:type="dxa"/>
          </w:tblCellMar>
        </w:tblPrEx>
        <w:trPr>
          <w:trHeight w:hRule="exact" w:val="1080"/>
        </w:trPr>
        <w:tc>
          <w:tcPr>
            <w:tcW w:w="1330" w:type="dxa"/>
            <w:shd w:val="clear" w:color="auto" w:fill="FFFFFF"/>
          </w:tcPr>
          <w:p w14:paraId="28738E52" w14:textId="77777777" w:rsidR="0072615D" w:rsidRDefault="0072615D">
            <w:pPr>
              <w:pStyle w:val="Other0"/>
              <w:framePr w:w="11429" w:h="5366" w:wrap="none" w:hAnchor="page" w:x="625" w:y="611"/>
              <w:spacing w:before="100" w:line="240" w:lineRule="auto"/>
              <w:ind w:firstLine="0"/>
              <w:rPr>
                <w:sz w:val="16"/>
                <w:szCs w:val="16"/>
              </w:rPr>
            </w:pPr>
            <w:r>
              <w:rPr>
                <w:rFonts w:ascii="Times New Roman" w:eastAsia="Times New Roman" w:hAnsi="Times New Roman" w:cs="Times New Roman"/>
                <w:sz w:val="16"/>
                <w:szCs w:val="16"/>
              </w:rPr>
              <w:t>Viruela</w:t>
            </w:r>
          </w:p>
        </w:tc>
        <w:tc>
          <w:tcPr>
            <w:tcW w:w="1416" w:type="dxa"/>
            <w:shd w:val="clear" w:color="auto" w:fill="FFFFFF"/>
          </w:tcPr>
          <w:p w14:paraId="74279D3A" w14:textId="77777777" w:rsidR="0072615D" w:rsidRDefault="0072615D">
            <w:pPr>
              <w:pStyle w:val="Other0"/>
              <w:framePr w:w="11429" w:h="5366" w:wrap="none" w:hAnchor="page" w:x="625" w:y="611"/>
              <w:spacing w:before="100" w:line="240" w:lineRule="auto"/>
              <w:ind w:firstLine="140"/>
              <w:rPr>
                <w:sz w:val="16"/>
                <w:szCs w:val="16"/>
              </w:rPr>
            </w:pPr>
            <w:r>
              <w:rPr>
                <w:rFonts w:ascii="Times New Roman" w:eastAsia="Times New Roman" w:hAnsi="Times New Roman" w:cs="Times New Roman"/>
                <w:sz w:val="16"/>
                <w:szCs w:val="16"/>
              </w:rPr>
              <w:t>7-19 días</w:t>
            </w:r>
          </w:p>
        </w:tc>
        <w:tc>
          <w:tcPr>
            <w:tcW w:w="1795" w:type="dxa"/>
            <w:shd w:val="clear" w:color="auto" w:fill="FFFFFF"/>
            <w:vAlign w:val="center"/>
          </w:tcPr>
          <w:p w14:paraId="2EC7B82D" w14:textId="77777777" w:rsidR="0072615D" w:rsidRDefault="0072615D">
            <w:pPr>
              <w:pStyle w:val="Other0"/>
              <w:framePr w:w="11429" w:h="5366" w:wrap="none" w:hAnchor="page" w:x="625" w:y="611"/>
              <w:spacing w:line="283" w:lineRule="auto"/>
              <w:ind w:left="240" w:hanging="100"/>
              <w:rPr>
                <w:sz w:val="16"/>
                <w:szCs w:val="16"/>
              </w:rPr>
            </w:pPr>
            <w:r>
              <w:rPr>
                <w:rFonts w:ascii="Times New Roman" w:eastAsia="Times New Roman" w:hAnsi="Times New Roman" w:cs="Times New Roman"/>
                <w:sz w:val="16"/>
                <w:szCs w:val="16"/>
              </w:rPr>
              <w:t>Cultivo de material faríngeo o de lesiones cutáneas obtenido con aplicador</w:t>
            </w:r>
          </w:p>
        </w:tc>
        <w:tc>
          <w:tcPr>
            <w:tcW w:w="1718" w:type="dxa"/>
            <w:shd w:val="clear" w:color="auto" w:fill="FFFFFF"/>
          </w:tcPr>
          <w:p w14:paraId="3EF164CC" w14:textId="77777777" w:rsidR="0072615D" w:rsidRDefault="0072615D">
            <w:pPr>
              <w:pStyle w:val="Other0"/>
              <w:framePr w:w="11429" w:h="5366" w:wrap="none" w:hAnchor="page" w:x="625" w:y="611"/>
              <w:spacing w:before="100" w:line="283" w:lineRule="auto"/>
              <w:ind w:left="160" w:hanging="160"/>
              <w:rPr>
                <w:sz w:val="16"/>
                <w:szCs w:val="16"/>
              </w:rPr>
            </w:pPr>
            <w:r>
              <w:rPr>
                <w:rFonts w:ascii="Times New Roman" w:eastAsia="Times New Roman" w:hAnsi="Times New Roman" w:cs="Times New Roman"/>
                <w:sz w:val="16"/>
                <w:szCs w:val="16"/>
              </w:rPr>
              <w:t>De transmisión por el aire o contacto</w:t>
            </w:r>
          </w:p>
        </w:tc>
        <w:tc>
          <w:tcPr>
            <w:tcW w:w="1478" w:type="dxa"/>
            <w:shd w:val="clear" w:color="auto" w:fill="FFFFFF"/>
          </w:tcPr>
          <w:p w14:paraId="4DB4C6C4" w14:textId="77777777" w:rsidR="0072615D" w:rsidRDefault="0072615D">
            <w:pPr>
              <w:pStyle w:val="Other0"/>
              <w:framePr w:w="11429" w:h="5366" w:wrap="none" w:hAnchor="page" w:x="625" w:y="611"/>
              <w:spacing w:before="100" w:line="240" w:lineRule="auto"/>
              <w:ind w:firstLine="140"/>
              <w:rPr>
                <w:sz w:val="16"/>
                <w:szCs w:val="16"/>
              </w:rPr>
            </w:pPr>
            <w:r>
              <w:rPr>
                <w:rFonts w:ascii="Times New Roman" w:eastAsia="Times New Roman" w:hAnsi="Times New Roman" w:cs="Times New Roman"/>
                <w:sz w:val="16"/>
                <w:szCs w:val="16"/>
              </w:rPr>
              <w:t>Medidas de sostén</w:t>
            </w:r>
          </w:p>
        </w:tc>
        <w:tc>
          <w:tcPr>
            <w:tcW w:w="1925" w:type="dxa"/>
            <w:shd w:val="clear" w:color="auto" w:fill="FFFFFF"/>
          </w:tcPr>
          <w:p w14:paraId="2B3A332F" w14:textId="77777777" w:rsidR="0072615D" w:rsidRDefault="0072615D">
            <w:pPr>
              <w:pStyle w:val="Other0"/>
              <w:framePr w:w="11429" w:h="5366" w:wrap="none" w:hAnchor="page" w:x="625" w:y="611"/>
              <w:spacing w:before="100" w:line="283" w:lineRule="auto"/>
              <w:ind w:left="160" w:hanging="160"/>
              <w:rPr>
                <w:sz w:val="16"/>
                <w:szCs w:val="16"/>
              </w:rPr>
            </w:pPr>
            <w:r>
              <w:rPr>
                <w:rFonts w:ascii="Times New Roman" w:eastAsia="Times New Roman" w:hAnsi="Times New Roman" w:cs="Times New Roman"/>
                <w:sz w:val="16"/>
                <w:szCs w:val="16"/>
              </w:rPr>
              <w:t>Vacuna antivaricelosa que se administra en un plazo no mayor de 4 días</w:t>
            </w:r>
          </w:p>
        </w:tc>
        <w:tc>
          <w:tcPr>
            <w:tcW w:w="1766" w:type="dxa"/>
            <w:shd w:val="clear" w:color="auto" w:fill="FFFFFF"/>
          </w:tcPr>
          <w:p w14:paraId="72CA4DB7" w14:textId="77777777" w:rsidR="0072615D" w:rsidRDefault="0072615D">
            <w:pPr>
              <w:framePr w:w="11429" w:h="5366" w:wrap="none" w:hAnchor="page" w:x="625" w:y="611"/>
              <w:rPr>
                <w:sz w:val="10"/>
                <w:szCs w:val="10"/>
              </w:rPr>
            </w:pPr>
          </w:p>
        </w:tc>
      </w:tr>
      <w:tr w:rsidR="0072615D" w14:paraId="764396A2" w14:textId="77777777">
        <w:tblPrEx>
          <w:tblCellMar>
            <w:top w:w="0" w:type="dxa"/>
            <w:bottom w:w="0" w:type="dxa"/>
          </w:tblCellMar>
        </w:tblPrEx>
        <w:trPr>
          <w:trHeight w:hRule="exact" w:val="1517"/>
        </w:trPr>
        <w:tc>
          <w:tcPr>
            <w:tcW w:w="1330" w:type="dxa"/>
            <w:shd w:val="clear" w:color="auto" w:fill="FFFFFF"/>
          </w:tcPr>
          <w:p w14:paraId="652C57BC" w14:textId="77777777" w:rsidR="0072615D" w:rsidRDefault="0072615D">
            <w:pPr>
              <w:pStyle w:val="Other0"/>
              <w:framePr w:w="11429" w:h="5366" w:wrap="none" w:hAnchor="page" w:x="625" w:y="611"/>
              <w:spacing w:before="100" w:line="283" w:lineRule="auto"/>
              <w:ind w:left="160" w:hanging="160"/>
              <w:rPr>
                <w:sz w:val="16"/>
                <w:szCs w:val="16"/>
              </w:rPr>
            </w:pPr>
            <w:r>
              <w:rPr>
                <w:rFonts w:ascii="Times New Roman" w:eastAsia="Times New Roman" w:hAnsi="Times New Roman" w:cs="Times New Roman"/>
                <w:sz w:val="16"/>
                <w:szCs w:val="16"/>
              </w:rPr>
              <w:t>Estafilococos, enterotoxina B</w:t>
            </w:r>
          </w:p>
        </w:tc>
        <w:tc>
          <w:tcPr>
            <w:tcW w:w="1416" w:type="dxa"/>
            <w:shd w:val="clear" w:color="auto" w:fill="FFFFFF"/>
          </w:tcPr>
          <w:p w14:paraId="712EC553" w14:textId="77777777" w:rsidR="0072615D" w:rsidRDefault="0072615D">
            <w:pPr>
              <w:pStyle w:val="Other0"/>
              <w:framePr w:w="11429" w:h="5366" w:wrap="none" w:hAnchor="page" w:x="625" w:y="611"/>
              <w:spacing w:before="100" w:line="240" w:lineRule="auto"/>
              <w:ind w:firstLine="140"/>
              <w:rPr>
                <w:sz w:val="16"/>
                <w:szCs w:val="16"/>
              </w:rPr>
            </w:pPr>
            <w:r>
              <w:rPr>
                <w:rFonts w:ascii="Times New Roman" w:eastAsia="Times New Roman" w:hAnsi="Times New Roman" w:cs="Times New Roman"/>
                <w:sz w:val="16"/>
                <w:szCs w:val="16"/>
              </w:rPr>
              <w:t>3-12 h</w:t>
            </w:r>
          </w:p>
        </w:tc>
        <w:tc>
          <w:tcPr>
            <w:tcW w:w="1795" w:type="dxa"/>
            <w:shd w:val="clear" w:color="auto" w:fill="FFFFFF"/>
            <w:vAlign w:val="center"/>
          </w:tcPr>
          <w:p w14:paraId="2A54EEED" w14:textId="77777777" w:rsidR="0072615D" w:rsidRDefault="0072615D">
            <w:pPr>
              <w:pStyle w:val="Other0"/>
              <w:framePr w:w="11429" w:h="5366" w:wrap="none" w:hAnchor="page" w:x="625" w:y="611"/>
              <w:spacing w:line="283" w:lineRule="auto"/>
              <w:ind w:left="240" w:hanging="100"/>
              <w:rPr>
                <w:sz w:val="16"/>
                <w:szCs w:val="16"/>
              </w:rPr>
            </w:pPr>
            <w:r>
              <w:rPr>
                <w:rFonts w:ascii="Times New Roman" w:eastAsia="Times New Roman" w:hAnsi="Times New Roman" w:cs="Times New Roman"/>
                <w:sz w:val="16"/>
                <w:szCs w:val="16"/>
              </w:rPr>
              <w:t>Suero, orina y secreción de vías respiratorias en busca de toxinas; suero de fase aguda y convalecencia en busca de anticuerpos</w:t>
            </w:r>
          </w:p>
        </w:tc>
        <w:tc>
          <w:tcPr>
            <w:tcW w:w="1718" w:type="dxa"/>
            <w:shd w:val="clear" w:color="auto" w:fill="FFFFFF"/>
          </w:tcPr>
          <w:p w14:paraId="175EB19F" w14:textId="77777777" w:rsidR="0072615D" w:rsidRDefault="0072615D">
            <w:pPr>
              <w:pStyle w:val="Other0"/>
              <w:framePr w:w="11429" w:h="5366" w:wrap="none" w:hAnchor="page" w:x="625" w:y="611"/>
              <w:spacing w:before="100" w:line="240" w:lineRule="auto"/>
              <w:ind w:firstLine="0"/>
              <w:rPr>
                <w:sz w:val="16"/>
                <w:szCs w:val="16"/>
              </w:rPr>
            </w:pPr>
            <w:r>
              <w:rPr>
                <w:rFonts w:ascii="Times New Roman" w:eastAsia="Times New Roman" w:hAnsi="Times New Roman" w:cs="Times New Roman"/>
                <w:sz w:val="16"/>
                <w:szCs w:val="16"/>
              </w:rPr>
              <w:t>Habituales</w:t>
            </w:r>
          </w:p>
        </w:tc>
        <w:tc>
          <w:tcPr>
            <w:tcW w:w="1478" w:type="dxa"/>
            <w:shd w:val="clear" w:color="auto" w:fill="FFFFFF"/>
          </w:tcPr>
          <w:p w14:paraId="26D0EB18" w14:textId="77777777" w:rsidR="0072615D" w:rsidRDefault="0072615D">
            <w:pPr>
              <w:pStyle w:val="Other0"/>
              <w:framePr w:w="11429" w:h="5366" w:wrap="none" w:hAnchor="page" w:x="625" w:y="611"/>
              <w:spacing w:before="100" w:line="240" w:lineRule="auto"/>
              <w:ind w:firstLine="140"/>
              <w:rPr>
                <w:sz w:val="16"/>
                <w:szCs w:val="16"/>
              </w:rPr>
            </w:pPr>
            <w:r>
              <w:rPr>
                <w:rFonts w:ascii="Times New Roman" w:eastAsia="Times New Roman" w:hAnsi="Times New Roman" w:cs="Times New Roman"/>
                <w:sz w:val="16"/>
                <w:szCs w:val="16"/>
              </w:rPr>
              <w:t>Medidas de sostén</w:t>
            </w:r>
          </w:p>
        </w:tc>
        <w:tc>
          <w:tcPr>
            <w:tcW w:w="1925" w:type="dxa"/>
            <w:shd w:val="clear" w:color="auto" w:fill="FFFFFF"/>
          </w:tcPr>
          <w:p w14:paraId="37D7B263" w14:textId="77777777" w:rsidR="0072615D" w:rsidRDefault="0072615D">
            <w:pPr>
              <w:pStyle w:val="Other0"/>
              <w:framePr w:w="11429" w:h="5366" w:wrap="none" w:hAnchor="page" w:x="625" w:y="611"/>
              <w:spacing w:before="100" w:line="283" w:lineRule="auto"/>
              <w:ind w:left="160" w:hanging="160"/>
              <w:rPr>
                <w:sz w:val="16"/>
                <w:szCs w:val="16"/>
              </w:rPr>
            </w:pPr>
            <w:r>
              <w:rPr>
                <w:rFonts w:ascii="Times New Roman" w:eastAsia="Times New Roman" w:hAnsi="Times New Roman" w:cs="Times New Roman"/>
                <w:sz w:val="16"/>
                <w:szCs w:val="16"/>
              </w:rPr>
              <w:t>No se dispone de medio alguno</w:t>
            </w:r>
          </w:p>
        </w:tc>
        <w:tc>
          <w:tcPr>
            <w:tcW w:w="1766" w:type="dxa"/>
            <w:shd w:val="clear" w:color="auto" w:fill="FFFFFF"/>
          </w:tcPr>
          <w:p w14:paraId="68E3626B" w14:textId="77777777" w:rsidR="0072615D" w:rsidRDefault="0072615D">
            <w:pPr>
              <w:framePr w:w="11429" w:h="5366" w:wrap="none" w:hAnchor="page" w:x="625" w:y="611"/>
              <w:rPr>
                <w:sz w:val="10"/>
                <w:szCs w:val="10"/>
              </w:rPr>
            </w:pPr>
          </w:p>
        </w:tc>
      </w:tr>
      <w:tr w:rsidR="0072615D" w14:paraId="6082A609" w14:textId="77777777">
        <w:tblPrEx>
          <w:tblCellMar>
            <w:top w:w="0" w:type="dxa"/>
            <w:bottom w:w="0" w:type="dxa"/>
          </w:tblCellMar>
        </w:tblPrEx>
        <w:trPr>
          <w:trHeight w:hRule="exact" w:val="1147"/>
        </w:trPr>
        <w:tc>
          <w:tcPr>
            <w:tcW w:w="1330" w:type="dxa"/>
            <w:shd w:val="clear" w:color="auto" w:fill="FFFFFF"/>
          </w:tcPr>
          <w:p w14:paraId="19F6B70C" w14:textId="77777777" w:rsidR="0072615D" w:rsidRDefault="0072615D">
            <w:pPr>
              <w:pStyle w:val="Other0"/>
              <w:framePr w:w="11429" w:h="5366" w:wrap="none" w:hAnchor="page" w:x="625" w:y="611"/>
              <w:spacing w:before="100" w:line="240" w:lineRule="auto"/>
              <w:ind w:firstLine="0"/>
              <w:rPr>
                <w:sz w:val="16"/>
                <w:szCs w:val="16"/>
              </w:rPr>
            </w:pPr>
            <w:r>
              <w:rPr>
                <w:rFonts w:ascii="Times New Roman" w:eastAsia="Times New Roman" w:hAnsi="Times New Roman" w:cs="Times New Roman"/>
                <w:sz w:val="16"/>
                <w:szCs w:val="16"/>
              </w:rPr>
              <w:t>Ricino</w:t>
            </w:r>
          </w:p>
        </w:tc>
        <w:tc>
          <w:tcPr>
            <w:tcW w:w="1416" w:type="dxa"/>
            <w:shd w:val="clear" w:color="auto" w:fill="FFFFFF"/>
          </w:tcPr>
          <w:p w14:paraId="28D8F3F2" w14:textId="77777777" w:rsidR="0072615D" w:rsidRDefault="0072615D">
            <w:pPr>
              <w:pStyle w:val="Other0"/>
              <w:framePr w:w="11429" w:h="5366" w:wrap="none" w:hAnchor="page" w:x="625" w:y="611"/>
              <w:spacing w:before="100" w:line="240" w:lineRule="auto"/>
              <w:ind w:firstLine="140"/>
              <w:rPr>
                <w:sz w:val="16"/>
                <w:szCs w:val="16"/>
              </w:rPr>
            </w:pPr>
            <w:r>
              <w:rPr>
                <w:rFonts w:ascii="Times New Roman" w:eastAsia="Times New Roman" w:hAnsi="Times New Roman" w:cs="Times New Roman"/>
                <w:sz w:val="16"/>
                <w:szCs w:val="16"/>
              </w:rPr>
              <w:t>4-8 h</w:t>
            </w:r>
          </w:p>
        </w:tc>
        <w:tc>
          <w:tcPr>
            <w:tcW w:w="1795" w:type="dxa"/>
            <w:shd w:val="clear" w:color="auto" w:fill="FFFFFF"/>
            <w:vAlign w:val="bottom"/>
          </w:tcPr>
          <w:p w14:paraId="26134150" w14:textId="77777777" w:rsidR="0072615D" w:rsidRDefault="0072615D">
            <w:pPr>
              <w:pStyle w:val="Other0"/>
              <w:framePr w:w="11429" w:h="5366" w:wrap="none" w:hAnchor="page" w:x="625" w:y="611"/>
              <w:spacing w:line="283" w:lineRule="auto"/>
              <w:ind w:firstLine="140"/>
              <w:rPr>
                <w:sz w:val="16"/>
                <w:szCs w:val="16"/>
              </w:rPr>
            </w:pPr>
            <w:r>
              <w:rPr>
                <w:rFonts w:ascii="Times New Roman" w:eastAsia="Times New Roman" w:hAnsi="Times New Roman" w:cs="Times New Roman"/>
                <w:sz w:val="16"/>
                <w:szCs w:val="16"/>
              </w:rPr>
              <w:t>Suero, secreciones</w:t>
            </w:r>
          </w:p>
          <w:p w14:paraId="4BBD6EF5" w14:textId="77777777" w:rsidR="0072615D" w:rsidRDefault="0072615D">
            <w:pPr>
              <w:pStyle w:val="Other0"/>
              <w:framePr w:w="11429" w:h="5366" w:wrap="none" w:hAnchor="page" w:x="625" w:y="611"/>
              <w:spacing w:line="283" w:lineRule="auto"/>
              <w:ind w:left="240" w:firstLine="0"/>
              <w:rPr>
                <w:sz w:val="16"/>
                <w:szCs w:val="16"/>
              </w:rPr>
            </w:pPr>
            <w:r>
              <w:rPr>
                <w:rFonts w:ascii="Times New Roman" w:eastAsia="Times New Roman" w:hAnsi="Times New Roman" w:cs="Times New Roman"/>
                <w:sz w:val="16"/>
                <w:szCs w:val="16"/>
              </w:rPr>
              <w:t>de vías respiratorias o ambos materiales para la práctica de EIA</w:t>
            </w:r>
          </w:p>
        </w:tc>
        <w:tc>
          <w:tcPr>
            <w:tcW w:w="1718" w:type="dxa"/>
            <w:shd w:val="clear" w:color="auto" w:fill="FFFFFF"/>
          </w:tcPr>
          <w:p w14:paraId="3D567F20" w14:textId="77777777" w:rsidR="0072615D" w:rsidRDefault="0072615D">
            <w:pPr>
              <w:pStyle w:val="Other0"/>
              <w:framePr w:w="11429" w:h="5366" w:wrap="none" w:hAnchor="page" w:x="625" w:y="611"/>
              <w:spacing w:before="100" w:line="240" w:lineRule="auto"/>
              <w:ind w:firstLine="0"/>
              <w:rPr>
                <w:sz w:val="16"/>
                <w:szCs w:val="16"/>
              </w:rPr>
            </w:pPr>
            <w:r>
              <w:rPr>
                <w:rFonts w:ascii="Times New Roman" w:eastAsia="Times New Roman" w:hAnsi="Times New Roman" w:cs="Times New Roman"/>
                <w:sz w:val="16"/>
                <w:szCs w:val="16"/>
              </w:rPr>
              <w:t>Habituales</w:t>
            </w:r>
          </w:p>
        </w:tc>
        <w:tc>
          <w:tcPr>
            <w:tcW w:w="1478" w:type="dxa"/>
            <w:shd w:val="clear" w:color="auto" w:fill="FFFFFF"/>
            <w:vAlign w:val="bottom"/>
          </w:tcPr>
          <w:p w14:paraId="3A57CB76" w14:textId="77777777" w:rsidR="0072615D" w:rsidRDefault="0072615D">
            <w:pPr>
              <w:pStyle w:val="Other0"/>
              <w:framePr w:w="11429" w:h="5366" w:wrap="none" w:hAnchor="page" w:x="625" w:y="611"/>
              <w:spacing w:line="283" w:lineRule="auto"/>
              <w:ind w:left="240" w:hanging="100"/>
              <w:rPr>
                <w:sz w:val="16"/>
                <w:szCs w:val="16"/>
              </w:rPr>
            </w:pPr>
            <w:r>
              <w:rPr>
                <w:rFonts w:ascii="Times New Roman" w:eastAsia="Times New Roman" w:hAnsi="Times New Roman" w:cs="Times New Roman"/>
                <w:sz w:val="16"/>
                <w:szCs w:val="16"/>
              </w:rPr>
              <w:t>Medidas de sostén; lavado gástrico y laxantes si la víctima ingirió la toxina</w:t>
            </w:r>
          </w:p>
        </w:tc>
        <w:tc>
          <w:tcPr>
            <w:tcW w:w="1925" w:type="dxa"/>
            <w:shd w:val="clear" w:color="auto" w:fill="FFFFFF"/>
          </w:tcPr>
          <w:p w14:paraId="552549BA" w14:textId="77777777" w:rsidR="0072615D" w:rsidRDefault="0072615D">
            <w:pPr>
              <w:pStyle w:val="Other0"/>
              <w:framePr w:w="11429" w:h="5366" w:wrap="none" w:hAnchor="page" w:x="625" w:y="611"/>
              <w:spacing w:before="100" w:line="240" w:lineRule="auto"/>
              <w:ind w:firstLine="0"/>
              <w:rPr>
                <w:sz w:val="16"/>
                <w:szCs w:val="16"/>
              </w:rPr>
            </w:pPr>
            <w:r>
              <w:rPr>
                <w:rFonts w:ascii="Times New Roman" w:eastAsia="Times New Roman" w:hAnsi="Times New Roman" w:cs="Times New Roman"/>
                <w:sz w:val="16"/>
                <w:szCs w:val="16"/>
              </w:rPr>
              <w:t>Máscara protectora</w:t>
            </w:r>
          </w:p>
        </w:tc>
        <w:tc>
          <w:tcPr>
            <w:tcW w:w="1766" w:type="dxa"/>
            <w:shd w:val="clear" w:color="auto" w:fill="FFFFFF"/>
          </w:tcPr>
          <w:p w14:paraId="128A58F0" w14:textId="77777777" w:rsidR="0072615D" w:rsidRDefault="0072615D">
            <w:pPr>
              <w:framePr w:w="11429" w:h="5366" w:wrap="none" w:hAnchor="page" w:x="625" w:y="611"/>
              <w:rPr>
                <w:sz w:val="10"/>
                <w:szCs w:val="10"/>
              </w:rPr>
            </w:pPr>
          </w:p>
        </w:tc>
      </w:tr>
    </w:tbl>
    <w:p w14:paraId="0F287F9D" w14:textId="77777777" w:rsidR="0072615D" w:rsidRDefault="0072615D">
      <w:pPr>
        <w:framePr w:w="11429" w:h="5366" w:wrap="none" w:hAnchor="page" w:x="625" w:y="611"/>
        <w:spacing w:line="1" w:lineRule="exact"/>
      </w:pPr>
    </w:p>
    <w:p w14:paraId="1FB4636F" w14:textId="77777777" w:rsidR="0072615D" w:rsidRDefault="0072615D">
      <w:pPr>
        <w:pStyle w:val="Bodytext80"/>
        <w:framePr w:w="192" w:h="4334" w:hRule="exact" w:wrap="none" w:hAnchor="page" w:x="12390" w:y="44"/>
        <w:tabs>
          <w:tab w:val="left" w:pos="2501"/>
        </w:tabs>
        <w:textDirection w:val="tbRl"/>
      </w:pPr>
      <w:r>
        <w:rPr>
          <w:sz w:val="16"/>
          <w:szCs w:val="16"/>
        </w:rPr>
        <w:t>114</w:t>
      </w:r>
      <w:r>
        <w:rPr>
          <w:sz w:val="16"/>
          <w:szCs w:val="16"/>
        </w:rPr>
        <w:tab/>
      </w:r>
      <w:r>
        <w:t>TERRORISMO BIOLÓGICO</w:t>
      </w:r>
    </w:p>
    <w:p w14:paraId="6657520B" w14:textId="77777777" w:rsidR="0072615D" w:rsidRDefault="0072615D">
      <w:pPr>
        <w:spacing w:line="360" w:lineRule="exact"/>
      </w:pPr>
    </w:p>
    <w:p w14:paraId="3EF35D18" w14:textId="77777777" w:rsidR="0072615D" w:rsidRDefault="0072615D">
      <w:pPr>
        <w:spacing w:line="360" w:lineRule="exact"/>
      </w:pPr>
    </w:p>
    <w:p w14:paraId="1947272E" w14:textId="77777777" w:rsidR="0072615D" w:rsidRDefault="0072615D">
      <w:pPr>
        <w:spacing w:line="360" w:lineRule="exact"/>
      </w:pPr>
    </w:p>
    <w:p w14:paraId="59B6D1CC" w14:textId="77777777" w:rsidR="0072615D" w:rsidRDefault="0072615D">
      <w:pPr>
        <w:spacing w:line="360" w:lineRule="exact"/>
      </w:pPr>
    </w:p>
    <w:p w14:paraId="559B60E4" w14:textId="77777777" w:rsidR="0072615D" w:rsidRDefault="0072615D">
      <w:pPr>
        <w:spacing w:line="360" w:lineRule="exact"/>
      </w:pPr>
    </w:p>
    <w:p w14:paraId="44E0E63E" w14:textId="77777777" w:rsidR="0072615D" w:rsidRDefault="0072615D">
      <w:pPr>
        <w:spacing w:line="360" w:lineRule="exact"/>
      </w:pPr>
    </w:p>
    <w:p w14:paraId="02EDA315" w14:textId="77777777" w:rsidR="0072615D" w:rsidRDefault="0072615D">
      <w:pPr>
        <w:spacing w:line="360" w:lineRule="exact"/>
      </w:pPr>
    </w:p>
    <w:p w14:paraId="719605D6" w14:textId="77777777" w:rsidR="0072615D" w:rsidRDefault="0072615D">
      <w:pPr>
        <w:spacing w:line="360" w:lineRule="exact"/>
      </w:pPr>
    </w:p>
    <w:p w14:paraId="236ADF34" w14:textId="77777777" w:rsidR="0072615D" w:rsidRDefault="0072615D">
      <w:pPr>
        <w:spacing w:line="360" w:lineRule="exact"/>
      </w:pPr>
    </w:p>
    <w:p w14:paraId="56018D0E" w14:textId="77777777" w:rsidR="0072615D" w:rsidRDefault="0072615D">
      <w:pPr>
        <w:spacing w:line="360" w:lineRule="exact"/>
      </w:pPr>
    </w:p>
    <w:p w14:paraId="148D30A6" w14:textId="77777777" w:rsidR="0072615D" w:rsidRDefault="0072615D">
      <w:pPr>
        <w:spacing w:line="360" w:lineRule="exact"/>
      </w:pPr>
    </w:p>
    <w:p w14:paraId="07900CA0" w14:textId="77777777" w:rsidR="0072615D" w:rsidRDefault="0072615D">
      <w:pPr>
        <w:spacing w:line="360" w:lineRule="exact"/>
      </w:pPr>
    </w:p>
    <w:p w14:paraId="3C411211" w14:textId="77777777" w:rsidR="0072615D" w:rsidRDefault="0072615D">
      <w:pPr>
        <w:spacing w:line="360" w:lineRule="exact"/>
      </w:pPr>
    </w:p>
    <w:p w14:paraId="275EFC01" w14:textId="77777777" w:rsidR="0072615D" w:rsidRDefault="0072615D">
      <w:pPr>
        <w:spacing w:line="360" w:lineRule="exact"/>
      </w:pPr>
    </w:p>
    <w:p w14:paraId="01F68670" w14:textId="77777777" w:rsidR="0072615D" w:rsidRDefault="0072615D">
      <w:pPr>
        <w:spacing w:line="360" w:lineRule="exact"/>
      </w:pPr>
    </w:p>
    <w:p w14:paraId="69902285" w14:textId="77777777" w:rsidR="0072615D" w:rsidRDefault="0072615D">
      <w:pPr>
        <w:spacing w:after="575" w:line="1" w:lineRule="exact"/>
      </w:pPr>
    </w:p>
    <w:p w14:paraId="59892C1F" w14:textId="77777777" w:rsidR="0072615D" w:rsidRDefault="0072615D">
      <w:pPr>
        <w:spacing w:line="1" w:lineRule="exact"/>
        <w:sectPr w:rsidR="0072615D" w:rsidSect="0072615D">
          <w:headerReference w:type="even" r:id="rId277"/>
          <w:headerReference w:type="default" r:id="rId278"/>
          <w:footerReference w:type="even" r:id="rId279"/>
          <w:footerReference w:type="default" r:id="rId280"/>
          <w:footnotePr>
            <w:numFmt w:val="chicago"/>
          </w:footnotePr>
          <w:pgSz w:w="13022" w:h="8501" w:orient="landscape"/>
          <w:pgMar w:top="475" w:right="442" w:bottom="1148" w:left="624" w:header="47" w:footer="3" w:gutter="0"/>
          <w:cols w:space="720"/>
          <w:noEndnote/>
          <w:docGrid w:linePitch="360"/>
          <w15:footnoteColumns w:val="1"/>
        </w:sectPr>
      </w:pPr>
    </w:p>
    <w:p w14:paraId="7E6E9001" w14:textId="77777777" w:rsidR="0072615D" w:rsidRDefault="0072615D">
      <w:pPr>
        <w:spacing w:line="1" w:lineRule="exact"/>
      </w:pPr>
      <w:r>
        <w:rPr>
          <w:noProof/>
        </w:rPr>
        <mc:AlternateContent>
          <mc:Choice Requires="wps">
            <w:drawing>
              <wp:anchor distT="0" distB="0" distL="114300" distR="114300" simplePos="0" relativeHeight="251678720" behindDoc="0" locked="0" layoutInCell="1" allowOverlap="1" wp14:anchorId="5DEB31F3" wp14:editId="22E83250">
                <wp:simplePos x="0" y="0"/>
                <wp:positionH relativeFrom="page">
                  <wp:posOffset>402590</wp:posOffset>
                </wp:positionH>
                <wp:positionV relativeFrom="paragraph">
                  <wp:posOffset>387350</wp:posOffset>
                </wp:positionV>
                <wp:extent cx="7257415" cy="1569720"/>
                <wp:effectExtent l="0" t="0" r="0" b="0"/>
                <wp:wrapTopAndBottom/>
                <wp:docPr id="281" name="Shape 281"/>
                <wp:cNvGraphicFramePr/>
                <a:graphic xmlns:a="http://schemas.openxmlformats.org/drawingml/2006/main">
                  <a:graphicData uri="http://schemas.microsoft.com/office/word/2010/wordprocessingShape">
                    <wps:wsp>
                      <wps:cNvSpPr txBox="1"/>
                      <wps:spPr>
                        <a:xfrm>
                          <a:off x="0" y="0"/>
                          <a:ext cx="7257415" cy="156972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1248"/>
                              <w:gridCol w:w="1493"/>
                              <w:gridCol w:w="1814"/>
                              <w:gridCol w:w="1666"/>
                              <w:gridCol w:w="1574"/>
                              <w:gridCol w:w="3634"/>
                            </w:tblGrid>
                            <w:tr w:rsidR="0072615D" w14:paraId="33439774" w14:textId="77777777">
                              <w:tblPrEx>
                                <w:tblCellMar>
                                  <w:top w:w="0" w:type="dxa"/>
                                  <w:bottom w:w="0" w:type="dxa"/>
                                </w:tblCellMar>
                              </w:tblPrEx>
                              <w:trPr>
                                <w:trHeight w:hRule="exact" w:val="562"/>
                                <w:tblHeader/>
                              </w:trPr>
                              <w:tc>
                                <w:tcPr>
                                  <w:tcW w:w="1248" w:type="dxa"/>
                                  <w:shd w:val="clear" w:color="auto" w:fill="231F20"/>
                                </w:tcPr>
                                <w:p w14:paraId="491C393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Agente</w:t>
                                  </w:r>
                                </w:p>
                              </w:tc>
                              <w:tc>
                                <w:tcPr>
                                  <w:tcW w:w="1493" w:type="dxa"/>
                                  <w:shd w:val="clear" w:color="auto" w:fill="231F20"/>
                                </w:tcPr>
                                <w:p w14:paraId="5ACBC19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20" w:firstLine="0"/>
                                    <w:rPr>
                                      <w:sz w:val="24"/>
                                      <w:szCs w:val="24"/>
                                    </w:rPr>
                                  </w:pPr>
                                  <w:r>
                                    <w:rPr>
                                      <w:rFonts w:ascii="Arial" w:eastAsia="Arial" w:hAnsi="Arial" w:cs="Arial"/>
                                      <w:b/>
                                      <w:bCs/>
                                      <w:color w:val="FFFFFF"/>
                                      <w:w w:val="70"/>
                                      <w:sz w:val="24"/>
                                      <w:szCs w:val="24"/>
                                    </w:rPr>
                                    <w:t>Periodo de incubación</w:t>
                                  </w:r>
                                </w:p>
                              </w:tc>
                              <w:tc>
                                <w:tcPr>
                                  <w:tcW w:w="1814" w:type="dxa"/>
                                  <w:shd w:val="clear" w:color="auto" w:fill="231F20"/>
                                </w:tcPr>
                                <w:p w14:paraId="55CE395C"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right="480" w:firstLine="0"/>
                                    <w:jc w:val="right"/>
                                    <w:rPr>
                                      <w:sz w:val="24"/>
                                      <w:szCs w:val="24"/>
                                    </w:rPr>
                                  </w:pPr>
                                  <w:r>
                                    <w:rPr>
                                      <w:rFonts w:ascii="Arial" w:eastAsia="Arial" w:hAnsi="Arial" w:cs="Arial"/>
                                      <w:b/>
                                      <w:bCs/>
                                      <w:color w:val="FFFFFF"/>
                                      <w:w w:val="70"/>
                                      <w:sz w:val="24"/>
                                      <w:szCs w:val="24"/>
                                    </w:rPr>
                                    <w:t>Muestras para el diagnóstico</w:t>
                                  </w:r>
                                </w:p>
                              </w:tc>
                              <w:tc>
                                <w:tcPr>
                                  <w:tcW w:w="1666" w:type="dxa"/>
                                  <w:shd w:val="clear" w:color="auto" w:fill="231F20"/>
                                </w:tcPr>
                                <w:p w14:paraId="637B5C28"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8" w:lineRule="auto"/>
                                    <w:ind w:firstLine="0"/>
                                    <w:rPr>
                                      <w:sz w:val="24"/>
                                      <w:szCs w:val="24"/>
                                    </w:rPr>
                                  </w:pPr>
                                  <w:r>
                                    <w:rPr>
                                      <w:rFonts w:ascii="Arial" w:eastAsia="Arial" w:hAnsi="Arial" w:cs="Arial"/>
                                      <w:b/>
                                      <w:bCs/>
                                      <w:color w:val="FFFFFF"/>
                                      <w:w w:val="70"/>
                                      <w:sz w:val="24"/>
                                      <w:szCs w:val="24"/>
                                    </w:rPr>
                                    <w:t>Precauciones en el aislamiento</w:t>
                                  </w:r>
                                </w:p>
                              </w:tc>
                              <w:tc>
                                <w:tcPr>
                                  <w:tcW w:w="1574" w:type="dxa"/>
                                  <w:shd w:val="clear" w:color="auto" w:fill="231F20"/>
                                </w:tcPr>
                                <w:p w14:paraId="0E8B4D4A"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8" w:lineRule="auto"/>
                                    <w:ind w:left="180" w:firstLine="0"/>
                                    <w:rPr>
                                      <w:sz w:val="24"/>
                                      <w:szCs w:val="24"/>
                                    </w:rPr>
                                  </w:pPr>
                                  <w:r>
                                    <w:rPr>
                                      <w:rFonts w:ascii="Arial" w:eastAsia="Arial" w:hAnsi="Arial" w:cs="Arial"/>
                                      <w:b/>
                                      <w:bCs/>
                                      <w:color w:val="FFFFFF"/>
                                      <w:w w:val="70"/>
                                      <w:sz w:val="24"/>
                                      <w:szCs w:val="24"/>
                                    </w:rPr>
                                    <w:t>Opciones terapéuticas</w:t>
                                  </w:r>
                                </w:p>
                              </w:tc>
                              <w:tc>
                                <w:tcPr>
                                  <w:tcW w:w="3634" w:type="dxa"/>
                                  <w:shd w:val="clear" w:color="auto" w:fill="231F20"/>
                                </w:tcPr>
                                <w:p w14:paraId="1120D2CC"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8"/>
                                      <w:szCs w:val="8"/>
                                    </w:rPr>
                                  </w:pPr>
                                  <w:r>
                                    <w:rPr>
                                      <w:rFonts w:ascii="Arial" w:eastAsia="Arial" w:hAnsi="Arial" w:cs="Arial"/>
                                      <w:b/>
                                      <w:bCs/>
                                      <w:color w:val="FFFFFF"/>
                                      <w:w w:val="70"/>
                                      <w:sz w:val="24"/>
                                      <w:szCs w:val="24"/>
                                    </w:rPr>
                                    <w:t>Profilaxia después Comentarios de exposición</w:t>
                                  </w:r>
                                  <w:r>
                                    <w:rPr>
                                      <w:rFonts w:ascii="Times New Roman" w:eastAsia="Times New Roman" w:hAnsi="Times New Roman" w:cs="Times New Roman"/>
                                      <w:color w:val="FFFFFF"/>
                                      <w:sz w:val="8"/>
                                      <w:szCs w:val="8"/>
                                      <w:vertAlign w:val="superscript"/>
                                    </w:rPr>
                                    <w:t>1</w:t>
                                  </w:r>
                                </w:p>
                              </w:tc>
                            </w:tr>
                            <w:tr w:rsidR="0072615D" w14:paraId="02382BA4" w14:textId="77777777">
                              <w:tblPrEx>
                                <w:tblCellMar>
                                  <w:top w:w="0" w:type="dxa"/>
                                  <w:bottom w:w="0" w:type="dxa"/>
                                </w:tblCellMar>
                              </w:tblPrEx>
                              <w:trPr>
                                <w:trHeight w:hRule="exact" w:val="1910"/>
                              </w:trPr>
                              <w:tc>
                                <w:tcPr>
                                  <w:tcW w:w="1248" w:type="dxa"/>
                                  <w:tcBorders>
                                    <w:bottom w:val="single" w:sz="4" w:space="0" w:color="auto"/>
                                  </w:tcBorders>
                                  <w:shd w:val="clear" w:color="auto" w:fill="FFFFFF"/>
                                </w:tcPr>
                                <w:p w14:paraId="43161196" w14:textId="77777777" w:rsidR="0072615D" w:rsidRDefault="0072615D">
                                  <w:pPr>
                                    <w:pStyle w:val="Other0"/>
                                    <w:spacing w:line="283" w:lineRule="auto"/>
                                    <w:ind w:left="160" w:hanging="160"/>
                                    <w:rPr>
                                      <w:sz w:val="16"/>
                                      <w:szCs w:val="16"/>
                                    </w:rPr>
                                  </w:pPr>
                                  <w:r>
                                    <w:rPr>
                                      <w:rFonts w:ascii="Times New Roman" w:eastAsia="Times New Roman" w:hAnsi="Times New Roman" w:cs="Times New Roman"/>
                                      <w:sz w:val="16"/>
                                      <w:szCs w:val="16"/>
                                    </w:rPr>
                                    <w:t>Vírica, fiebre hemorrágica</w:t>
                                  </w:r>
                                </w:p>
                              </w:tc>
                              <w:tc>
                                <w:tcPr>
                                  <w:tcW w:w="1493" w:type="dxa"/>
                                  <w:tcBorders>
                                    <w:bottom w:val="single" w:sz="4" w:space="0" w:color="auto"/>
                                  </w:tcBorders>
                                  <w:shd w:val="clear" w:color="auto" w:fill="FFFFFF"/>
                                </w:tcPr>
                                <w:p w14:paraId="40AD762B"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6-17 días</w:t>
                                  </w:r>
                                </w:p>
                              </w:tc>
                              <w:tc>
                                <w:tcPr>
                                  <w:tcW w:w="1814" w:type="dxa"/>
                                  <w:tcBorders>
                                    <w:bottom w:val="single" w:sz="4" w:space="0" w:color="auto"/>
                                  </w:tcBorders>
                                  <w:shd w:val="clear" w:color="auto" w:fill="FFFFFF"/>
                                </w:tcPr>
                                <w:p w14:paraId="599B1ED2" w14:textId="77777777" w:rsidR="0072615D" w:rsidRDefault="0072615D">
                                  <w:pPr>
                                    <w:pStyle w:val="Other0"/>
                                    <w:spacing w:line="286" w:lineRule="auto"/>
                                    <w:ind w:left="240" w:hanging="100"/>
                                    <w:rPr>
                                      <w:sz w:val="16"/>
                                      <w:szCs w:val="16"/>
                                    </w:rPr>
                                  </w:pPr>
                                  <w:r>
                                    <w:rPr>
                                      <w:rFonts w:ascii="Times New Roman" w:eastAsia="Times New Roman" w:hAnsi="Times New Roman" w:cs="Times New Roman"/>
                                      <w:sz w:val="16"/>
                                      <w:szCs w:val="16"/>
                                    </w:rPr>
                                    <w:t>Cultivo o detección, o ambos, de antígeno de sangre y otros tejidos corporales</w:t>
                                  </w:r>
                                  <w:r>
                                    <w:rPr>
                                      <w:rFonts w:ascii="Times New Roman" w:eastAsia="Times New Roman" w:hAnsi="Times New Roman" w:cs="Times New Roman"/>
                                      <w:sz w:val="16"/>
                                      <w:szCs w:val="16"/>
                                      <w:vertAlign w:val="superscript"/>
                                    </w:rPr>
                                    <w:t>7</w:t>
                                  </w:r>
                                  <w:r>
                                    <w:rPr>
                                      <w:rFonts w:ascii="Times New Roman" w:eastAsia="Times New Roman" w:hAnsi="Times New Roman" w:cs="Times New Roman"/>
                                      <w:sz w:val="16"/>
                                      <w:szCs w:val="16"/>
                                    </w:rPr>
                                    <w:t>; suero de fase aguda y convalescencia en busca de anticuerpos</w:t>
                                  </w:r>
                                </w:p>
                              </w:tc>
                              <w:tc>
                                <w:tcPr>
                                  <w:tcW w:w="1666" w:type="dxa"/>
                                  <w:tcBorders>
                                    <w:bottom w:val="single" w:sz="4" w:space="0" w:color="auto"/>
                                  </w:tcBorders>
                                  <w:shd w:val="clear" w:color="auto" w:fill="FFFFFF"/>
                                </w:tcPr>
                                <w:p w14:paraId="2EFA37E8" w14:textId="77777777" w:rsidR="0072615D" w:rsidRDefault="0072615D">
                                  <w:pPr>
                                    <w:pStyle w:val="Other0"/>
                                    <w:spacing w:line="288" w:lineRule="auto"/>
                                    <w:ind w:left="140" w:hanging="140"/>
                                    <w:rPr>
                                      <w:sz w:val="16"/>
                                      <w:szCs w:val="16"/>
                                    </w:rPr>
                                  </w:pPr>
                                  <w:r>
                                    <w:rPr>
                                      <w:rFonts w:ascii="Times New Roman" w:eastAsia="Times New Roman" w:hAnsi="Times New Roman" w:cs="Times New Roman"/>
                                      <w:sz w:val="16"/>
                                      <w:szCs w:val="16"/>
                                    </w:rPr>
                                    <w:t>Habituales, gotículas y precauciones de contacto</w:t>
                                  </w:r>
                                  <w:r>
                                    <w:rPr>
                                      <w:rFonts w:ascii="Times New Roman" w:eastAsia="Times New Roman" w:hAnsi="Times New Roman" w:cs="Times New Roman"/>
                                      <w:sz w:val="16"/>
                                      <w:szCs w:val="16"/>
                                      <w:vertAlign w:val="superscript"/>
                                    </w:rPr>
                                    <w:t>8</w:t>
                                  </w:r>
                                </w:p>
                              </w:tc>
                              <w:tc>
                                <w:tcPr>
                                  <w:tcW w:w="1574" w:type="dxa"/>
                                  <w:tcBorders>
                                    <w:bottom w:val="single" w:sz="4" w:space="0" w:color="auto"/>
                                  </w:tcBorders>
                                  <w:shd w:val="clear" w:color="auto" w:fill="FFFFFF"/>
                                  <w:vAlign w:val="center"/>
                                </w:tcPr>
                                <w:p w14:paraId="503F7C0C" w14:textId="77777777" w:rsidR="0072615D" w:rsidRDefault="0072615D">
                                  <w:pPr>
                                    <w:pStyle w:val="Other0"/>
                                    <w:spacing w:line="286" w:lineRule="auto"/>
                                    <w:ind w:left="260" w:hanging="80"/>
                                    <w:rPr>
                                      <w:sz w:val="16"/>
                                      <w:szCs w:val="16"/>
                                    </w:rPr>
                                  </w:pPr>
                                  <w:r>
                                    <w:rPr>
                                      <w:rFonts w:ascii="Times New Roman" w:eastAsia="Times New Roman" w:hAnsi="Times New Roman" w:cs="Times New Roman"/>
                                      <w:sz w:val="16"/>
                                      <w:szCs w:val="16"/>
                                    </w:rPr>
                                    <w:t>Ribavirina IV contra fiebre de Lassa; plasma de convalecientes en casos de la fiebre hemorrágica Argentina; medidas de sostén</w:t>
                                  </w:r>
                                </w:p>
                              </w:tc>
                              <w:tc>
                                <w:tcPr>
                                  <w:tcW w:w="3634" w:type="dxa"/>
                                  <w:tcBorders>
                                    <w:bottom w:val="single" w:sz="4" w:space="0" w:color="auto"/>
                                  </w:tcBorders>
                                  <w:shd w:val="clear" w:color="auto" w:fill="FFFFFF"/>
                                </w:tcPr>
                                <w:p w14:paraId="2E86BE1D" w14:textId="77777777" w:rsidR="0072615D" w:rsidRDefault="0072615D">
                                  <w:pPr>
                                    <w:rPr>
                                      <w:sz w:val="10"/>
                                      <w:szCs w:val="10"/>
                                    </w:rPr>
                                  </w:pPr>
                                </w:p>
                              </w:tc>
                            </w:tr>
                          </w:tbl>
                          <w:p w14:paraId="3FEEE288" w14:textId="77777777" w:rsidR="0072615D" w:rsidRDefault="0072615D">
                            <w:pPr>
                              <w:spacing w:line="1" w:lineRule="exact"/>
                            </w:pPr>
                          </w:p>
                        </w:txbxContent>
                      </wps:txbx>
                      <wps:bodyPr lIns="0" tIns="0" rIns="0" bIns="0"/>
                    </wps:wsp>
                  </a:graphicData>
                </a:graphic>
              </wp:anchor>
            </w:drawing>
          </mc:Choice>
          <mc:Fallback>
            <w:pict>
              <v:shape w14:anchorId="5DEB31F3" id="Shape 281" o:spid="_x0000_s1045" type="#_x0000_t202" style="position:absolute;margin-left:31.7pt;margin-top:30.5pt;width:571.45pt;height:123.6pt;z-index:2516787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1248"/>
                        <w:gridCol w:w="1493"/>
                        <w:gridCol w:w="1814"/>
                        <w:gridCol w:w="1666"/>
                        <w:gridCol w:w="1574"/>
                        <w:gridCol w:w="3634"/>
                      </w:tblGrid>
                      <w:tr w:rsidR="0072615D" w14:paraId="33439774" w14:textId="77777777">
                        <w:tblPrEx>
                          <w:tblCellMar>
                            <w:top w:w="0" w:type="dxa"/>
                            <w:bottom w:w="0" w:type="dxa"/>
                          </w:tblCellMar>
                        </w:tblPrEx>
                        <w:trPr>
                          <w:trHeight w:hRule="exact" w:val="562"/>
                          <w:tblHeader/>
                        </w:trPr>
                        <w:tc>
                          <w:tcPr>
                            <w:tcW w:w="1248" w:type="dxa"/>
                            <w:shd w:val="clear" w:color="auto" w:fill="231F20"/>
                          </w:tcPr>
                          <w:p w14:paraId="491C393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Agente</w:t>
                            </w:r>
                          </w:p>
                        </w:tc>
                        <w:tc>
                          <w:tcPr>
                            <w:tcW w:w="1493" w:type="dxa"/>
                            <w:shd w:val="clear" w:color="auto" w:fill="231F20"/>
                          </w:tcPr>
                          <w:p w14:paraId="5ACBC19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220" w:firstLine="0"/>
                              <w:rPr>
                                <w:sz w:val="24"/>
                                <w:szCs w:val="24"/>
                              </w:rPr>
                            </w:pPr>
                            <w:r>
                              <w:rPr>
                                <w:rFonts w:ascii="Arial" w:eastAsia="Arial" w:hAnsi="Arial" w:cs="Arial"/>
                                <w:b/>
                                <w:bCs/>
                                <w:color w:val="FFFFFF"/>
                                <w:w w:val="70"/>
                                <w:sz w:val="24"/>
                                <w:szCs w:val="24"/>
                              </w:rPr>
                              <w:t>Periodo de incubación</w:t>
                            </w:r>
                          </w:p>
                        </w:tc>
                        <w:tc>
                          <w:tcPr>
                            <w:tcW w:w="1814" w:type="dxa"/>
                            <w:shd w:val="clear" w:color="auto" w:fill="231F20"/>
                          </w:tcPr>
                          <w:p w14:paraId="55CE395C"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right="480" w:firstLine="0"/>
                              <w:jc w:val="right"/>
                              <w:rPr>
                                <w:sz w:val="24"/>
                                <w:szCs w:val="24"/>
                              </w:rPr>
                            </w:pPr>
                            <w:r>
                              <w:rPr>
                                <w:rFonts w:ascii="Arial" w:eastAsia="Arial" w:hAnsi="Arial" w:cs="Arial"/>
                                <w:b/>
                                <w:bCs/>
                                <w:color w:val="FFFFFF"/>
                                <w:w w:val="70"/>
                                <w:sz w:val="24"/>
                                <w:szCs w:val="24"/>
                              </w:rPr>
                              <w:t>Muestras para el diagnóstico</w:t>
                            </w:r>
                          </w:p>
                        </w:tc>
                        <w:tc>
                          <w:tcPr>
                            <w:tcW w:w="1666" w:type="dxa"/>
                            <w:shd w:val="clear" w:color="auto" w:fill="231F20"/>
                          </w:tcPr>
                          <w:p w14:paraId="637B5C28"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8" w:lineRule="auto"/>
                              <w:ind w:firstLine="0"/>
                              <w:rPr>
                                <w:sz w:val="24"/>
                                <w:szCs w:val="24"/>
                              </w:rPr>
                            </w:pPr>
                            <w:r>
                              <w:rPr>
                                <w:rFonts w:ascii="Arial" w:eastAsia="Arial" w:hAnsi="Arial" w:cs="Arial"/>
                                <w:b/>
                                <w:bCs/>
                                <w:color w:val="FFFFFF"/>
                                <w:w w:val="70"/>
                                <w:sz w:val="24"/>
                                <w:szCs w:val="24"/>
                              </w:rPr>
                              <w:t>Precauciones en el aislamiento</w:t>
                            </w:r>
                          </w:p>
                        </w:tc>
                        <w:tc>
                          <w:tcPr>
                            <w:tcW w:w="1574" w:type="dxa"/>
                            <w:shd w:val="clear" w:color="auto" w:fill="231F20"/>
                          </w:tcPr>
                          <w:p w14:paraId="0E8B4D4A"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8" w:lineRule="auto"/>
                              <w:ind w:left="180" w:firstLine="0"/>
                              <w:rPr>
                                <w:sz w:val="24"/>
                                <w:szCs w:val="24"/>
                              </w:rPr>
                            </w:pPr>
                            <w:r>
                              <w:rPr>
                                <w:rFonts w:ascii="Arial" w:eastAsia="Arial" w:hAnsi="Arial" w:cs="Arial"/>
                                <w:b/>
                                <w:bCs/>
                                <w:color w:val="FFFFFF"/>
                                <w:w w:val="70"/>
                                <w:sz w:val="24"/>
                                <w:szCs w:val="24"/>
                              </w:rPr>
                              <w:t>Opciones terapéuticas</w:t>
                            </w:r>
                          </w:p>
                        </w:tc>
                        <w:tc>
                          <w:tcPr>
                            <w:tcW w:w="3634" w:type="dxa"/>
                            <w:shd w:val="clear" w:color="auto" w:fill="231F20"/>
                          </w:tcPr>
                          <w:p w14:paraId="1120D2CC"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8"/>
                                <w:szCs w:val="8"/>
                              </w:rPr>
                            </w:pPr>
                            <w:r>
                              <w:rPr>
                                <w:rFonts w:ascii="Arial" w:eastAsia="Arial" w:hAnsi="Arial" w:cs="Arial"/>
                                <w:b/>
                                <w:bCs/>
                                <w:color w:val="FFFFFF"/>
                                <w:w w:val="70"/>
                                <w:sz w:val="24"/>
                                <w:szCs w:val="24"/>
                              </w:rPr>
                              <w:t>Profilaxia después Comentarios de exposición</w:t>
                            </w:r>
                            <w:r>
                              <w:rPr>
                                <w:rFonts w:ascii="Times New Roman" w:eastAsia="Times New Roman" w:hAnsi="Times New Roman" w:cs="Times New Roman"/>
                                <w:color w:val="FFFFFF"/>
                                <w:sz w:val="8"/>
                                <w:szCs w:val="8"/>
                                <w:vertAlign w:val="superscript"/>
                              </w:rPr>
                              <w:t>1</w:t>
                            </w:r>
                          </w:p>
                        </w:tc>
                      </w:tr>
                      <w:tr w:rsidR="0072615D" w14:paraId="02382BA4" w14:textId="77777777">
                        <w:tblPrEx>
                          <w:tblCellMar>
                            <w:top w:w="0" w:type="dxa"/>
                            <w:bottom w:w="0" w:type="dxa"/>
                          </w:tblCellMar>
                        </w:tblPrEx>
                        <w:trPr>
                          <w:trHeight w:hRule="exact" w:val="1910"/>
                        </w:trPr>
                        <w:tc>
                          <w:tcPr>
                            <w:tcW w:w="1248" w:type="dxa"/>
                            <w:tcBorders>
                              <w:bottom w:val="single" w:sz="4" w:space="0" w:color="auto"/>
                            </w:tcBorders>
                            <w:shd w:val="clear" w:color="auto" w:fill="FFFFFF"/>
                          </w:tcPr>
                          <w:p w14:paraId="43161196" w14:textId="77777777" w:rsidR="0072615D" w:rsidRDefault="0072615D">
                            <w:pPr>
                              <w:pStyle w:val="Other0"/>
                              <w:spacing w:line="283" w:lineRule="auto"/>
                              <w:ind w:left="160" w:hanging="160"/>
                              <w:rPr>
                                <w:sz w:val="16"/>
                                <w:szCs w:val="16"/>
                              </w:rPr>
                            </w:pPr>
                            <w:r>
                              <w:rPr>
                                <w:rFonts w:ascii="Times New Roman" w:eastAsia="Times New Roman" w:hAnsi="Times New Roman" w:cs="Times New Roman"/>
                                <w:sz w:val="16"/>
                                <w:szCs w:val="16"/>
                              </w:rPr>
                              <w:t>Vírica, fiebre hemorrágica</w:t>
                            </w:r>
                          </w:p>
                        </w:tc>
                        <w:tc>
                          <w:tcPr>
                            <w:tcW w:w="1493" w:type="dxa"/>
                            <w:tcBorders>
                              <w:bottom w:val="single" w:sz="4" w:space="0" w:color="auto"/>
                            </w:tcBorders>
                            <w:shd w:val="clear" w:color="auto" w:fill="FFFFFF"/>
                          </w:tcPr>
                          <w:p w14:paraId="40AD762B"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6-17 días</w:t>
                            </w:r>
                          </w:p>
                        </w:tc>
                        <w:tc>
                          <w:tcPr>
                            <w:tcW w:w="1814" w:type="dxa"/>
                            <w:tcBorders>
                              <w:bottom w:val="single" w:sz="4" w:space="0" w:color="auto"/>
                            </w:tcBorders>
                            <w:shd w:val="clear" w:color="auto" w:fill="FFFFFF"/>
                          </w:tcPr>
                          <w:p w14:paraId="599B1ED2" w14:textId="77777777" w:rsidR="0072615D" w:rsidRDefault="0072615D">
                            <w:pPr>
                              <w:pStyle w:val="Other0"/>
                              <w:spacing w:line="286" w:lineRule="auto"/>
                              <w:ind w:left="240" w:hanging="100"/>
                              <w:rPr>
                                <w:sz w:val="16"/>
                                <w:szCs w:val="16"/>
                              </w:rPr>
                            </w:pPr>
                            <w:r>
                              <w:rPr>
                                <w:rFonts w:ascii="Times New Roman" w:eastAsia="Times New Roman" w:hAnsi="Times New Roman" w:cs="Times New Roman"/>
                                <w:sz w:val="16"/>
                                <w:szCs w:val="16"/>
                              </w:rPr>
                              <w:t>Cultivo o detección, o ambos, de antígeno de sangre y otros tejidos corporales</w:t>
                            </w:r>
                            <w:r>
                              <w:rPr>
                                <w:rFonts w:ascii="Times New Roman" w:eastAsia="Times New Roman" w:hAnsi="Times New Roman" w:cs="Times New Roman"/>
                                <w:sz w:val="16"/>
                                <w:szCs w:val="16"/>
                                <w:vertAlign w:val="superscript"/>
                              </w:rPr>
                              <w:t>7</w:t>
                            </w:r>
                            <w:r>
                              <w:rPr>
                                <w:rFonts w:ascii="Times New Roman" w:eastAsia="Times New Roman" w:hAnsi="Times New Roman" w:cs="Times New Roman"/>
                                <w:sz w:val="16"/>
                                <w:szCs w:val="16"/>
                              </w:rPr>
                              <w:t>; suero de fase aguda y convalescencia en busca de anticuerpos</w:t>
                            </w:r>
                          </w:p>
                        </w:tc>
                        <w:tc>
                          <w:tcPr>
                            <w:tcW w:w="1666" w:type="dxa"/>
                            <w:tcBorders>
                              <w:bottom w:val="single" w:sz="4" w:space="0" w:color="auto"/>
                            </w:tcBorders>
                            <w:shd w:val="clear" w:color="auto" w:fill="FFFFFF"/>
                          </w:tcPr>
                          <w:p w14:paraId="2EFA37E8" w14:textId="77777777" w:rsidR="0072615D" w:rsidRDefault="0072615D">
                            <w:pPr>
                              <w:pStyle w:val="Other0"/>
                              <w:spacing w:line="288" w:lineRule="auto"/>
                              <w:ind w:left="140" w:hanging="140"/>
                              <w:rPr>
                                <w:sz w:val="16"/>
                                <w:szCs w:val="16"/>
                              </w:rPr>
                            </w:pPr>
                            <w:r>
                              <w:rPr>
                                <w:rFonts w:ascii="Times New Roman" w:eastAsia="Times New Roman" w:hAnsi="Times New Roman" w:cs="Times New Roman"/>
                                <w:sz w:val="16"/>
                                <w:szCs w:val="16"/>
                              </w:rPr>
                              <w:t>Habituales, gotículas y precauciones de contacto</w:t>
                            </w:r>
                            <w:r>
                              <w:rPr>
                                <w:rFonts w:ascii="Times New Roman" w:eastAsia="Times New Roman" w:hAnsi="Times New Roman" w:cs="Times New Roman"/>
                                <w:sz w:val="16"/>
                                <w:szCs w:val="16"/>
                                <w:vertAlign w:val="superscript"/>
                              </w:rPr>
                              <w:t>8</w:t>
                            </w:r>
                          </w:p>
                        </w:tc>
                        <w:tc>
                          <w:tcPr>
                            <w:tcW w:w="1574" w:type="dxa"/>
                            <w:tcBorders>
                              <w:bottom w:val="single" w:sz="4" w:space="0" w:color="auto"/>
                            </w:tcBorders>
                            <w:shd w:val="clear" w:color="auto" w:fill="FFFFFF"/>
                            <w:vAlign w:val="center"/>
                          </w:tcPr>
                          <w:p w14:paraId="503F7C0C" w14:textId="77777777" w:rsidR="0072615D" w:rsidRDefault="0072615D">
                            <w:pPr>
                              <w:pStyle w:val="Other0"/>
                              <w:spacing w:line="286" w:lineRule="auto"/>
                              <w:ind w:left="260" w:hanging="80"/>
                              <w:rPr>
                                <w:sz w:val="16"/>
                                <w:szCs w:val="16"/>
                              </w:rPr>
                            </w:pPr>
                            <w:r>
                              <w:rPr>
                                <w:rFonts w:ascii="Times New Roman" w:eastAsia="Times New Roman" w:hAnsi="Times New Roman" w:cs="Times New Roman"/>
                                <w:sz w:val="16"/>
                                <w:szCs w:val="16"/>
                              </w:rPr>
                              <w:t>Ribavirina IV contra fiebre de Lassa; plasma de convalecientes en casos de la fiebre hemorrágica Argentina; medidas de sostén</w:t>
                            </w:r>
                          </w:p>
                        </w:tc>
                        <w:tc>
                          <w:tcPr>
                            <w:tcW w:w="3634" w:type="dxa"/>
                            <w:tcBorders>
                              <w:bottom w:val="single" w:sz="4" w:space="0" w:color="auto"/>
                            </w:tcBorders>
                            <w:shd w:val="clear" w:color="auto" w:fill="FFFFFF"/>
                          </w:tcPr>
                          <w:p w14:paraId="2E86BE1D" w14:textId="77777777" w:rsidR="0072615D" w:rsidRDefault="0072615D">
                            <w:pPr>
                              <w:rPr>
                                <w:sz w:val="10"/>
                                <w:szCs w:val="10"/>
                              </w:rPr>
                            </w:pPr>
                          </w:p>
                        </w:tc>
                      </w:tr>
                    </w:tbl>
                    <w:p w14:paraId="3FEEE288" w14:textId="77777777" w:rsidR="0072615D" w:rsidRDefault="0072615D">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79744" behindDoc="0" locked="0" layoutInCell="1" allowOverlap="1" wp14:anchorId="40DEE447" wp14:editId="41E860FE">
                <wp:simplePos x="0" y="0"/>
                <wp:positionH relativeFrom="page">
                  <wp:posOffset>7867015</wp:posOffset>
                </wp:positionH>
                <wp:positionV relativeFrom="paragraph">
                  <wp:posOffset>1618615</wp:posOffset>
                </wp:positionV>
                <wp:extent cx="121920" cy="2758440"/>
                <wp:effectExtent l="0" t="0" r="0" b="0"/>
                <wp:wrapSquare wrapText="bothSides"/>
                <wp:docPr id="283" name="Shape 283"/>
                <wp:cNvGraphicFramePr/>
                <a:graphic xmlns:a="http://schemas.openxmlformats.org/drawingml/2006/main">
                  <a:graphicData uri="http://schemas.microsoft.com/office/word/2010/wordprocessingShape">
                    <wps:wsp>
                      <wps:cNvSpPr txBox="1"/>
                      <wps:spPr>
                        <a:xfrm>
                          <a:off x="0" y="0"/>
                          <a:ext cx="121920" cy="2758440"/>
                        </a:xfrm>
                        <a:prstGeom prst="rect">
                          <a:avLst/>
                        </a:prstGeom>
                        <a:noFill/>
                      </wps:spPr>
                      <wps:txbx>
                        <w:txbxContent>
                          <w:p w14:paraId="13C42A03" w14:textId="77777777" w:rsidR="0072615D" w:rsidRDefault="0072615D">
                            <w:pPr>
                              <w:pStyle w:val="Bodytext80"/>
                              <w:tabs>
                                <w:tab w:val="left" w:pos="4042"/>
                              </w:tabs>
                              <w:rPr>
                                <w:sz w:val="16"/>
                                <w:szCs w:val="16"/>
                              </w:rPr>
                            </w:pPr>
                            <w:r>
                              <w:t>TERRORISMO BIOLÓGICO</w:t>
                            </w:r>
                            <w:r>
                              <w:tab/>
                            </w:r>
                            <w:r>
                              <w:rPr>
                                <w:sz w:val="16"/>
                                <w:szCs w:val="16"/>
                              </w:rPr>
                              <w:t>115</w:t>
                            </w:r>
                          </w:p>
                        </w:txbxContent>
                      </wps:txbx>
                      <wps:bodyPr vert="vert" lIns="0" tIns="0" rIns="0" bIns="0" upright="1"/>
                    </wps:wsp>
                  </a:graphicData>
                </a:graphic>
              </wp:anchor>
            </w:drawing>
          </mc:Choice>
          <mc:Fallback>
            <w:pict>
              <v:shape w14:anchorId="40DEE447" id="Shape 283" o:spid="_x0000_s1046" type="#_x0000_t202" style="position:absolute;margin-left:619.45pt;margin-top:127.45pt;width:9.6pt;height:217.2pt;z-index:2516797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" filled="f" stroked="f">
                <v:textbox style="layout-flow:vertical" inset="0,0,0,0">
                  <w:txbxContent>
                    <w:p w14:paraId="13C42A03" w14:textId="77777777" w:rsidR="0072615D" w:rsidRDefault="0072615D">
                      <w:pPr>
                        <w:pStyle w:val="Bodytext80"/>
                        <w:tabs>
                          <w:tab w:val="left" w:pos="4042"/>
                        </w:tabs>
                        <w:rPr>
                          <w:sz w:val="16"/>
                          <w:szCs w:val="16"/>
                        </w:rPr>
                      </w:pPr>
                      <w:r>
                        <w:t>TERRORISMO BIOLÓGICO</w:t>
                      </w:r>
                      <w:r>
                        <w:tab/>
                      </w:r>
                      <w:r>
                        <w:rPr>
                          <w:sz w:val="16"/>
                          <w:szCs w:val="16"/>
                        </w:rPr>
                        <w:t>115</w:t>
                      </w:r>
                    </w:p>
                  </w:txbxContent>
                </v:textbox>
                <w10:wrap type="square" anchorx="page"/>
              </v:shape>
            </w:pict>
          </mc:Fallback>
        </mc:AlternateContent>
      </w:r>
    </w:p>
    <w:p w14:paraId="72976208" w14:textId="77777777" w:rsidR="0072615D" w:rsidRDefault="0072615D">
      <w:pPr>
        <w:pStyle w:val="Heading31"/>
        <w:keepNext/>
        <w:keepLines/>
        <w:spacing w:after="80" w:line="211" w:lineRule="auto"/>
        <w:jc w:val="center"/>
        <w:rPr>
          <w:sz w:val="16"/>
          <w:szCs w:val="16"/>
        </w:rPr>
      </w:pPr>
      <w:bookmarkStart w:id="373" w:name="bookmark373"/>
      <w:bookmarkStart w:id="374" w:name="bookmark374"/>
      <w:bookmarkStart w:id="375" w:name="bookmark375"/>
      <w:r>
        <w:rPr>
          <w:b w:val="0"/>
          <w:bCs w:val="0"/>
        </w:rPr>
        <w:t xml:space="preserve">Cuadro 2 - 2. </w:t>
      </w:r>
      <w:r>
        <w:t>Armas biológicas: métodos diagnósticos recomendados, precauciones en el aislamiento y tratamiento</w:t>
      </w:r>
      <w:r>
        <w:br/>
        <w:t xml:space="preserve">y profilaxia de niños </w:t>
      </w:r>
      <w:r>
        <w:rPr>
          <w:rFonts w:ascii="Times New Roman" w:eastAsia="Times New Roman" w:hAnsi="Times New Roman" w:cs="Times New Roman"/>
          <w:b w:val="0"/>
          <w:bCs w:val="0"/>
          <w:i/>
          <w:iCs/>
          <w:w w:val="100"/>
          <w:sz w:val="16"/>
          <w:szCs w:val="16"/>
        </w:rPr>
        <w:t>continuación</w:t>
      </w:r>
      <w:bookmarkEnd w:id="373"/>
      <w:bookmarkEnd w:id="374"/>
      <w:bookmarkEnd w:id="375"/>
    </w:p>
    <w:p w14:paraId="3498CDDC" w14:textId="77777777" w:rsidR="0072615D" w:rsidRDefault="0072615D">
      <w:pPr>
        <w:pStyle w:val="Bodytext20"/>
        <w:spacing w:before="80" w:line="254" w:lineRule="auto"/>
        <w:ind w:firstLine="240"/>
        <w:jc w:val="both"/>
        <w:rPr>
          <w:sz w:val="15"/>
          <w:szCs w:val="15"/>
        </w:rPr>
      </w:pPr>
      <w:r>
        <w:rPr>
          <w:sz w:val="15"/>
          <w:szCs w:val="15"/>
        </w:rPr>
        <w:t xml:space="preserve">LCR, líquido cefalorraquídeo; CDC, </w:t>
      </w:r>
      <w:r>
        <w:rPr>
          <w:i/>
          <w:iCs/>
          <w:sz w:val="15"/>
          <w:szCs w:val="15"/>
        </w:rPr>
        <w:t>Centers for Disease Control and Prevention</w:t>
      </w:r>
      <w:r>
        <w:rPr>
          <w:sz w:val="15"/>
          <w:szCs w:val="15"/>
        </w:rPr>
        <w:t xml:space="preserve"> EIA, inmunoanálisis enzimàtico </w:t>
      </w:r>
      <w:r>
        <w:rPr>
          <w:i/>
          <w:iCs/>
          <w:sz w:val="15"/>
          <w:szCs w:val="15"/>
        </w:rPr>
        <w:t>(enzyme immunoassay)</w:t>
      </w:r>
      <w:r>
        <w:rPr>
          <w:sz w:val="15"/>
          <w:szCs w:val="15"/>
        </w:rPr>
        <w:t xml:space="preserve"> IV, intravenosa.</w:t>
      </w:r>
    </w:p>
    <w:p w14:paraId="651E3BA0" w14:textId="77777777" w:rsidR="0072615D" w:rsidRDefault="0072615D">
      <w:pPr>
        <w:pStyle w:val="Bodytext20"/>
        <w:numPr>
          <w:ilvl w:val="0"/>
          <w:numId w:val="39"/>
        </w:numPr>
        <w:tabs>
          <w:tab w:val="left" w:pos="219"/>
        </w:tabs>
        <w:spacing w:line="254" w:lineRule="auto"/>
        <w:ind w:left="240" w:hanging="240"/>
        <w:rPr>
          <w:sz w:val="15"/>
          <w:szCs w:val="15"/>
        </w:rPr>
      </w:pPr>
      <w:bookmarkStart w:id="376" w:name="bookmark376"/>
      <w:bookmarkEnd w:id="376"/>
      <w:r>
        <w:rPr>
          <w:sz w:val="15"/>
          <w:szCs w:val="15"/>
        </w:rPr>
        <w:t>Hay que emprender la profilaxia sólo después de consultar con funcionarios de salud pública y sólo en situaciones en que hay gran probabilidad de exposición. No se ha precisado la duración de la profilaxia en el caso de casi todos los agentes.</w:t>
      </w:r>
    </w:p>
    <w:p w14:paraId="53E246A2" w14:textId="77777777" w:rsidR="0072615D" w:rsidRDefault="0072615D">
      <w:pPr>
        <w:pStyle w:val="Bodytext20"/>
        <w:numPr>
          <w:ilvl w:val="0"/>
          <w:numId w:val="39"/>
        </w:numPr>
        <w:tabs>
          <w:tab w:val="left" w:pos="233"/>
        </w:tabs>
        <w:spacing w:line="254" w:lineRule="auto"/>
        <w:ind w:left="240" w:hanging="240"/>
        <w:rPr>
          <w:sz w:val="15"/>
          <w:szCs w:val="15"/>
        </w:rPr>
      </w:pPr>
      <w:bookmarkStart w:id="377" w:name="bookmark377"/>
      <w:bookmarkEnd w:id="377"/>
      <w:r>
        <w:rPr>
          <w:sz w:val="15"/>
          <w:szCs w:val="15"/>
        </w:rPr>
        <w:t xml:space="preserve">Si se desconoce la susceptibilidad o denota resistencia a otros agentes. La </w:t>
      </w:r>
      <w:r>
        <w:rPr>
          <w:i/>
          <w:iCs/>
          <w:sz w:val="15"/>
          <w:szCs w:val="15"/>
        </w:rPr>
        <w:t>Food and Drug Administration</w:t>
      </w:r>
      <w:r>
        <w:rPr>
          <w:sz w:val="15"/>
          <w:szCs w:val="15"/>
        </w:rPr>
        <w:t xml:space="preserve"> (FDA) no ha aprobado el uso de ciprofloxacina en personas menores de 18 años de vida, pero puede estar indicada en infecciones potencialmente graves o letales.</w:t>
      </w:r>
    </w:p>
    <w:p w14:paraId="2ABCA911" w14:textId="77777777" w:rsidR="0072615D" w:rsidRDefault="0072615D">
      <w:pPr>
        <w:pStyle w:val="Bodytext20"/>
        <w:numPr>
          <w:ilvl w:val="0"/>
          <w:numId w:val="39"/>
        </w:numPr>
        <w:tabs>
          <w:tab w:val="left" w:pos="233"/>
        </w:tabs>
        <w:spacing w:line="254" w:lineRule="auto"/>
        <w:ind w:left="240" w:hanging="240"/>
        <w:rPr>
          <w:sz w:val="15"/>
          <w:szCs w:val="15"/>
        </w:rPr>
      </w:pPr>
      <w:bookmarkStart w:id="378" w:name="bookmark378"/>
      <w:bookmarkEnd w:id="378"/>
      <w:r>
        <w:rPr>
          <w:sz w:val="15"/>
          <w:szCs w:val="15"/>
        </w:rPr>
        <w:t>En Estados Unidos la FDA no ha aprobado las tetraciclinas, incluida la doxiciclina, y por lo común están contraindicadas en niños menores de ocho años, pero su uso está justificado en algunas infecciones graves y escogidas.</w:t>
      </w:r>
    </w:p>
    <w:p w14:paraId="22AEC074" w14:textId="77777777" w:rsidR="0072615D" w:rsidRDefault="0072615D">
      <w:pPr>
        <w:pStyle w:val="Bodytext20"/>
        <w:numPr>
          <w:ilvl w:val="0"/>
          <w:numId w:val="39"/>
        </w:numPr>
        <w:tabs>
          <w:tab w:val="left" w:pos="233"/>
        </w:tabs>
        <w:spacing w:line="254" w:lineRule="auto"/>
        <w:jc w:val="both"/>
        <w:rPr>
          <w:sz w:val="15"/>
          <w:szCs w:val="15"/>
        </w:rPr>
      </w:pPr>
      <w:bookmarkStart w:id="379" w:name="bookmark379"/>
      <w:bookmarkEnd w:id="379"/>
      <w:r>
        <w:rPr>
          <w:sz w:val="15"/>
          <w:szCs w:val="15"/>
        </w:rPr>
        <w:t>En el comienzo habrá que emprender el tratamiento por vía parenteral, pero se puede cambiar a la vía bucal en el caso de infecciones de la piel no diseminadas.</w:t>
      </w:r>
    </w:p>
    <w:p w14:paraId="2519DC5D" w14:textId="77777777" w:rsidR="0072615D" w:rsidRDefault="0072615D">
      <w:pPr>
        <w:pStyle w:val="Bodytext20"/>
        <w:numPr>
          <w:ilvl w:val="0"/>
          <w:numId w:val="39"/>
        </w:numPr>
        <w:tabs>
          <w:tab w:val="left" w:pos="233"/>
        </w:tabs>
        <w:spacing w:line="254" w:lineRule="auto"/>
        <w:jc w:val="both"/>
        <w:rPr>
          <w:sz w:val="15"/>
          <w:szCs w:val="15"/>
        </w:rPr>
      </w:pPr>
      <w:bookmarkStart w:id="380" w:name="bookmark380"/>
      <w:bookmarkEnd w:id="380"/>
      <w:r>
        <w:rPr>
          <w:sz w:val="15"/>
          <w:szCs w:val="15"/>
        </w:rPr>
        <w:t>La amoxicilina puede utilizarse en la profilaxia sólo si se sabe que el organismo es susceptible a ella.</w:t>
      </w:r>
    </w:p>
    <w:p w14:paraId="6C27946E" w14:textId="77777777" w:rsidR="0072615D" w:rsidRDefault="0072615D">
      <w:pPr>
        <w:pStyle w:val="Bodytext20"/>
        <w:numPr>
          <w:ilvl w:val="0"/>
          <w:numId w:val="39"/>
        </w:numPr>
        <w:tabs>
          <w:tab w:val="left" w:pos="233"/>
        </w:tabs>
        <w:spacing w:line="254" w:lineRule="auto"/>
        <w:jc w:val="both"/>
        <w:rPr>
          <w:sz w:val="15"/>
          <w:szCs w:val="15"/>
        </w:rPr>
      </w:pPr>
      <w:bookmarkStart w:id="381" w:name="bookmark381"/>
      <w:bookmarkEnd w:id="381"/>
      <w:r>
        <w:rPr>
          <w:sz w:val="15"/>
          <w:szCs w:val="15"/>
        </w:rPr>
        <w:t>Es posible obtener la antitoxina botulínica del CDC Drug Service, 404-639-3670 (turno diario, 8:00-16:30 horas) o 404-639-2888 (fines de semana, noches o días festivos).</w:t>
      </w:r>
    </w:p>
    <w:p w14:paraId="45762617" w14:textId="77777777" w:rsidR="0072615D" w:rsidRDefault="0072615D">
      <w:pPr>
        <w:pStyle w:val="Bodytext20"/>
        <w:numPr>
          <w:ilvl w:val="0"/>
          <w:numId w:val="39"/>
        </w:numPr>
        <w:tabs>
          <w:tab w:val="left" w:pos="238"/>
        </w:tabs>
        <w:spacing w:line="254" w:lineRule="auto"/>
        <w:jc w:val="both"/>
        <w:rPr>
          <w:sz w:val="15"/>
          <w:szCs w:val="15"/>
        </w:rPr>
      </w:pPr>
      <w:bookmarkStart w:id="382" w:name="bookmark382"/>
      <w:bookmarkEnd w:id="382"/>
      <w:r>
        <w:rPr>
          <w:sz w:val="15"/>
          <w:szCs w:val="15"/>
        </w:rPr>
        <w:t>Se intentarán medidas de aislamiento sólo en caso de trastornos de nivel 4 de bioseguridad.</w:t>
      </w:r>
    </w:p>
    <w:p w14:paraId="60A00A02" w14:textId="77777777" w:rsidR="0072615D" w:rsidRDefault="0072615D">
      <w:pPr>
        <w:pStyle w:val="Bodytext20"/>
        <w:numPr>
          <w:ilvl w:val="0"/>
          <w:numId w:val="39"/>
        </w:numPr>
        <w:tabs>
          <w:tab w:val="left" w:pos="238"/>
        </w:tabs>
        <w:spacing w:after="80" w:line="254" w:lineRule="auto"/>
        <w:ind w:left="240" w:hanging="240"/>
        <w:rPr>
          <w:sz w:val="15"/>
          <w:szCs w:val="15"/>
        </w:rPr>
        <w:sectPr w:rsidR="0072615D" w:rsidSect="0072615D">
          <w:headerReference w:type="even" r:id="rId281"/>
          <w:headerReference w:type="default" r:id="rId282"/>
          <w:footerReference w:type="even" r:id="rId283"/>
          <w:footerReference w:type="default" r:id="rId284"/>
          <w:footnotePr>
            <w:numFmt w:val="chicago"/>
          </w:footnotePr>
          <w:pgSz w:w="13022" w:h="8501" w:orient="landscape"/>
          <w:pgMar w:top="1104" w:right="960" w:bottom="304" w:left="634" w:header="676" w:footer="3" w:gutter="0"/>
          <w:cols w:space="720"/>
          <w:noEndnote/>
          <w:docGrid w:linePitch="360"/>
          <w15:footnoteColumns w:val="1"/>
        </w:sectPr>
      </w:pPr>
      <w:bookmarkStart w:id="383" w:name="bookmark383"/>
      <w:bookmarkEnd w:id="383"/>
      <w:r>
        <w:rPr>
          <w:sz w:val="15"/>
          <w:szCs w:val="15"/>
        </w:rPr>
        <w:t>Ante el riesgo de transmisión nosocomial, es necesario comunicarse con el departamento estatal de salud y los CDC en busca de orientación específica en cuanto al tratamiento y el diagnóstico de casos sospechosos.</w:t>
      </w:r>
    </w:p>
    <w:p w14:paraId="76ACDDC4" w14:textId="77777777" w:rsidR="0072615D" w:rsidRDefault="0072615D">
      <w:pPr>
        <w:pStyle w:val="Heading31"/>
        <w:keepNext/>
        <w:keepLines/>
        <w:pBdr>
          <w:bottom w:val="single" w:sz="4" w:space="0" w:color="auto"/>
        </w:pBdr>
        <w:spacing w:after="400"/>
        <w:jc w:val="center"/>
      </w:pPr>
      <w:bookmarkStart w:id="384" w:name="bookmark384"/>
      <w:bookmarkStart w:id="385" w:name="bookmark385"/>
      <w:bookmarkStart w:id="386" w:name="bookmark386"/>
      <w:r>
        <w:rPr>
          <w:b w:val="0"/>
          <w:bCs w:val="0"/>
        </w:rPr>
        <w:t xml:space="preserve">Cuadro 2 - 3. </w:t>
      </w:r>
      <w:r>
        <w:t>Contactos de emergencia y recursos educativos</w:t>
      </w:r>
      <w:bookmarkEnd w:id="384"/>
      <w:bookmarkEnd w:id="385"/>
      <w:bookmarkEnd w:id="386"/>
    </w:p>
    <w:p w14:paraId="60C4AFBF" w14:textId="77777777" w:rsidR="0072615D" w:rsidRDefault="0072615D">
      <w:pPr>
        <w:pStyle w:val="Bodytext20"/>
      </w:pPr>
      <w:r>
        <w:rPr>
          <w:b/>
          <w:bCs/>
        </w:rPr>
        <w:t>Información del departamento de salud</w:t>
      </w:r>
    </w:p>
    <w:p w14:paraId="749722DA" w14:textId="77777777" w:rsidR="0072615D" w:rsidRDefault="0072615D">
      <w:pPr>
        <w:pStyle w:val="Bodytext20"/>
        <w:numPr>
          <w:ilvl w:val="0"/>
          <w:numId w:val="35"/>
        </w:numPr>
        <w:tabs>
          <w:tab w:val="left" w:pos="229"/>
        </w:tabs>
      </w:pPr>
      <w:bookmarkStart w:id="387" w:name="bookmark387"/>
      <w:bookmarkEnd w:id="387"/>
      <w:r>
        <w:t xml:space="preserve">Páginas Web del Departamento de Salud Estatal </w:t>
      </w:r>
      <w:hyperlink r:id="rId285" w:history="1">
        <w:r>
          <w:rPr>
            <w:b/>
            <w:bCs/>
          </w:rPr>
          <w:t>www.cdc.gov/other.htm#states</w:t>
        </w:r>
      </w:hyperlink>
    </w:p>
    <w:p w14:paraId="6520F7AF" w14:textId="77777777" w:rsidR="0072615D" w:rsidRDefault="0072615D">
      <w:pPr>
        <w:pStyle w:val="Bodytext20"/>
        <w:numPr>
          <w:ilvl w:val="0"/>
          <w:numId w:val="35"/>
        </w:numPr>
        <w:tabs>
          <w:tab w:val="left" w:pos="229"/>
        </w:tabs>
        <w:ind w:left="300" w:hanging="300"/>
      </w:pPr>
      <w:bookmarkStart w:id="388" w:name="bookmark388"/>
      <w:bookmarkEnd w:id="388"/>
      <w:r>
        <w:t xml:space="preserve">Números telefónicos de departamentos de salud estatal, </w:t>
      </w:r>
      <w:hyperlink r:id="rId286" w:history="1">
        <w:r>
          <w:rPr>
            <w:b/>
            <w:bCs/>
          </w:rPr>
          <w:t>www.asmusa.org/pasrc/StateLabContacts.pdf</w:t>
        </w:r>
      </w:hyperlink>
    </w:p>
    <w:p w14:paraId="3CCAE365" w14:textId="77777777" w:rsidR="0072615D" w:rsidRDefault="0072615D">
      <w:pPr>
        <w:pStyle w:val="Bodytext20"/>
      </w:pPr>
      <w:r>
        <w:rPr>
          <w:b/>
          <w:bCs/>
        </w:rPr>
        <w:t>Contactos de emergencia</w:t>
      </w:r>
    </w:p>
    <w:p w14:paraId="4E8265F8" w14:textId="77777777" w:rsidR="0072615D" w:rsidRDefault="0072615D">
      <w:pPr>
        <w:pStyle w:val="Bodytext20"/>
        <w:numPr>
          <w:ilvl w:val="0"/>
          <w:numId w:val="35"/>
        </w:numPr>
        <w:tabs>
          <w:tab w:val="left" w:pos="229"/>
        </w:tabs>
      </w:pPr>
      <w:bookmarkStart w:id="389" w:name="bookmark389"/>
      <w:bookmarkEnd w:id="389"/>
      <w:r>
        <w:t xml:space="preserve">CDC, líneas de notificación permanente (24 h), </w:t>
      </w:r>
      <w:r>
        <w:rPr>
          <w:b/>
          <w:bCs/>
        </w:rPr>
        <w:t>770-488-7100</w:t>
      </w:r>
    </w:p>
    <w:p w14:paraId="7B8EB17C" w14:textId="77777777" w:rsidR="0072615D" w:rsidRDefault="0072615D">
      <w:pPr>
        <w:pStyle w:val="Bodytext20"/>
        <w:numPr>
          <w:ilvl w:val="0"/>
          <w:numId w:val="35"/>
        </w:numPr>
        <w:tabs>
          <w:tab w:val="left" w:pos="229"/>
        </w:tabs>
      </w:pPr>
      <w:bookmarkStart w:id="390" w:name="bookmark390"/>
      <w:bookmarkEnd w:id="390"/>
      <w:r>
        <w:t xml:space="preserve">Línea de respuesta de emergencia de USAMRIID, </w:t>
      </w:r>
      <w:r>
        <w:rPr>
          <w:b/>
          <w:bCs/>
        </w:rPr>
        <w:t>888-872-7443</w:t>
      </w:r>
    </w:p>
    <w:p w14:paraId="2C3BCC72" w14:textId="77777777" w:rsidR="0072615D" w:rsidRDefault="0072615D">
      <w:pPr>
        <w:pStyle w:val="Bodytext20"/>
        <w:numPr>
          <w:ilvl w:val="0"/>
          <w:numId w:val="35"/>
        </w:numPr>
        <w:tabs>
          <w:tab w:val="left" w:pos="229"/>
        </w:tabs>
      </w:pPr>
      <w:bookmarkStart w:id="391" w:name="bookmark391"/>
      <w:bookmarkEnd w:id="391"/>
      <w:r>
        <w:t xml:space="preserve">Centro de respuesta nacional, </w:t>
      </w:r>
      <w:r>
        <w:rPr>
          <w:b/>
          <w:bCs/>
        </w:rPr>
        <w:t xml:space="preserve">800-424-8802 </w:t>
      </w:r>
      <w:r>
        <w:t xml:space="preserve">o </w:t>
      </w:r>
      <w:r>
        <w:rPr>
          <w:b/>
          <w:bCs/>
        </w:rPr>
        <w:t>202-267-2675</w:t>
      </w:r>
    </w:p>
    <w:p w14:paraId="0D1F088F" w14:textId="77777777" w:rsidR="0072615D" w:rsidRDefault="0072615D">
      <w:pPr>
        <w:pStyle w:val="Bodytext20"/>
        <w:numPr>
          <w:ilvl w:val="0"/>
          <w:numId w:val="35"/>
        </w:numPr>
        <w:tabs>
          <w:tab w:val="left" w:pos="229"/>
        </w:tabs>
      </w:pPr>
      <w:bookmarkStart w:id="392" w:name="bookmark392"/>
      <w:bookmarkEnd w:id="392"/>
      <w:r>
        <w:t xml:space="preserve">Línea de auxilio para preparativos en el hogar, </w:t>
      </w:r>
      <w:r>
        <w:rPr>
          <w:b/>
          <w:bCs/>
        </w:rPr>
        <w:t>800-368-6498</w:t>
      </w:r>
    </w:p>
    <w:p w14:paraId="7A9812F0" w14:textId="77777777" w:rsidR="0072615D" w:rsidRDefault="0072615D">
      <w:pPr>
        <w:pStyle w:val="Bodytext20"/>
        <w:numPr>
          <w:ilvl w:val="0"/>
          <w:numId w:val="35"/>
        </w:numPr>
        <w:tabs>
          <w:tab w:val="left" w:pos="229"/>
        </w:tabs>
        <w:ind w:left="300" w:hanging="300"/>
      </w:pPr>
      <w:bookmarkStart w:id="393" w:name="bookmark393"/>
      <w:bookmarkEnd w:id="393"/>
      <w:r>
        <w:t xml:space="preserve">Oficina de preparativos de emergencia al servicio de la salud pública de Estados Unidos, </w:t>
      </w:r>
      <w:r>
        <w:rPr>
          <w:b/>
          <w:bCs/>
        </w:rPr>
        <w:t xml:space="preserve">800-USA-NDMS </w:t>
      </w:r>
      <w:r>
        <w:t xml:space="preserve">o </w:t>
      </w:r>
      <w:hyperlink r:id="rId287" w:history="1">
        <w:r>
          <w:rPr>
            <w:b/>
            <w:bCs/>
          </w:rPr>
          <w:t>www.ndms.dhhs.gov</w:t>
        </w:r>
      </w:hyperlink>
    </w:p>
    <w:p w14:paraId="371B7BD9" w14:textId="77777777" w:rsidR="0072615D" w:rsidRDefault="0072615D">
      <w:pPr>
        <w:pStyle w:val="Bodytext20"/>
      </w:pPr>
      <w:r>
        <w:rPr>
          <w:b/>
          <w:bCs/>
        </w:rPr>
        <w:t>Recursos selectos para información por la red</w:t>
      </w:r>
    </w:p>
    <w:p w14:paraId="346AF4A5" w14:textId="77777777" w:rsidR="0072615D" w:rsidRDefault="0072615D">
      <w:pPr>
        <w:pStyle w:val="Bodytext20"/>
        <w:numPr>
          <w:ilvl w:val="0"/>
          <w:numId w:val="35"/>
        </w:numPr>
        <w:tabs>
          <w:tab w:val="left" w:pos="229"/>
        </w:tabs>
        <w:ind w:left="300" w:hanging="300"/>
      </w:pPr>
      <w:bookmarkStart w:id="394" w:name="bookmark394"/>
      <w:bookmarkEnd w:id="394"/>
      <w:r>
        <w:t xml:space="preserve">Información de la American Academy of Pediatrics sobre bioterrorismo, </w:t>
      </w:r>
      <w:hyperlink r:id="rId288" w:history="1">
        <w:r>
          <w:rPr>
            <w:b/>
            <w:bCs/>
          </w:rPr>
          <w:t>www.aap.org/terrorism</w:t>
        </w:r>
      </w:hyperlink>
    </w:p>
    <w:p w14:paraId="06383C5B" w14:textId="77777777" w:rsidR="0072615D" w:rsidRDefault="0072615D">
      <w:pPr>
        <w:pStyle w:val="Bodytext20"/>
        <w:numPr>
          <w:ilvl w:val="0"/>
          <w:numId w:val="35"/>
        </w:numPr>
        <w:tabs>
          <w:tab w:val="left" w:pos="229"/>
        </w:tabs>
      </w:pPr>
      <w:bookmarkStart w:id="395" w:name="bookmark395"/>
      <w:bookmarkEnd w:id="395"/>
      <w:r>
        <w:t xml:space="preserve">Página Web de información sobre bioterrorismo de los CDC, </w:t>
      </w:r>
      <w:hyperlink r:id="rId289" w:history="1">
        <w:r>
          <w:rPr>
            <w:b/>
            <w:bCs/>
          </w:rPr>
          <w:t>www.bt.cdc.gov/</w:t>
        </w:r>
      </w:hyperlink>
    </w:p>
    <w:p w14:paraId="36701D71" w14:textId="77777777" w:rsidR="0072615D" w:rsidRDefault="0072615D">
      <w:pPr>
        <w:pStyle w:val="Bodytext20"/>
        <w:numPr>
          <w:ilvl w:val="0"/>
          <w:numId w:val="35"/>
        </w:numPr>
        <w:tabs>
          <w:tab w:val="left" w:pos="229"/>
        </w:tabs>
        <w:ind w:left="300" w:hanging="300"/>
      </w:pPr>
      <w:bookmarkStart w:id="396" w:name="bookmark396"/>
      <w:bookmarkEnd w:id="396"/>
      <w:r>
        <w:t xml:space="preserve">Página Web de la Infectious Diseases Society de Estados Unidos, </w:t>
      </w:r>
      <w:hyperlink r:id="rId290" w:history="1">
        <w:r>
          <w:rPr>
            <w:b/>
            <w:bCs/>
          </w:rPr>
          <w:t>www.idsociety.org/BT/ToC.htm</w:t>
        </w:r>
      </w:hyperlink>
    </w:p>
    <w:p w14:paraId="06263C3D" w14:textId="77777777" w:rsidR="0072615D" w:rsidRDefault="0072615D">
      <w:pPr>
        <w:pStyle w:val="Bodytext20"/>
        <w:numPr>
          <w:ilvl w:val="0"/>
          <w:numId w:val="35"/>
        </w:numPr>
        <w:tabs>
          <w:tab w:val="left" w:pos="229"/>
        </w:tabs>
        <w:ind w:left="300" w:hanging="300"/>
      </w:pPr>
      <w:bookmarkStart w:id="397" w:name="bookmark397"/>
      <w:bookmarkEnd w:id="397"/>
      <w:r>
        <w:t xml:space="preserve">Página Web de la American Society for Microbiology, </w:t>
      </w:r>
      <w:hyperlink r:id="rId291" w:history="1">
        <w:r>
          <w:rPr>
            <w:b/>
            <w:bCs/>
          </w:rPr>
          <w:t>www.asmusa.org/pcsrc/biodetection.htm</w:t>
        </w:r>
      </w:hyperlink>
    </w:p>
    <w:p w14:paraId="03E1AEE1" w14:textId="77777777" w:rsidR="0072615D" w:rsidRDefault="0072615D">
      <w:pPr>
        <w:pStyle w:val="Bodytext20"/>
        <w:numPr>
          <w:ilvl w:val="0"/>
          <w:numId w:val="35"/>
        </w:numPr>
        <w:tabs>
          <w:tab w:val="left" w:pos="229"/>
        </w:tabs>
      </w:pPr>
      <w:bookmarkStart w:id="398" w:name="bookmark398"/>
      <w:bookmarkEnd w:id="398"/>
      <w:r>
        <w:t xml:space="preserve">Centro Johns Hopkins para Estudios de Biodefensa Civiles, </w:t>
      </w:r>
      <w:hyperlink r:id="rId292" w:history="1">
        <w:r>
          <w:rPr>
            <w:b/>
            <w:bCs/>
          </w:rPr>
          <w:t>www.hopkins-biodefense.org/</w:t>
        </w:r>
      </w:hyperlink>
    </w:p>
    <w:p w14:paraId="03FEA27E" w14:textId="77777777" w:rsidR="0072615D" w:rsidRDefault="0072615D">
      <w:pPr>
        <w:pStyle w:val="Bodytext20"/>
        <w:numPr>
          <w:ilvl w:val="0"/>
          <w:numId w:val="35"/>
        </w:numPr>
        <w:tabs>
          <w:tab w:val="left" w:pos="229"/>
        </w:tabs>
      </w:pPr>
      <w:bookmarkStart w:id="399" w:name="bookmark399"/>
      <w:bookmarkEnd w:id="399"/>
      <w:r>
        <w:t>Medical Research Institute of Infectious Disease del Ejército de Estados Unidos</w:t>
      </w:r>
    </w:p>
    <w:p w14:paraId="5AAC6A74" w14:textId="77777777" w:rsidR="0072615D" w:rsidRDefault="0072615D">
      <w:pPr>
        <w:pStyle w:val="Bodytext20"/>
        <w:pBdr>
          <w:bottom w:val="single" w:sz="4" w:space="0" w:color="auto"/>
        </w:pBdr>
        <w:spacing w:after="340"/>
        <w:ind w:firstLine="300"/>
      </w:pPr>
      <w:r>
        <w:t xml:space="preserve">(USAMRIID), </w:t>
      </w:r>
      <w:hyperlink r:id="rId293" w:history="1">
        <w:r>
          <w:rPr>
            <w:b/>
            <w:bCs/>
          </w:rPr>
          <w:t>www.usamriid.army.mil/</w:t>
        </w:r>
      </w:hyperlink>
    </w:p>
    <w:p w14:paraId="237CC433" w14:textId="77777777" w:rsidR="0072615D" w:rsidRDefault="0072615D">
      <w:pPr>
        <w:pStyle w:val="BodyText"/>
        <w:ind w:firstLine="320"/>
      </w:pPr>
      <w:r>
        <w:t>Los niños pueden ser particularmente vulnerables a un ataque bioterrorista porque su frecuencia respiratoria y su permeabilidad cutánea son mayores, poseen una proporción mayor entre área superficial cutánea y masa, así como una menor reserva de líquidos en comparación con los adultos. En tal grupo puede ser más difícil el diagnóstico exacto y rápido porque no pueden describir síntomas; además, es posible que se enfermen u obliguen a ser sometidos a cuarentena durante un ataque bioterrorista a los adultos que están a cargo de la salud y seguridad de los niños. Muchos de los agentes preventivos y terapéuticos recomendados para adultos expuestos o que pueden quedar expuestos a microorganismos usados en bioterrorismo no han sido estudiados en lactantes y niños, y tampoco se han definido las dosis para estos últimos.</w:t>
      </w:r>
      <w:r>
        <w:footnoteReference w:id="34"/>
      </w:r>
    </w:p>
    <w:p w14:paraId="047FAD20" w14:textId="77777777" w:rsidR="0072615D" w:rsidRDefault="0072615D">
      <w:pPr>
        <w:pStyle w:val="BodyText"/>
        <w:spacing w:after="380"/>
        <w:ind w:firstLine="320"/>
      </w:pPr>
      <w:r>
        <w:t>Algunas de las manifestaciones tempranas y frecuentes de muchas enfermedades infecciosas son fiebre, malestar general, cefalea, vómitos y diarrea. En el cuadro 2-1 se describen algunos de los primeros síntomas que podrían ayudar a diferenciar a algunos de los agentes biológicos de las listas de categorías A y B de los CDC. En resúmenes específicos de la sección 3 se incluyen comentarios más amplios de las enfermedades clínicas que originan tales agentes. En el cuadro 2-2 se señalan periodos de incubación, métodos diagnósticos, aislamiento y el tratamiento y profilaxia recomendados para algunos agentes particulares de las categorías A y B. En el cuadro 2-3 se incluyen recursos, números telefónicos y páginas de Internet que permiten obtener información actualizada para la identificación clínica, la prevención, el diagnóstico y el tratamiento de enfermedades causadas por agentes potenciales de bioterrorismo.</w:t>
      </w:r>
    </w:p>
    <w:p w14:paraId="31215AE0" w14:textId="77777777" w:rsidR="0072615D" w:rsidRDefault="0072615D">
      <w:pPr>
        <w:pStyle w:val="Bodytext100"/>
        <w:spacing w:after="100"/>
        <w:jc w:val="left"/>
      </w:pPr>
      <w:r>
        <w:rPr>
          <w:sz w:val="34"/>
          <w:szCs w:val="34"/>
        </w:rPr>
        <w:t>A</w:t>
      </w:r>
      <w:r>
        <w:t>spectos de seguridad en el uso de sangre</w:t>
      </w:r>
    </w:p>
    <w:p w14:paraId="67A80A54" w14:textId="77777777" w:rsidR="0072615D" w:rsidRDefault="0072615D">
      <w:pPr>
        <w:pStyle w:val="Other0"/>
        <w:spacing w:after="180" w:line="240" w:lineRule="auto"/>
        <w:ind w:firstLine="0"/>
        <w:jc w:val="center"/>
        <w:rPr>
          <w:sz w:val="26"/>
          <w:szCs w:val="26"/>
        </w:rPr>
      </w:pPr>
      <w:r>
        <w:rPr>
          <w:rFonts w:ascii="Times New Roman" w:eastAsia="Times New Roman" w:hAnsi="Times New Roman" w:cs="Times New Roman"/>
          <w:sz w:val="26"/>
          <w:szCs w:val="26"/>
        </w:rPr>
        <w:t>Y HEMODERIVADOS</w:t>
      </w:r>
      <w:r>
        <w:rPr>
          <w:rFonts w:ascii="Times New Roman" w:eastAsia="Times New Roman" w:hAnsi="Times New Roman" w:cs="Times New Roman"/>
          <w:sz w:val="32"/>
          <w:szCs w:val="32"/>
        </w:rPr>
        <w:t xml:space="preserve">: </w:t>
      </w:r>
      <w:r>
        <w:rPr>
          <w:rFonts w:ascii="Times New Roman" w:eastAsia="Times New Roman" w:hAnsi="Times New Roman" w:cs="Times New Roman"/>
          <w:sz w:val="26"/>
          <w:szCs w:val="26"/>
        </w:rPr>
        <w:t>DISMINUCIÓN DEL RIESGO</w:t>
      </w:r>
    </w:p>
    <w:p w14:paraId="34A1393E" w14:textId="77777777" w:rsidR="0072615D" w:rsidRDefault="0072615D">
      <w:pPr>
        <w:pStyle w:val="Other0"/>
        <w:spacing w:after="180" w:line="240" w:lineRule="auto"/>
        <w:ind w:firstLine="0"/>
        <w:jc w:val="center"/>
        <w:rPr>
          <w:sz w:val="26"/>
          <w:szCs w:val="26"/>
        </w:rPr>
      </w:pPr>
      <w:r>
        <w:rPr>
          <w:rFonts w:ascii="Times New Roman" w:eastAsia="Times New Roman" w:hAnsi="Times New Roman" w:cs="Times New Roman"/>
          <w:sz w:val="26"/>
          <w:szCs w:val="26"/>
        </w:rPr>
        <w:t>DE INFECCIONES TRANSMITIDAS</w:t>
      </w:r>
    </w:p>
    <w:p w14:paraId="281DDB9D" w14:textId="77777777" w:rsidR="0072615D" w:rsidRDefault="0072615D">
      <w:pPr>
        <w:pStyle w:val="Other0"/>
        <w:spacing w:after="240" w:line="240" w:lineRule="auto"/>
        <w:ind w:firstLine="0"/>
        <w:jc w:val="center"/>
        <w:rPr>
          <w:sz w:val="26"/>
          <w:szCs w:val="26"/>
        </w:rPr>
      </w:pPr>
      <w:r>
        <w:rPr>
          <w:rFonts w:ascii="Times New Roman" w:eastAsia="Times New Roman" w:hAnsi="Times New Roman" w:cs="Times New Roman"/>
          <w:sz w:val="26"/>
          <w:szCs w:val="26"/>
        </w:rPr>
        <w:t>EN TRANSFUSIONES</w:t>
      </w:r>
    </w:p>
    <w:p w14:paraId="1C7ED294" w14:textId="77777777" w:rsidR="0072615D" w:rsidRDefault="0072615D">
      <w:pPr>
        <w:pStyle w:val="BodyText"/>
        <w:spacing w:after="100"/>
        <w:ind w:firstLine="0"/>
      </w:pPr>
      <w:r>
        <w:t>En Estados Unidos es muy pequeño el peligro de transmisión de agentes infecciosos por medios de transfusión de componentes hemáticos (eritrocitos, plaquetas y plasma) y derivados del plasma (concentrados de factores de coagulación, concentrados inmunoglobulínicos y expansores volumétricos del plasma que contienen proteínas). A pesar de ello, es de máxima importancia la vigilancia ininterrumpida que incluya una supervisión y notificación mejores pues la sangre en los abastos sigue siendo vulnerable al ataque de microorganismos que se han vinculado con infecciones recién identificadas o apenas conocidas. El capítulo presente se ocupará de revisar los métodos de obtención de sangre y plasma en Estados Unidos; algunos factores que han obligado a reforzar las medidas de seguridad del abasto hemático; algunos de los agentes infecciosos identificados y que comienzan a conocerse (emergentes) y aspectos similares de seguridad en cuanto al líquido hemático, así como estrategias para disminuir el peligro de infecciones transmitidas por transfusiones.</w:t>
      </w:r>
    </w:p>
    <w:p w14:paraId="4861489D" w14:textId="77777777" w:rsidR="0072615D" w:rsidRDefault="0072615D">
      <w:pPr>
        <w:pStyle w:val="Bodytext70"/>
      </w:pPr>
      <w:r>
        <w:t>Componentes hemáticos y derivados plasmáticos</w:t>
      </w:r>
    </w:p>
    <w:p w14:paraId="572B8880" w14:textId="77777777" w:rsidR="0072615D" w:rsidRDefault="0072615D">
      <w:pPr>
        <w:pStyle w:val="BodyText"/>
        <w:ind w:firstLine="0"/>
      </w:pPr>
      <w:r>
        <w:t xml:space="preserve">La reunión, la preparación y las pruebas en sangre son reguladas cuidadosamente por la </w:t>
      </w:r>
      <w:r>
        <w:rPr>
          <w:rFonts w:ascii="Times New Roman" w:eastAsia="Times New Roman" w:hAnsi="Times New Roman" w:cs="Times New Roman"/>
          <w:i/>
          <w:iCs/>
          <w:sz w:val="16"/>
          <w:szCs w:val="16"/>
        </w:rPr>
        <w:t>Food and Drug Administration</w:t>
      </w:r>
      <w:r>
        <w:t xml:space="preserve"> (FDA). En Estados Unidos, la sangre completa se obtiene de voluntarios donantes y es separada en sus componentes que incluyen eritrocitos, plaquetas, plasma, globulina gamma y leucocitos. Las plaquetas también se obtienen por aféresis, método en el cual la sangre pasa por un aparato que separa las plaquetas y devuelve al donante otros componentes. El plasma para transfusión o mayor elaboración en sus derivados se prepara de la sangre completa o se reúne por aféresis. Casi todo el plasma en Estados Unidos se obtiene de donantes que reciben un pago por ello, en centros especializados de reunión. </w:t>
      </w:r>
      <w:r>
        <w:rPr>
          <w:b/>
          <w:bCs/>
        </w:rPr>
        <w:t xml:space="preserve">Los derivados se preparan al obtener plasma </w:t>
      </w:r>
      <w:r>
        <w:t>de muchos donantes y someterlo a un proceso de fraccionamiento que los separa en las proteínas buscadas.</w:t>
      </w:r>
    </w:p>
    <w:p w14:paraId="3C206BB2" w14:textId="77777777" w:rsidR="0072615D" w:rsidRDefault="0072615D">
      <w:pPr>
        <w:pStyle w:val="BodyText"/>
        <w:spacing w:after="100"/>
        <w:ind w:firstLine="360"/>
      </w:pPr>
      <w:r>
        <w:t>Desde el punto de vista infectológico, los derivados de plasma difieren de los componentes de la sangre en varias formas. por razones económicas y terapéuticas, se reúne el plasma de miles de donantes y, por lo tanto, quienes reciben los derivados plasmáticos tienen una exposición muchísimo mayor a los donantes que quienes reciben componentes hemáticos (hemoderivados). Sin embargo, los derivados plasmáticos pueden ser sometidos a intensos procesos de inactivación vírica que destruiría a los eritrocitos y las plaquetas. Están en marcha la obtención y la evaluación de diversas estrategias para inactivar hemocomponentes.</w:t>
      </w:r>
    </w:p>
    <w:p w14:paraId="42D0534C" w14:textId="77777777" w:rsidR="0072615D" w:rsidRDefault="0072615D">
      <w:pPr>
        <w:pStyle w:val="Bodytext70"/>
      </w:pPr>
      <w:r>
        <w:t>Medidas actuales de seguridad en el uso de sangre</w:t>
      </w:r>
    </w:p>
    <w:p w14:paraId="4D1856F6" w14:textId="77777777" w:rsidR="0072615D" w:rsidRDefault="0072615D">
      <w:pPr>
        <w:pStyle w:val="BodyText"/>
        <w:spacing w:after="360"/>
        <w:ind w:firstLine="0"/>
      </w:pPr>
      <w:r>
        <w:t xml:space="preserve">Los aspectos de seguridad de la sangre en los abastos dependen de múltiples elementos y fases que incluyen entrevista y selección de donantes, examen y elección de estos últimos por medio de pruebas serológicas y detección de otros marcadores de infección, e inactivación de virus en lo que toca a productos derivados del plasma (cuadro 2-4). La entrevista de los donantes se hace para descartar a personas con el antecedente de exposiciones o comportamientos que pudieran agravar el riesgo de haberse contagiado de un agente infeccioso. Toda la sangre donada se somete sistemáticamente a estudios para identificar treponemas, sífilis, virus de hepatitis B </w:t>
      </w:r>
      <w:r>
        <w:rPr>
          <w:i/>
          <w:iCs/>
        </w:rPr>
        <w:t>(</w:t>
      </w:r>
      <w:r>
        <w:rPr>
          <w:rFonts w:ascii="Times New Roman" w:eastAsia="Times New Roman" w:hAnsi="Times New Roman" w:cs="Times New Roman"/>
          <w:i/>
          <w:iCs/>
          <w:sz w:val="16"/>
          <w:szCs w:val="16"/>
        </w:rPr>
        <w:t>hepatitis B virus</w:t>
      </w:r>
      <w:r>
        <w:rPr>
          <w:i/>
          <w:iCs/>
        </w:rPr>
        <w:t>,</w:t>
      </w:r>
      <w:r>
        <w:t xml:space="preserve"> HBV), C </w:t>
      </w:r>
      <w:r>
        <w:rPr>
          <w:i/>
          <w:iCs/>
        </w:rPr>
        <w:t>(</w:t>
      </w:r>
      <w:r>
        <w:rPr>
          <w:rFonts w:ascii="Times New Roman" w:eastAsia="Times New Roman" w:hAnsi="Times New Roman" w:cs="Times New Roman"/>
          <w:i/>
          <w:iCs/>
          <w:sz w:val="16"/>
          <w:szCs w:val="16"/>
        </w:rPr>
        <w:t>hepatitis C virus</w:t>
      </w:r>
      <w:r>
        <w:rPr>
          <w:i/>
          <w:iCs/>
        </w:rPr>
        <w:t>,</w:t>
      </w:r>
      <w:r>
        <w:t xml:space="preserve"> HCV), linfotrópico T humano </w:t>
      </w:r>
      <w:r>
        <w:rPr>
          <w:i/>
          <w:iCs/>
        </w:rPr>
        <w:t>(</w:t>
      </w:r>
      <w:r>
        <w:rPr>
          <w:rFonts w:ascii="Times New Roman" w:eastAsia="Times New Roman" w:hAnsi="Times New Roman" w:cs="Times New Roman"/>
          <w:i/>
          <w:iCs/>
          <w:sz w:val="16"/>
          <w:szCs w:val="16"/>
        </w:rPr>
        <w:t>human T-lymphotropic virus</w:t>
      </w:r>
      <w:r>
        <w:rPr>
          <w:i/>
          <w:iCs/>
        </w:rPr>
        <w:t>,</w:t>
      </w:r>
      <w:r>
        <w:t xml:space="preserve"> HTLV), tipos I y II y virus de inmunodeficiencia humana (VIH) tipos 1 y 2; algunas sangres de</w:t>
      </w:r>
    </w:p>
    <w:p w14:paraId="39CCF8BB" w14:textId="77777777" w:rsidR="0072615D" w:rsidRDefault="0072615D">
      <w:pPr>
        <w:pStyle w:val="Heading31"/>
        <w:keepNext/>
        <w:keepLines/>
        <w:ind w:right="140"/>
        <w:jc w:val="right"/>
      </w:pPr>
      <w:bookmarkStart w:id="400" w:name="bookmark400"/>
      <w:bookmarkStart w:id="401" w:name="bookmark401"/>
      <w:bookmarkStart w:id="402" w:name="bookmark402"/>
      <w:r>
        <w:rPr>
          <w:b w:val="0"/>
          <w:bCs w:val="0"/>
        </w:rPr>
        <w:t xml:space="preserve">Cuadro 2 - 4. </w:t>
      </w:r>
      <w:r>
        <w:t>Medidas de detección sistemática en donantes de sangre</w:t>
      </w:r>
      <w:r>
        <w:rPr>
          <w:vertAlign w:val="superscript"/>
        </w:rPr>
        <w:footnoteReference w:id="35"/>
      </w:r>
      <w:r>
        <w:rPr>
          <w:vertAlign w:val="superscript"/>
        </w:rPr>
        <w:t xml:space="preserve"> </w:t>
      </w:r>
      <w:r>
        <w:rPr>
          <w:vertAlign w:val="superscript"/>
        </w:rPr>
        <w:footnoteReference w:id="36"/>
      </w:r>
      <w:bookmarkEnd w:id="400"/>
      <w:bookmarkEnd w:id="401"/>
      <w:bookmarkEnd w:id="402"/>
    </w:p>
    <w:p w14:paraId="076EDDDA" w14:textId="77777777" w:rsidR="0072615D" w:rsidRDefault="0072615D">
      <w:pPr>
        <w:pStyle w:val="Heading41"/>
        <w:keepNext/>
        <w:keepLines/>
        <w:pBdr>
          <w:top w:val="single" w:sz="0" w:space="0" w:color="231F20"/>
          <w:left w:val="single" w:sz="0" w:space="0" w:color="231F20"/>
          <w:bottom w:val="single" w:sz="0" w:space="0" w:color="231F20"/>
          <w:right w:val="single" w:sz="0" w:space="0" w:color="231F20"/>
        </w:pBdr>
        <w:shd w:val="clear" w:color="auto" w:fill="231F20"/>
        <w:ind w:left="2520"/>
        <w:sectPr w:rsidR="0072615D" w:rsidSect="0072615D">
          <w:headerReference w:type="even" r:id="rId294"/>
          <w:headerReference w:type="default" r:id="rId295"/>
          <w:footerReference w:type="even" r:id="rId296"/>
          <w:footerReference w:type="default" r:id="rId297"/>
          <w:headerReference w:type="first" r:id="rId298"/>
          <w:footerReference w:type="first" r:id="rId299"/>
          <w:footnotePr>
            <w:numFmt w:val="upperRoman"/>
          </w:footnotePr>
          <w:pgSz w:w="8501" w:h="13022"/>
          <w:pgMar w:top="883" w:right="916" w:bottom="533" w:left="697" w:header="0" w:footer="3" w:gutter="0"/>
          <w:pgNumType w:start="116"/>
          <w:cols w:space="720"/>
          <w:noEndnote/>
          <w:titlePg/>
          <w:docGrid w:linePitch="360"/>
          <w15:footnoteColumns w:val="1"/>
        </w:sectPr>
      </w:pPr>
      <w:r>
        <w:rPr>
          <w:noProof/>
        </w:rPr>
        <mc:AlternateContent>
          <mc:Choice Requires="wps">
            <w:drawing>
              <wp:anchor distT="0" distB="0" distL="114300" distR="114300" simplePos="0" relativeHeight="251680768" behindDoc="0" locked="0" layoutInCell="1" allowOverlap="1" wp14:anchorId="0ADDCB04" wp14:editId="79C20AA7">
                <wp:simplePos x="0" y="0"/>
                <wp:positionH relativeFrom="page">
                  <wp:posOffset>492760</wp:posOffset>
                </wp:positionH>
                <wp:positionV relativeFrom="paragraph">
                  <wp:posOffset>12700</wp:posOffset>
                </wp:positionV>
                <wp:extent cx="408305" cy="189230"/>
                <wp:effectExtent l="0" t="0" r="0" b="0"/>
                <wp:wrapSquare wrapText="right"/>
                <wp:docPr id="294" name="Shape 294"/>
                <wp:cNvGraphicFramePr/>
                <a:graphic xmlns:a="http://schemas.openxmlformats.org/drawingml/2006/main">
                  <a:graphicData uri="http://schemas.microsoft.com/office/word/2010/wordprocessingShape">
                    <wps:wsp>
                      <wps:cNvSpPr txBox="1"/>
                      <wps:spPr>
                        <a:xfrm>
                          <a:off x="0" y="0"/>
                          <a:ext cx="408305" cy="189230"/>
                        </a:xfrm>
                        <a:prstGeom prst="rect">
                          <a:avLst/>
                        </a:prstGeom>
                        <a:noFill/>
                      </wps:spPr>
                      <wps:txbx>
                        <w:txbxContent>
                          <w:p w14:paraId="1097343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Medida</w:t>
                            </w:r>
                          </w:p>
                        </w:txbxContent>
                      </wps:txbx>
                      <wps:bodyPr wrap="none" lIns="0" tIns="0" rIns="0" bIns="0"/>
                    </wps:wsp>
                  </a:graphicData>
                </a:graphic>
              </wp:anchor>
            </w:drawing>
          </mc:Choice>
          <mc:Fallback>
            <w:pict>
              <v:shape w14:anchorId="0ADDCB04" id="Shape 294" o:spid="_x0000_s1047" type="#_x0000_t202" style="position:absolute;left:0;text-align:left;margin-left:38.8pt;margin-top:1pt;width:32.15pt;height:14.9pt;z-index:25168076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" filled="f" stroked="f">
                <v:textbox inset="0,0,0,0">
                  <w:txbxContent>
                    <w:p w14:paraId="1097343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Medida</w:t>
                      </w:r>
                    </w:p>
                  </w:txbxContent>
                </v:textbox>
                <w10:wrap type="square" side="right" anchorx="page"/>
              </v:shape>
            </w:pict>
          </mc:Fallback>
        </mc:AlternateContent>
      </w:r>
      <w:bookmarkStart w:id="403" w:name="bookmark403"/>
      <w:bookmarkStart w:id="404" w:name="bookmark404"/>
      <w:bookmarkStart w:id="405" w:name="bookmark405"/>
      <w:r>
        <w:rPr>
          <w:color w:val="FFFFFF"/>
        </w:rPr>
        <w:t>Agentes infecciosos por identificar</w:t>
      </w:r>
      <w:bookmarkEnd w:id="403"/>
      <w:bookmarkEnd w:id="404"/>
      <w:bookmarkEnd w:id="405"/>
    </w:p>
    <w:p w14:paraId="4341A559" w14:textId="77777777" w:rsidR="0072615D" w:rsidRDefault="0072615D">
      <w:pPr>
        <w:pStyle w:val="Bodytext20"/>
      </w:pPr>
      <w:r>
        <w:rPr>
          <w:b/>
          <w:bCs/>
        </w:rPr>
        <w:t>Entrevista general y detección sistemática</w:t>
      </w:r>
    </w:p>
    <w:p w14:paraId="4871272A" w14:textId="77777777" w:rsidR="0072615D" w:rsidRDefault="0072615D">
      <w:pPr>
        <w:pStyle w:val="Bodytext20"/>
        <w:numPr>
          <w:ilvl w:val="0"/>
          <w:numId w:val="35"/>
        </w:numPr>
        <w:tabs>
          <w:tab w:val="left" w:pos="203"/>
        </w:tabs>
        <w:ind w:left="140" w:hanging="140"/>
      </w:pPr>
      <w:bookmarkStart w:id="406" w:name="bookmark406"/>
      <w:bookmarkEnd w:id="406"/>
      <w:r>
        <w:t>Seguridad previa del donante (es decir, no hubo medidas para diferir la donación)</w:t>
      </w:r>
    </w:p>
    <w:p w14:paraId="37F85C50" w14:textId="77777777" w:rsidR="0072615D" w:rsidRDefault="0072615D">
      <w:pPr>
        <w:pStyle w:val="Bodytext20"/>
        <w:numPr>
          <w:ilvl w:val="0"/>
          <w:numId w:val="35"/>
        </w:numPr>
        <w:tabs>
          <w:tab w:val="left" w:pos="203"/>
        </w:tabs>
        <w:ind w:left="140" w:hanging="140"/>
      </w:pPr>
      <w:bookmarkStart w:id="407" w:name="bookmark407"/>
      <w:bookmarkEnd w:id="407"/>
      <w:r>
        <w:t>Estado general de salud, enfermedades actuales, temperatura corporal en el momento de la donación</w:t>
      </w:r>
    </w:p>
    <w:p w14:paraId="4DFA2BAC" w14:textId="77777777" w:rsidR="0072615D" w:rsidRDefault="0072615D">
      <w:pPr>
        <w:pStyle w:val="Bodytext20"/>
        <w:numPr>
          <w:ilvl w:val="0"/>
          <w:numId w:val="35"/>
        </w:numPr>
        <w:tabs>
          <w:tab w:val="left" w:pos="203"/>
        </w:tabs>
      </w:pPr>
      <w:bookmarkStart w:id="408" w:name="bookmark408"/>
      <w:bookmarkEnd w:id="408"/>
      <w:r>
        <w:t>Opción de exclusión confidencial del donante</w:t>
      </w:r>
    </w:p>
    <w:p w14:paraId="116A51AF" w14:textId="77777777" w:rsidR="0072615D" w:rsidRDefault="0072615D">
      <w:pPr>
        <w:pStyle w:val="Bodytext20"/>
        <w:numPr>
          <w:ilvl w:val="0"/>
          <w:numId w:val="35"/>
        </w:numPr>
        <w:tabs>
          <w:tab w:val="left" w:pos="203"/>
        </w:tabs>
        <w:spacing w:after="200"/>
        <w:ind w:left="140" w:hanging="140"/>
      </w:pPr>
      <w:bookmarkStart w:id="409" w:name="bookmark409"/>
      <w:bookmarkEnd w:id="409"/>
      <w:r>
        <w:t>Recordatorio para notificar a quien reúne la sangre, sobre enfermedades (como fiebre o diarrea) después de la donación o cualquiera otra información pertinente que se recuerde</w:t>
      </w:r>
    </w:p>
    <w:p w14:paraId="36CC6524" w14:textId="77777777" w:rsidR="0072615D" w:rsidRDefault="0072615D">
      <w:pPr>
        <w:pStyle w:val="Bodytext20"/>
      </w:pPr>
      <w:r>
        <w:rPr>
          <w:b/>
          <w:bCs/>
        </w:rPr>
        <w:t>Antecedente de factores específicos de riesgo</w:t>
      </w:r>
    </w:p>
    <w:p w14:paraId="5A50E341" w14:textId="77777777" w:rsidR="0072615D" w:rsidRDefault="0072615D">
      <w:pPr>
        <w:pStyle w:val="Bodytext20"/>
        <w:numPr>
          <w:ilvl w:val="0"/>
          <w:numId w:val="35"/>
        </w:numPr>
        <w:tabs>
          <w:tab w:val="left" w:pos="203"/>
        </w:tabs>
        <w:ind w:left="140" w:hanging="140"/>
      </w:pPr>
      <w:bookmarkStart w:id="410" w:name="bookmark410"/>
      <w:bookmarkEnd w:id="410"/>
      <w:r>
        <w:t>Comportamientos sexuales de alto riesgo o empleo de drogas inyectables por parte del donante o su pareja</w:t>
      </w:r>
    </w:p>
    <w:p w14:paraId="6C2B11E6" w14:textId="77777777" w:rsidR="0072615D" w:rsidRDefault="0072615D">
      <w:pPr>
        <w:pStyle w:val="Bodytext20"/>
        <w:numPr>
          <w:ilvl w:val="0"/>
          <w:numId w:val="35"/>
        </w:numPr>
        <w:tabs>
          <w:tab w:val="left" w:pos="203"/>
        </w:tabs>
      </w:pPr>
      <w:bookmarkStart w:id="411" w:name="bookmark411"/>
      <w:bookmarkEnd w:id="411"/>
      <w:r>
        <w:t>Riesgos geográficos (viajes y residencia)</w:t>
      </w:r>
    </w:p>
    <w:p w14:paraId="4B5A83DD" w14:textId="77777777" w:rsidR="0072615D" w:rsidRDefault="0072615D">
      <w:pPr>
        <w:pStyle w:val="Bodytext20"/>
        <w:numPr>
          <w:ilvl w:val="0"/>
          <w:numId w:val="35"/>
        </w:numPr>
        <w:tabs>
          <w:tab w:val="left" w:pos="203"/>
        </w:tabs>
        <w:spacing w:after="420"/>
      </w:pPr>
      <w:bookmarkStart w:id="412" w:name="bookmark412"/>
      <w:bookmarkEnd w:id="412"/>
      <w:r>
        <w:t>Antecedentes de infecciones específicas</w:t>
      </w:r>
    </w:p>
    <w:p w14:paraId="6A8190EC" w14:textId="77777777" w:rsidR="0072615D" w:rsidRDefault="0072615D">
      <w:pPr>
        <w:pStyle w:val="Bodytext20"/>
        <w:numPr>
          <w:ilvl w:val="0"/>
          <w:numId w:val="35"/>
        </w:numPr>
        <w:tabs>
          <w:tab w:val="left" w:pos="203"/>
        </w:tabs>
        <w:spacing w:after="200"/>
        <w:ind w:left="140" w:hanging="140"/>
      </w:pPr>
      <w:bookmarkStart w:id="413" w:name="bookmark413"/>
      <w:bookmarkEnd w:id="413"/>
      <w:r>
        <w:t>Exposición parenteral previa a sangre por transfusión o exposición ocupacional; no se difirió permanentemente la donación</w:t>
      </w:r>
    </w:p>
    <w:p w14:paraId="07A18D32" w14:textId="77777777" w:rsidR="0072615D" w:rsidRDefault="0072615D">
      <w:pPr>
        <w:pStyle w:val="Bodytext20"/>
        <w:spacing w:after="300"/>
      </w:pPr>
      <w:r>
        <w:rPr>
          <w:b/>
          <w:bCs/>
        </w:rPr>
        <w:t>Detección sistemática por métodos de laboratorio</w:t>
      </w:r>
    </w:p>
    <w:p w14:paraId="5BB27A60" w14:textId="77777777" w:rsidR="0072615D" w:rsidRDefault="0072615D">
      <w:pPr>
        <w:pStyle w:val="Bodytext20"/>
        <w:spacing w:after="220" w:line="240" w:lineRule="auto"/>
      </w:pPr>
      <w:r>
        <w:t>Fase hematógena de múltiples agentes</w:t>
      </w:r>
    </w:p>
    <w:p w14:paraId="690D8C17" w14:textId="77777777" w:rsidR="0072615D" w:rsidRDefault="0072615D">
      <w:pPr>
        <w:pStyle w:val="Bodytext20"/>
        <w:spacing w:after="420" w:line="240" w:lineRule="auto"/>
      </w:pPr>
      <w:r>
        <w:t>Fase hematógena de múltiples agentes</w:t>
      </w:r>
    </w:p>
    <w:p w14:paraId="47C438AE" w14:textId="77777777" w:rsidR="0072615D" w:rsidRDefault="0072615D">
      <w:pPr>
        <w:pStyle w:val="Bodytext20"/>
        <w:spacing w:line="240" w:lineRule="auto"/>
      </w:pPr>
      <w:r>
        <w:t>Fase hematógena de múltiples agentes</w:t>
      </w:r>
    </w:p>
    <w:p w14:paraId="4DBF3B62" w14:textId="77777777" w:rsidR="0072615D" w:rsidRDefault="0072615D">
      <w:pPr>
        <w:pStyle w:val="Bodytext20"/>
        <w:spacing w:after="1080" w:line="240" w:lineRule="auto"/>
      </w:pPr>
      <w:r>
        <w:t>Fase hematógena de múltiples agentes</w:t>
      </w:r>
    </w:p>
    <w:p w14:paraId="3C560614" w14:textId="77777777" w:rsidR="0072615D" w:rsidRDefault="0072615D">
      <w:pPr>
        <w:pStyle w:val="Bodytext20"/>
        <w:spacing w:after="420"/>
      </w:pPr>
      <w:r>
        <w:t>VIH, HCV, HBV, HTLV</w:t>
      </w:r>
    </w:p>
    <w:p w14:paraId="4B34012F" w14:textId="77777777" w:rsidR="0072615D" w:rsidRDefault="0072615D">
      <w:pPr>
        <w:pStyle w:val="Bodytext20"/>
      </w:pPr>
      <w:r>
        <w:t>Paludismo, vCJD</w:t>
      </w:r>
    </w:p>
    <w:p w14:paraId="251E52B3" w14:textId="77777777" w:rsidR="0072615D" w:rsidRDefault="0072615D">
      <w:pPr>
        <w:pStyle w:val="Bodytext20"/>
      </w:pPr>
      <w:r>
        <w:t>VIH, HBV, HCV, otros agentes de hepatitis, parásitos (como los que causan paludismo, enfermedad de Chagas o babesiosis)</w:t>
      </w:r>
    </w:p>
    <w:p w14:paraId="175762B7" w14:textId="77777777" w:rsidR="0072615D" w:rsidRDefault="0072615D">
      <w:pPr>
        <w:pStyle w:val="Bodytext20"/>
        <w:spacing w:after="640"/>
      </w:pPr>
      <w:r>
        <w:t>VIH, HCV, HBV</w:t>
      </w:r>
    </w:p>
    <w:p w14:paraId="0E72B71D" w14:textId="77777777" w:rsidR="0072615D" w:rsidRDefault="0072615D">
      <w:pPr>
        <w:pStyle w:val="Bodytext20"/>
        <w:pBdr>
          <w:bottom w:val="single" w:sz="4" w:space="0" w:color="auto"/>
        </w:pBdr>
        <w:spacing w:after="420"/>
        <w:sectPr w:rsidR="0072615D" w:rsidSect="0072615D">
          <w:footnotePr>
            <w:numFmt w:val="upperRoman"/>
          </w:footnotePr>
          <w:type w:val="continuous"/>
          <w:pgSz w:w="8501" w:h="13022"/>
          <w:pgMar w:top="941" w:right="1484" w:bottom="941" w:left="552" w:header="0" w:footer="3" w:gutter="0"/>
          <w:cols w:num="2" w:space="100"/>
          <w:noEndnote/>
          <w:docGrid w:linePitch="360"/>
          <w15:footnoteColumns w:val="1"/>
        </w:sectPr>
      </w:pPr>
      <w:r>
        <w:t>VIH-1 y VIH-2 (anticuerpo contra VIH y antígeno de VIH-1 [p24]), HCV (anticuerpo), métodos para identificar ácido nucleico de VIH y HCV; HBV (antígeno de superficie de HB y anticuerpo contra HBc) (Por lo común se practica ALT, pero la FDA no recomienda su práctica), HTLV-I/II (anticuerpos), sífilis</w:t>
      </w:r>
    </w:p>
    <w:p w14:paraId="61E78297" w14:textId="77777777" w:rsidR="0072615D" w:rsidRDefault="0072615D">
      <w:pPr>
        <w:pStyle w:val="BodyText"/>
        <w:spacing w:before="240" w:after="120"/>
        <w:ind w:firstLine="0"/>
      </w:pPr>
      <w:r>
        <w:t xml:space="preserve">donantes especiales son sometidas a pruebas para detectar virus citomegálico </w:t>
      </w:r>
      <w:r>
        <w:rPr>
          <w:i/>
          <w:iCs/>
        </w:rPr>
        <w:t>(</w:t>
      </w:r>
      <w:r>
        <w:rPr>
          <w:rFonts w:ascii="Times New Roman" w:eastAsia="Times New Roman" w:hAnsi="Times New Roman" w:cs="Times New Roman"/>
          <w:i/>
          <w:iCs/>
          <w:sz w:val="16"/>
          <w:szCs w:val="16"/>
        </w:rPr>
        <w:t>cytomegalovirus</w:t>
      </w:r>
      <w:r>
        <w:rPr>
          <w:i/>
          <w:iCs/>
        </w:rPr>
        <w:t>,</w:t>
      </w:r>
      <w:r>
        <w:t xml:space="preserve"> CMV). En 1997, en Estados Unidos hubo que desechar unas 226 000 unidades de sangre (1 unidad = 450 ml) porque en las pruebas de detección sistemática se identificaron los microorganismos mencionados; la cifra anterior representa 1.7% de las unidades reunidas.</w:t>
      </w:r>
    </w:p>
    <w:p w14:paraId="0989B765" w14:textId="77777777" w:rsidR="0072615D" w:rsidRDefault="0072615D">
      <w:pPr>
        <w:pStyle w:val="Bodytext70"/>
        <w:spacing w:line="214" w:lineRule="auto"/>
      </w:pPr>
      <w:r>
        <w:t>Programas de revisión de antecedentes</w:t>
      </w:r>
    </w:p>
    <w:p w14:paraId="034D5DAF" w14:textId="77777777" w:rsidR="0072615D" w:rsidRDefault="0072615D">
      <w:pPr>
        <w:pStyle w:val="BodyText"/>
        <w:ind w:firstLine="0"/>
      </w:pPr>
      <w:r>
        <w:t>Si al interrogar a una persona que donó en ocasiones anteriores se detecta un nuevo factor de riesgo u otro que no había sido identificado, o bien se advierte que está infectado con algunos agentes, los bancos de sangre u otros establecimientos hematológicos, siguiendo la orientación y las recomendaciones de la FDA, recuperan dicho producto y notifican al destinatario al cual se envió (hospital, servicios de transfusiones o médico). Se revisan los registros médicos para saber si donativos previos imponen algún peligro a los receptores de sangre. Por ejemplo, es posible que una donación anterior se haya hecho en el periodo de “ventana” o asintomático de una infección vírica, es decir, el lapso en que había viremia en el donante pero los resultados de métodos serológicos no eran aún positivos. Como parte de estos programas de revisión de antecedentes, se localizan y retiran de la distribución todos los componentes restantes que pudieran contener el agente infeccioso, y se notifica a los receptores que pudieron haber estado expuestos a ellos, a quienes también se les realizan pruebas y se les orienta.</w:t>
      </w:r>
    </w:p>
    <w:p w14:paraId="4A0FBAB2" w14:textId="77777777" w:rsidR="0072615D" w:rsidRDefault="0072615D">
      <w:pPr>
        <w:pStyle w:val="BodyText"/>
        <w:spacing w:after="120"/>
        <w:ind w:firstLine="360"/>
      </w:pPr>
      <w:r>
        <w:t>En 1999 en Estados Unidos se emprendió una cruzada importante para notificar a cientos de miles de personas que pudieran haberse contagiado del virus de hepatitis C por transfusiones de sangre, antes de que se introdujeran métodos eficaces para examinar y elegir a los donantes. Se utilizaron dos estrategias para identificar a quienes habían recibido la sangre en transfusión: 1) un método “preorientado” (o dirigido) para identificar a quienes habían recibido sangre en transfusión de donantes en los que se detectaron anticuerpos a HCV (positividad) después de emprender los métodos de examen y elección (1990 y años siguientes); y 2) una estrategia general para identificar a todas las personas que habían recibido sangre en transfusión antes de julio de 1992 (fecha en que se comenzaron a usar métodos más sensibles y específicos con múltiples antígenos de HCV). La campaña de notificación y enseñanza general se orientó a profesionales asistenciales y al público. Los individuos que recibieron sangre en transfusión o componentes hemáticos antes de julio de 1992 deben solicitar orientación y ser sometidos a pruebas para detectar infección por HCV. Por sistema, los profesionales mencionados deben conocer los antecedentes transfusionales y factores de riesgo de transfusiones previas de sus pacientes, como trastornos hematológicos, operaciones mayores, traumatismos y nacimiento prematuro.</w:t>
      </w:r>
    </w:p>
    <w:p w14:paraId="587A1A61" w14:textId="77777777" w:rsidR="0072615D" w:rsidRDefault="0072615D">
      <w:pPr>
        <w:pStyle w:val="Bodytext70"/>
        <w:spacing w:after="120" w:line="214" w:lineRule="auto"/>
      </w:pPr>
      <w:r>
        <w:t>Agentes transmitidos por transfusión: peligros identificados y patógenos potenciales</w:t>
      </w:r>
    </w:p>
    <w:p w14:paraId="5F52D24E" w14:textId="77777777" w:rsidR="0072615D" w:rsidRDefault="0072615D">
      <w:pPr>
        <w:pStyle w:val="BodyText"/>
        <w:spacing w:after="220"/>
        <w:ind w:firstLine="0"/>
      </w:pPr>
      <w:r>
        <w:t>La sangre en transfusión puede transmitir cualquier agente infeccioso que necesita de una fase en ella (hematógena). Entre los factores que influyen en el riesgo de transmisión de un agente infeccioso por transfusión y la aparición de enfermedad química en el receptor están la prevalencia y la incidencia del agente en los donadores, la duración de la fase hematógena, la tolerancia que muestra el agente a los procesos de preparación y almacenamiento, la infecciosidad y patogenicidad del germen y el estado general del receptor. En el cuadro 2-5 se incluyen algunas de las infecciones importantes más conocidas transmitidas por sangre en transfusión y algunos de los nuevos agentes que están en investigación.</w:t>
      </w:r>
    </w:p>
    <w:p w14:paraId="075AD6BA" w14:textId="77777777" w:rsidR="0072615D" w:rsidRDefault="0072615D">
      <w:pPr>
        <w:pStyle w:val="BodyText"/>
        <w:spacing w:after="220"/>
        <w:ind w:firstLine="0"/>
        <w:jc w:val="both"/>
      </w:pPr>
      <w:r>
        <w:t>VIRUS</w:t>
      </w:r>
    </w:p>
    <w:p w14:paraId="42EC4F9F" w14:textId="77777777" w:rsidR="0072615D" w:rsidRDefault="0072615D">
      <w:pPr>
        <w:pStyle w:val="BodyText"/>
        <w:spacing w:line="283" w:lineRule="auto"/>
        <w:ind w:firstLine="0"/>
      </w:pPr>
      <w:r>
        <w:rPr>
          <w:rFonts w:ascii="Times New Roman" w:eastAsia="Times New Roman" w:hAnsi="Times New Roman" w:cs="Times New Roman"/>
          <w:b/>
          <w:bCs/>
          <w:i/>
          <w:iCs/>
          <w:sz w:val="16"/>
          <w:szCs w:val="16"/>
        </w:rPr>
        <w:t>Virus de inmunodeficiencia humana, de hepatitis C y B (véanse “Humana, infección por virus de inmunodeficiencia [VIH]”, “Hepatitis B”y “Hepatitis C”, sección 3).</w:t>
      </w:r>
      <w:r>
        <w:t xml:space="preserve"> La probabilidad de infección en personas que están expuestas a los virus comentados al recibir sangre es del 90% en el caso de VIH y HCV y de 70%, en lo que toca a HBV. Se practican pruebas de cribado para identificar tales virus en la sangre donada pero siempre queda un pequeño riesgo de infección que es consecuencia casi exclusivamente de sangre donada y obtenida durante el periodo de “ventana” o asintomático de la infección, es decir, el que acaece poco después del contagio, durante el cual el donante es infectante pero los resultados de pruebas de cribados son negativos.</w:t>
      </w:r>
    </w:p>
    <w:p w14:paraId="7EB76D7C" w14:textId="77777777" w:rsidR="0072615D" w:rsidRDefault="0072615D">
      <w:pPr>
        <w:pStyle w:val="BodyText"/>
        <w:ind w:firstLine="360"/>
      </w:pPr>
      <w:r>
        <w:t xml:space="preserve">Para acortar el lapso en que pueden pasar inadvertidas infecciones víricas, en 1999 se comenzó a practicar el método de ácido nucleico </w:t>
      </w:r>
      <w:r>
        <w:rPr>
          <w:i/>
          <w:iCs/>
        </w:rPr>
        <w:t>(</w:t>
      </w:r>
      <w:r>
        <w:rPr>
          <w:rFonts w:ascii="Times New Roman" w:eastAsia="Times New Roman" w:hAnsi="Times New Roman" w:cs="Times New Roman"/>
          <w:i/>
          <w:iCs/>
          <w:sz w:val="16"/>
          <w:szCs w:val="16"/>
        </w:rPr>
        <w:t>nucleic acid testing</w:t>
      </w:r>
      <w:r>
        <w:rPr>
          <w:i/>
          <w:iCs/>
        </w:rPr>
        <w:t>,</w:t>
      </w:r>
      <w:r>
        <w:t xml:space="preserve"> NAT) de sangre y plasma donados, en busca de VIH y HCV. Dicho método se realiza en el estudio y aplicaciones de algunos nuevos fármacos de investigación. A pesar de que su uso no es obligatorio, NAT se realiza esencialmente en todas las unidades de sangre y plasma donadas en Estados Unidos. Algunas estimaciones sugieren que NAT de grandes cúmulos de varios donantes pudiera disminuir el periodo de “ventana” de seroconversión antes de que surjan anticuerpos, de 22 días a 13 y 15 días en el caso de VIH, y de 70 días a 10 y 29 días en el de HCV. Se han elaborado modelos matemáticos para calcular los riesgos bajísimos de transmisión de VIH, HCV y HBV en sangre y hemoderivados usados en transfusiones (cuadro 2-5).</w:t>
      </w:r>
    </w:p>
    <w:p w14:paraId="5DF02F5F"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Virus linfotrópico T humano de tipos I y II.</w:t>
      </w:r>
      <w:r>
        <w:t xml:space="preserve"> Las infecciones con HTLV son relativamente frecuentes en algunas zonas geográficas y en poblaciones específicas, como el caso de HTLV-I en Japón, países caribeños y sur de Estados Unidos, y HTLV-II en indígenas de las tres zonas del continente americano y entre toxicómanos que se inyectan drogas en Estados Unidos y Europa. Ambos tipos I y II de virus son transmitidos por transfusión de los componentes celulares de sangre, pero no por plasma ni sus derivados. Se ha calculado que el riesgo de transmisión del virus en sangre sometida a cribado y donada durante el periodo de “ventana” es de un caso por 641 000 unidades estudiadas. Sin embargo, hay menor posibilidad de que la transmisión de HTLV origine infecciones, que la transmisión de VIH, HBV y HCV, con una cifra aproximada de seroconversión de 27% en sujetos estadounidenses que reciben componentes celulares de la sangre, de donantes infectados.</w:t>
      </w:r>
    </w:p>
    <w:p w14:paraId="62563D21"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Virus citomegálico (véase “Virus citomegálico, infecciones”, sección 3).</w:t>
      </w:r>
      <w:r>
        <w:t xml:space="preserve"> Los sujetos inmunodeficientes, entre ellos los prematuros, los individuos que reciben órganos sólidos y médula ósea en trasplante, y otros más, están en peligro de contraer enfermedades potencialmente letales y graves por CMV transmitido en transfusión. En consecuencia, hay muchos centros en donde tales personas reciben sólo sangre de donantes que no tienen anticuerpos contra dicha partícula. Por medio de leucorreducción disminuye el peligro de transmisión del virus porque tal partícula reside en una fase latente dentro de los leucocitos.</w:t>
      </w:r>
    </w:p>
    <w:p w14:paraId="2174113A" w14:textId="77777777" w:rsidR="0072615D" w:rsidRDefault="0072615D">
      <w:pPr>
        <w:pStyle w:val="BodyText"/>
        <w:spacing w:after="220" w:line="290" w:lineRule="auto"/>
        <w:ind w:firstLine="360"/>
      </w:pPr>
      <w:r>
        <w:rPr>
          <w:rFonts w:ascii="Times New Roman" w:eastAsia="Times New Roman" w:hAnsi="Times New Roman" w:cs="Times New Roman"/>
          <w:b/>
          <w:bCs/>
          <w:i/>
          <w:iCs/>
          <w:sz w:val="16"/>
          <w:szCs w:val="16"/>
        </w:rPr>
        <w:t>Parvovirus B19 (véase “Parvovirus B19”, sección 3).</w:t>
      </w:r>
      <w:r>
        <w:t xml:space="preserve"> La sangre donada no es sometida a métodos de búsqueda de parvovirus B19 (cribado) porque la infección por</w:t>
      </w:r>
      <w:r>
        <w:br w:type="page"/>
      </w:r>
    </w:p>
    <w:p w14:paraId="7CC5A9AB" w14:textId="77777777" w:rsidR="0072615D" w:rsidRDefault="0072615D">
      <w:pPr>
        <w:pStyle w:val="Heading31"/>
        <w:keepNext/>
        <w:keepLines/>
        <w:spacing w:after="120" w:line="221" w:lineRule="auto"/>
        <w:jc w:val="center"/>
      </w:pPr>
      <w:bookmarkStart w:id="414" w:name="bookmark414"/>
      <w:bookmarkStart w:id="415" w:name="bookmark415"/>
      <w:bookmarkStart w:id="416" w:name="bookmark416"/>
      <w:r>
        <w:rPr>
          <w:b w:val="0"/>
          <w:bCs w:val="0"/>
        </w:rPr>
        <w:t xml:space="preserve">Cuadro 2.5. </w:t>
      </w:r>
      <w:r>
        <w:t>Agentes escogidos, identificados y potenciales que son</w:t>
      </w:r>
      <w:r>
        <w:br/>
        <w:t>transmitidos por transfusión</w:t>
      </w:r>
      <w:r>
        <w:rPr>
          <w:vertAlign w:val="superscript"/>
        </w:rPr>
        <w:t>1</w:t>
      </w:r>
      <w:bookmarkEnd w:id="414"/>
      <w:bookmarkEnd w:id="415"/>
      <w:bookmarkEnd w:id="416"/>
    </w:p>
    <w:tbl>
      <w:tblPr>
        <w:tblOverlap w:val="never"/>
        <w:tblW w:w="0" w:type="auto"/>
        <w:tblLayout w:type="fixed"/>
        <w:tblCellMar>
          <w:left w:w="10" w:type="dxa"/>
          <w:right w:w="10" w:type="dxa"/>
        </w:tblCellMar>
        <w:tblLook w:val="04A0" w:firstRow="1" w:lastRow="0" w:firstColumn="1" w:lastColumn="0" w:noHBand="0" w:noVBand="1"/>
      </w:tblPr>
      <w:tblGrid>
        <w:gridCol w:w="1258"/>
        <w:gridCol w:w="1747"/>
        <w:gridCol w:w="1042"/>
        <w:gridCol w:w="2683"/>
      </w:tblGrid>
      <w:tr w:rsidR="0072615D" w14:paraId="00EEAB7E" w14:textId="77777777">
        <w:tblPrEx>
          <w:tblCellMar>
            <w:top w:w="0" w:type="dxa"/>
            <w:bottom w:w="0" w:type="dxa"/>
          </w:tblCellMar>
        </w:tblPrEx>
        <w:trPr>
          <w:trHeight w:hRule="exact" w:val="240"/>
        </w:trPr>
        <w:tc>
          <w:tcPr>
            <w:tcW w:w="1258" w:type="dxa"/>
            <w:shd w:val="clear" w:color="auto" w:fill="231F20"/>
            <w:vAlign w:val="bottom"/>
          </w:tcPr>
          <w:p w14:paraId="460B0FE3"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Agentes y</w:t>
            </w:r>
          </w:p>
        </w:tc>
        <w:tc>
          <w:tcPr>
            <w:tcW w:w="1747" w:type="dxa"/>
            <w:shd w:val="clear" w:color="auto" w:fill="231F20"/>
            <w:vAlign w:val="bottom"/>
          </w:tcPr>
          <w:p w14:paraId="316D609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Transmitidos</w:t>
            </w:r>
          </w:p>
        </w:tc>
        <w:tc>
          <w:tcPr>
            <w:tcW w:w="1042" w:type="dxa"/>
            <w:shd w:val="clear" w:color="auto" w:fill="231F20"/>
            <w:vAlign w:val="bottom"/>
          </w:tcPr>
          <w:p w14:paraId="4C1F54A0"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Capacidad</w:t>
            </w:r>
          </w:p>
        </w:tc>
        <w:tc>
          <w:tcPr>
            <w:tcW w:w="2683" w:type="dxa"/>
            <w:shd w:val="clear" w:color="auto" w:fill="231F20"/>
            <w:vAlign w:val="bottom"/>
          </w:tcPr>
          <w:p w14:paraId="68FE5AC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Riesgo estimado de</w:t>
            </w:r>
          </w:p>
        </w:tc>
      </w:tr>
      <w:tr w:rsidR="0072615D" w14:paraId="489F1E82" w14:textId="77777777">
        <w:tblPrEx>
          <w:tblCellMar>
            <w:top w:w="0" w:type="dxa"/>
            <w:bottom w:w="0" w:type="dxa"/>
          </w:tblCellMar>
        </w:tblPrEx>
        <w:trPr>
          <w:trHeight w:hRule="exact" w:val="730"/>
        </w:trPr>
        <w:tc>
          <w:tcPr>
            <w:tcW w:w="1258" w:type="dxa"/>
            <w:shd w:val="clear" w:color="auto" w:fill="231F20"/>
          </w:tcPr>
          <w:p w14:paraId="5F35B0A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productos</w:t>
            </w:r>
          </w:p>
        </w:tc>
        <w:tc>
          <w:tcPr>
            <w:tcW w:w="1747" w:type="dxa"/>
            <w:shd w:val="clear" w:color="auto" w:fill="231F20"/>
          </w:tcPr>
          <w:p w14:paraId="29C6D322"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por transfusión</w:t>
            </w:r>
          </w:p>
        </w:tc>
        <w:tc>
          <w:tcPr>
            <w:tcW w:w="1042" w:type="dxa"/>
            <w:shd w:val="clear" w:color="auto" w:fill="231F20"/>
          </w:tcPr>
          <w:p w14:paraId="4B9E83D6"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patógena</w:t>
            </w:r>
          </w:p>
        </w:tc>
        <w:tc>
          <w:tcPr>
            <w:tcW w:w="2683" w:type="dxa"/>
            <w:shd w:val="clear" w:color="auto" w:fill="231F20"/>
          </w:tcPr>
          <w:p w14:paraId="1B348355"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1" w:lineRule="auto"/>
              <w:ind w:firstLine="0"/>
              <w:rPr>
                <w:sz w:val="24"/>
                <w:szCs w:val="24"/>
              </w:rPr>
            </w:pPr>
            <w:r>
              <w:rPr>
                <w:rFonts w:ascii="Arial" w:eastAsia="Arial" w:hAnsi="Arial" w:cs="Arial"/>
                <w:b/>
                <w:bCs/>
                <w:color w:val="FFFFFF"/>
                <w:w w:val="70"/>
                <w:sz w:val="24"/>
                <w:szCs w:val="24"/>
              </w:rPr>
              <w:t>contaminación por unidades (estudios estadounidenses, excepto si se señala lo contrario)</w:t>
            </w:r>
          </w:p>
        </w:tc>
      </w:tr>
    </w:tbl>
    <w:p w14:paraId="1B6237C5" w14:textId="77777777" w:rsidR="0072615D" w:rsidRDefault="0072615D">
      <w:pPr>
        <w:spacing w:after="119" w:line="1" w:lineRule="exact"/>
      </w:pPr>
    </w:p>
    <w:p w14:paraId="2202528A" w14:textId="77777777" w:rsidR="0072615D" w:rsidRDefault="0072615D">
      <w:pPr>
        <w:pStyle w:val="Tablecaption0"/>
        <w:spacing w:line="240" w:lineRule="auto"/>
        <w:ind w:left="0"/>
        <w:rPr>
          <w:sz w:val="16"/>
          <w:szCs w:val="16"/>
        </w:rPr>
      </w:pPr>
      <w:r>
        <w:rPr>
          <w:b/>
          <w:bCs/>
          <w:sz w:val="16"/>
          <w:szCs w:val="16"/>
        </w:rPr>
        <w:t>Virus que justifican las pruebas de todos los donantes de sangre</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84"/>
        <w:gridCol w:w="1253"/>
        <w:gridCol w:w="1234"/>
        <w:gridCol w:w="3197"/>
      </w:tblGrid>
      <w:tr w:rsidR="0072615D" w14:paraId="3CAC961C" w14:textId="77777777">
        <w:tblPrEx>
          <w:tblCellMar>
            <w:top w:w="0" w:type="dxa"/>
            <w:bottom w:w="0" w:type="dxa"/>
          </w:tblCellMar>
        </w:tblPrEx>
        <w:trPr>
          <w:trHeight w:hRule="exact" w:val="226"/>
          <w:jc w:val="center"/>
        </w:trPr>
        <w:tc>
          <w:tcPr>
            <w:tcW w:w="1584" w:type="dxa"/>
            <w:shd w:val="clear" w:color="auto" w:fill="FFFFFF"/>
            <w:vAlign w:val="bottom"/>
          </w:tcPr>
          <w:p w14:paraId="4E25470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VIH</w:t>
            </w:r>
          </w:p>
        </w:tc>
        <w:tc>
          <w:tcPr>
            <w:tcW w:w="1253" w:type="dxa"/>
            <w:shd w:val="clear" w:color="auto" w:fill="FFFFFF"/>
            <w:vAlign w:val="bottom"/>
          </w:tcPr>
          <w:p w14:paraId="0722E20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vAlign w:val="bottom"/>
          </w:tcPr>
          <w:p w14:paraId="60455A57"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3197" w:type="dxa"/>
            <w:tcBorders>
              <w:right w:val="single" w:sz="4" w:space="0" w:color="auto"/>
            </w:tcBorders>
            <w:shd w:val="clear" w:color="auto" w:fill="FFFFFF"/>
            <w:vAlign w:val="bottom"/>
          </w:tcPr>
          <w:p w14:paraId="5FA79FD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 en 725 000-835 000</w:t>
            </w:r>
          </w:p>
        </w:tc>
      </w:tr>
      <w:tr w:rsidR="0072615D" w14:paraId="7D215596" w14:textId="77777777">
        <w:tblPrEx>
          <w:tblCellMar>
            <w:top w:w="0" w:type="dxa"/>
            <w:bottom w:w="0" w:type="dxa"/>
          </w:tblCellMar>
        </w:tblPrEx>
        <w:trPr>
          <w:trHeight w:hRule="exact" w:val="216"/>
          <w:jc w:val="center"/>
        </w:trPr>
        <w:tc>
          <w:tcPr>
            <w:tcW w:w="1584" w:type="dxa"/>
            <w:shd w:val="clear" w:color="auto" w:fill="FFFFFF"/>
            <w:vAlign w:val="bottom"/>
          </w:tcPr>
          <w:p w14:paraId="44078C2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HCV</w:t>
            </w:r>
          </w:p>
        </w:tc>
        <w:tc>
          <w:tcPr>
            <w:tcW w:w="1253" w:type="dxa"/>
            <w:shd w:val="clear" w:color="auto" w:fill="FFFFFF"/>
            <w:vAlign w:val="bottom"/>
          </w:tcPr>
          <w:p w14:paraId="7099C30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vAlign w:val="bottom"/>
          </w:tcPr>
          <w:p w14:paraId="55DB1F0F"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3197" w:type="dxa"/>
            <w:tcBorders>
              <w:right w:val="single" w:sz="4" w:space="0" w:color="auto"/>
            </w:tcBorders>
            <w:shd w:val="clear" w:color="auto" w:fill="FFFFFF"/>
            <w:vAlign w:val="bottom"/>
          </w:tcPr>
          <w:p w14:paraId="52435BB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 en 250 000-500 000</w:t>
            </w:r>
          </w:p>
        </w:tc>
      </w:tr>
      <w:tr w:rsidR="0072615D" w14:paraId="07EDBC1E" w14:textId="77777777">
        <w:tblPrEx>
          <w:tblCellMar>
            <w:top w:w="0" w:type="dxa"/>
            <w:bottom w:w="0" w:type="dxa"/>
          </w:tblCellMar>
        </w:tblPrEx>
        <w:trPr>
          <w:trHeight w:hRule="exact" w:val="216"/>
          <w:jc w:val="center"/>
        </w:trPr>
        <w:tc>
          <w:tcPr>
            <w:tcW w:w="1584" w:type="dxa"/>
            <w:shd w:val="clear" w:color="auto" w:fill="FFFFFF"/>
            <w:vAlign w:val="bottom"/>
          </w:tcPr>
          <w:p w14:paraId="02DD55D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HBV</w:t>
            </w:r>
          </w:p>
        </w:tc>
        <w:tc>
          <w:tcPr>
            <w:tcW w:w="1253" w:type="dxa"/>
            <w:shd w:val="clear" w:color="auto" w:fill="FFFFFF"/>
            <w:vAlign w:val="bottom"/>
          </w:tcPr>
          <w:p w14:paraId="0033578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vAlign w:val="bottom"/>
          </w:tcPr>
          <w:p w14:paraId="4CB09208"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3197" w:type="dxa"/>
            <w:tcBorders>
              <w:right w:val="single" w:sz="4" w:space="0" w:color="auto"/>
            </w:tcBorders>
            <w:shd w:val="clear" w:color="auto" w:fill="FFFFFF"/>
            <w:vAlign w:val="bottom"/>
          </w:tcPr>
          <w:p w14:paraId="2CDF272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 en 63 000-500 000</w:t>
            </w:r>
          </w:p>
        </w:tc>
      </w:tr>
      <w:tr w:rsidR="0072615D" w14:paraId="74E12BDF" w14:textId="77777777">
        <w:tblPrEx>
          <w:tblCellMar>
            <w:top w:w="0" w:type="dxa"/>
            <w:bottom w:w="0" w:type="dxa"/>
          </w:tblCellMar>
        </w:tblPrEx>
        <w:trPr>
          <w:trHeight w:hRule="exact" w:val="288"/>
          <w:jc w:val="center"/>
        </w:trPr>
        <w:tc>
          <w:tcPr>
            <w:tcW w:w="1584" w:type="dxa"/>
            <w:shd w:val="clear" w:color="auto" w:fill="FFFFFF"/>
          </w:tcPr>
          <w:p w14:paraId="4656802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HTLV, tipos I y II</w:t>
            </w:r>
          </w:p>
        </w:tc>
        <w:tc>
          <w:tcPr>
            <w:tcW w:w="1253" w:type="dxa"/>
            <w:shd w:val="clear" w:color="auto" w:fill="FFFFFF"/>
          </w:tcPr>
          <w:p w14:paraId="7F7FF77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tcPr>
          <w:p w14:paraId="6B44939F"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3197" w:type="dxa"/>
            <w:tcBorders>
              <w:right w:val="single" w:sz="4" w:space="0" w:color="auto"/>
            </w:tcBorders>
            <w:shd w:val="clear" w:color="auto" w:fill="FFFFFF"/>
          </w:tcPr>
          <w:p w14:paraId="40E0386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 en 641 000</w:t>
            </w:r>
          </w:p>
        </w:tc>
      </w:tr>
      <w:tr w:rsidR="0072615D" w14:paraId="05E281DD" w14:textId="77777777">
        <w:tblPrEx>
          <w:tblCellMar>
            <w:top w:w="0" w:type="dxa"/>
            <w:bottom w:w="0" w:type="dxa"/>
          </w:tblCellMar>
        </w:tblPrEx>
        <w:trPr>
          <w:trHeight w:hRule="exact" w:val="259"/>
          <w:jc w:val="center"/>
        </w:trPr>
        <w:tc>
          <w:tcPr>
            <w:tcW w:w="1584" w:type="dxa"/>
            <w:shd w:val="clear" w:color="auto" w:fill="FFFFFF"/>
            <w:vAlign w:val="bottom"/>
          </w:tcPr>
          <w:p w14:paraId="7D5D0364"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Otros virus</w:t>
            </w:r>
          </w:p>
        </w:tc>
        <w:tc>
          <w:tcPr>
            <w:tcW w:w="1253" w:type="dxa"/>
            <w:shd w:val="clear" w:color="auto" w:fill="FFFFFF"/>
          </w:tcPr>
          <w:p w14:paraId="74581D6B" w14:textId="77777777" w:rsidR="0072615D" w:rsidRDefault="0072615D">
            <w:pPr>
              <w:rPr>
                <w:sz w:val="10"/>
                <w:szCs w:val="10"/>
              </w:rPr>
            </w:pPr>
          </w:p>
        </w:tc>
        <w:tc>
          <w:tcPr>
            <w:tcW w:w="1234" w:type="dxa"/>
            <w:shd w:val="clear" w:color="auto" w:fill="FFFFFF"/>
          </w:tcPr>
          <w:p w14:paraId="736D8914" w14:textId="77777777" w:rsidR="0072615D" w:rsidRDefault="0072615D">
            <w:pPr>
              <w:rPr>
                <w:sz w:val="10"/>
                <w:szCs w:val="10"/>
              </w:rPr>
            </w:pPr>
          </w:p>
        </w:tc>
        <w:tc>
          <w:tcPr>
            <w:tcW w:w="3197" w:type="dxa"/>
            <w:tcBorders>
              <w:right w:val="single" w:sz="4" w:space="0" w:color="auto"/>
            </w:tcBorders>
            <w:shd w:val="clear" w:color="auto" w:fill="FFFFFF"/>
          </w:tcPr>
          <w:p w14:paraId="4C30C42B" w14:textId="77777777" w:rsidR="0072615D" w:rsidRDefault="0072615D">
            <w:pPr>
              <w:rPr>
                <w:sz w:val="10"/>
                <w:szCs w:val="10"/>
              </w:rPr>
            </w:pPr>
          </w:p>
        </w:tc>
      </w:tr>
      <w:tr w:rsidR="0072615D" w14:paraId="4AA2FA41" w14:textId="77777777">
        <w:tblPrEx>
          <w:tblCellMar>
            <w:top w:w="0" w:type="dxa"/>
            <w:bottom w:w="0" w:type="dxa"/>
          </w:tblCellMar>
        </w:tblPrEx>
        <w:trPr>
          <w:trHeight w:hRule="exact" w:val="221"/>
          <w:jc w:val="center"/>
        </w:trPr>
        <w:tc>
          <w:tcPr>
            <w:tcW w:w="1584" w:type="dxa"/>
            <w:shd w:val="clear" w:color="auto" w:fill="FFFFFF"/>
            <w:vAlign w:val="bottom"/>
          </w:tcPr>
          <w:p w14:paraId="5D9C9F6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CMV</w:t>
            </w:r>
          </w:p>
        </w:tc>
        <w:tc>
          <w:tcPr>
            <w:tcW w:w="1253" w:type="dxa"/>
            <w:shd w:val="clear" w:color="auto" w:fill="FFFFFF"/>
            <w:vAlign w:val="bottom"/>
          </w:tcPr>
          <w:p w14:paraId="5C9BFB0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vAlign w:val="bottom"/>
          </w:tcPr>
          <w:p w14:paraId="66F9EF64"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3197" w:type="dxa"/>
            <w:tcBorders>
              <w:right w:val="single" w:sz="4" w:space="0" w:color="auto"/>
            </w:tcBorders>
            <w:shd w:val="clear" w:color="auto" w:fill="FFFFFF"/>
            <w:vAlign w:val="bottom"/>
          </w:tcPr>
          <w:p w14:paraId="1D61C3D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Casi todos los donantes tienen el virus</w:t>
            </w:r>
          </w:p>
        </w:tc>
      </w:tr>
      <w:tr w:rsidR="0072615D" w14:paraId="3401B46F" w14:textId="77777777">
        <w:tblPrEx>
          <w:tblCellMar>
            <w:top w:w="0" w:type="dxa"/>
            <w:bottom w:w="0" w:type="dxa"/>
          </w:tblCellMar>
        </w:tblPrEx>
        <w:trPr>
          <w:trHeight w:hRule="exact" w:val="216"/>
          <w:jc w:val="center"/>
        </w:trPr>
        <w:tc>
          <w:tcPr>
            <w:tcW w:w="1584" w:type="dxa"/>
            <w:shd w:val="clear" w:color="auto" w:fill="FFFFFF"/>
            <w:vAlign w:val="bottom"/>
          </w:tcPr>
          <w:p w14:paraId="69675FB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Parvovirus B19</w:t>
            </w:r>
          </w:p>
        </w:tc>
        <w:tc>
          <w:tcPr>
            <w:tcW w:w="1253" w:type="dxa"/>
            <w:shd w:val="clear" w:color="auto" w:fill="FFFFFF"/>
            <w:vAlign w:val="bottom"/>
          </w:tcPr>
          <w:p w14:paraId="3DCFA9A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vAlign w:val="bottom"/>
          </w:tcPr>
          <w:p w14:paraId="62AB372A"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3197" w:type="dxa"/>
            <w:tcBorders>
              <w:right w:val="single" w:sz="4" w:space="0" w:color="auto"/>
            </w:tcBorders>
            <w:shd w:val="clear" w:color="auto" w:fill="FFFFFF"/>
            <w:vAlign w:val="bottom"/>
          </w:tcPr>
          <w:p w14:paraId="5D70308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 en 10 000</w:t>
            </w:r>
          </w:p>
        </w:tc>
      </w:tr>
      <w:tr w:rsidR="0072615D" w14:paraId="4997DC83" w14:textId="77777777">
        <w:tblPrEx>
          <w:tblCellMar>
            <w:top w:w="0" w:type="dxa"/>
            <w:bottom w:w="0" w:type="dxa"/>
          </w:tblCellMar>
        </w:tblPrEx>
        <w:trPr>
          <w:trHeight w:hRule="exact" w:val="216"/>
          <w:jc w:val="center"/>
        </w:trPr>
        <w:tc>
          <w:tcPr>
            <w:tcW w:w="1584" w:type="dxa"/>
            <w:shd w:val="clear" w:color="auto" w:fill="FFFFFF"/>
          </w:tcPr>
          <w:p w14:paraId="4073CB8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HAV</w:t>
            </w:r>
          </w:p>
        </w:tc>
        <w:tc>
          <w:tcPr>
            <w:tcW w:w="1253" w:type="dxa"/>
            <w:shd w:val="clear" w:color="auto" w:fill="FFFFFF"/>
          </w:tcPr>
          <w:p w14:paraId="3555007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tcPr>
          <w:p w14:paraId="1900CFEC"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3197" w:type="dxa"/>
            <w:tcBorders>
              <w:right w:val="single" w:sz="4" w:space="0" w:color="auto"/>
            </w:tcBorders>
            <w:shd w:val="clear" w:color="auto" w:fill="FFFFFF"/>
          </w:tcPr>
          <w:p w14:paraId="4F3544A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&lt;1 en 1 millón</w:t>
            </w:r>
          </w:p>
        </w:tc>
      </w:tr>
      <w:tr w:rsidR="0072615D" w14:paraId="09FD1273" w14:textId="77777777">
        <w:tblPrEx>
          <w:tblCellMar>
            <w:top w:w="0" w:type="dxa"/>
            <w:bottom w:w="0" w:type="dxa"/>
          </w:tblCellMar>
        </w:tblPrEx>
        <w:trPr>
          <w:trHeight w:hRule="exact" w:val="211"/>
          <w:jc w:val="center"/>
        </w:trPr>
        <w:tc>
          <w:tcPr>
            <w:tcW w:w="1584" w:type="dxa"/>
            <w:shd w:val="clear" w:color="auto" w:fill="FFFFFF"/>
            <w:vAlign w:val="bottom"/>
          </w:tcPr>
          <w:p w14:paraId="61F3749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HGV</w:t>
            </w:r>
          </w:p>
        </w:tc>
        <w:tc>
          <w:tcPr>
            <w:tcW w:w="1253" w:type="dxa"/>
            <w:shd w:val="clear" w:color="auto" w:fill="FFFFFF"/>
            <w:vAlign w:val="bottom"/>
          </w:tcPr>
          <w:p w14:paraId="53CDA1D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vAlign w:val="bottom"/>
          </w:tcPr>
          <w:p w14:paraId="12C7C500"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Se desconoce</w:t>
            </w:r>
          </w:p>
        </w:tc>
        <w:tc>
          <w:tcPr>
            <w:tcW w:w="3197" w:type="dxa"/>
            <w:shd w:val="clear" w:color="auto" w:fill="FFFFFF"/>
            <w:vAlign w:val="bottom"/>
          </w:tcPr>
          <w:p w14:paraId="14DD547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1-2 en 100</w:t>
            </w:r>
          </w:p>
        </w:tc>
      </w:tr>
      <w:tr w:rsidR="0072615D" w14:paraId="30B7D010" w14:textId="77777777">
        <w:tblPrEx>
          <w:tblCellMar>
            <w:top w:w="0" w:type="dxa"/>
            <w:bottom w:w="0" w:type="dxa"/>
          </w:tblCellMar>
        </w:tblPrEx>
        <w:trPr>
          <w:trHeight w:hRule="exact" w:val="226"/>
          <w:jc w:val="center"/>
        </w:trPr>
        <w:tc>
          <w:tcPr>
            <w:tcW w:w="1584" w:type="dxa"/>
            <w:shd w:val="clear" w:color="auto" w:fill="FFFFFF"/>
            <w:vAlign w:val="bottom"/>
          </w:tcPr>
          <w:p w14:paraId="4CB97D6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TTV</w:t>
            </w:r>
          </w:p>
        </w:tc>
        <w:tc>
          <w:tcPr>
            <w:tcW w:w="1253" w:type="dxa"/>
            <w:shd w:val="clear" w:color="auto" w:fill="FFFFFF"/>
            <w:vAlign w:val="bottom"/>
          </w:tcPr>
          <w:p w14:paraId="030B9D2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vAlign w:val="bottom"/>
          </w:tcPr>
          <w:p w14:paraId="6F997DE5"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Se desconoce</w:t>
            </w:r>
          </w:p>
        </w:tc>
        <w:tc>
          <w:tcPr>
            <w:tcW w:w="3197" w:type="dxa"/>
            <w:shd w:val="clear" w:color="auto" w:fill="FFFFFF"/>
            <w:vAlign w:val="bottom"/>
          </w:tcPr>
          <w:p w14:paraId="6E7F9D0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 en 10 (Japón), 1 en 50 (Escocia)</w:t>
            </w:r>
          </w:p>
        </w:tc>
      </w:tr>
      <w:tr w:rsidR="0072615D" w14:paraId="71B4235B" w14:textId="77777777">
        <w:tblPrEx>
          <w:tblCellMar>
            <w:top w:w="0" w:type="dxa"/>
            <w:bottom w:w="0" w:type="dxa"/>
          </w:tblCellMar>
        </w:tblPrEx>
        <w:trPr>
          <w:trHeight w:hRule="exact" w:val="206"/>
          <w:jc w:val="center"/>
        </w:trPr>
        <w:tc>
          <w:tcPr>
            <w:tcW w:w="1584" w:type="dxa"/>
            <w:shd w:val="clear" w:color="auto" w:fill="FFFFFF"/>
          </w:tcPr>
          <w:p w14:paraId="16B5CA6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SEN</w:t>
            </w:r>
          </w:p>
        </w:tc>
        <w:tc>
          <w:tcPr>
            <w:tcW w:w="1253" w:type="dxa"/>
            <w:shd w:val="clear" w:color="auto" w:fill="FFFFFF"/>
          </w:tcPr>
          <w:p w14:paraId="5722D46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tcPr>
          <w:p w14:paraId="6E3AEDA5"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3197" w:type="dxa"/>
            <w:shd w:val="clear" w:color="auto" w:fill="FFFFFF"/>
          </w:tcPr>
          <w:p w14:paraId="65BBD3A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Se desconoce</w:t>
            </w:r>
          </w:p>
        </w:tc>
      </w:tr>
      <w:tr w:rsidR="0072615D" w14:paraId="59E81E28" w14:textId="77777777">
        <w:tblPrEx>
          <w:tblCellMar>
            <w:top w:w="0" w:type="dxa"/>
            <w:bottom w:w="0" w:type="dxa"/>
          </w:tblCellMar>
        </w:tblPrEx>
        <w:trPr>
          <w:trHeight w:hRule="exact" w:val="278"/>
          <w:jc w:val="center"/>
        </w:trPr>
        <w:tc>
          <w:tcPr>
            <w:tcW w:w="1584" w:type="dxa"/>
            <w:shd w:val="clear" w:color="auto" w:fill="FFFFFF"/>
          </w:tcPr>
          <w:p w14:paraId="26BD4AE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HHV-8</w:t>
            </w:r>
          </w:p>
        </w:tc>
        <w:tc>
          <w:tcPr>
            <w:tcW w:w="1253" w:type="dxa"/>
            <w:shd w:val="clear" w:color="auto" w:fill="FFFFFF"/>
          </w:tcPr>
          <w:p w14:paraId="46EF48A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Se desconoce</w:t>
            </w:r>
          </w:p>
        </w:tc>
        <w:tc>
          <w:tcPr>
            <w:tcW w:w="1234" w:type="dxa"/>
            <w:shd w:val="clear" w:color="auto" w:fill="FFFFFF"/>
          </w:tcPr>
          <w:p w14:paraId="64C3D6A2"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3197" w:type="dxa"/>
            <w:shd w:val="clear" w:color="auto" w:fill="FFFFFF"/>
          </w:tcPr>
          <w:p w14:paraId="480DF11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Se desconoce</w:t>
            </w:r>
          </w:p>
        </w:tc>
      </w:tr>
      <w:tr w:rsidR="0072615D" w14:paraId="7E033D86" w14:textId="77777777">
        <w:tblPrEx>
          <w:tblCellMar>
            <w:top w:w="0" w:type="dxa"/>
            <w:bottom w:w="0" w:type="dxa"/>
          </w:tblCellMar>
        </w:tblPrEx>
        <w:trPr>
          <w:trHeight w:hRule="exact" w:val="274"/>
          <w:jc w:val="center"/>
        </w:trPr>
        <w:tc>
          <w:tcPr>
            <w:tcW w:w="1584" w:type="dxa"/>
            <w:shd w:val="clear" w:color="auto" w:fill="FFFFFF"/>
            <w:vAlign w:val="bottom"/>
          </w:tcPr>
          <w:p w14:paraId="38D9D3F3"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Bacterias</w:t>
            </w:r>
          </w:p>
        </w:tc>
        <w:tc>
          <w:tcPr>
            <w:tcW w:w="1253" w:type="dxa"/>
            <w:shd w:val="clear" w:color="auto" w:fill="FFFFFF"/>
          </w:tcPr>
          <w:p w14:paraId="17A4EEF1" w14:textId="77777777" w:rsidR="0072615D" w:rsidRDefault="0072615D">
            <w:pPr>
              <w:rPr>
                <w:sz w:val="10"/>
                <w:szCs w:val="10"/>
              </w:rPr>
            </w:pPr>
          </w:p>
        </w:tc>
        <w:tc>
          <w:tcPr>
            <w:tcW w:w="1234" w:type="dxa"/>
            <w:shd w:val="clear" w:color="auto" w:fill="FFFFFF"/>
          </w:tcPr>
          <w:p w14:paraId="2D6F48FA" w14:textId="77777777" w:rsidR="0072615D" w:rsidRDefault="0072615D">
            <w:pPr>
              <w:rPr>
                <w:sz w:val="10"/>
                <w:szCs w:val="10"/>
              </w:rPr>
            </w:pPr>
          </w:p>
        </w:tc>
        <w:tc>
          <w:tcPr>
            <w:tcW w:w="3197" w:type="dxa"/>
            <w:shd w:val="clear" w:color="auto" w:fill="FFFFFF"/>
          </w:tcPr>
          <w:p w14:paraId="214F65DB" w14:textId="77777777" w:rsidR="0072615D" w:rsidRDefault="0072615D">
            <w:pPr>
              <w:rPr>
                <w:sz w:val="10"/>
                <w:szCs w:val="10"/>
              </w:rPr>
            </w:pPr>
          </w:p>
        </w:tc>
      </w:tr>
      <w:tr w:rsidR="0072615D" w14:paraId="33AC5A63" w14:textId="77777777">
        <w:tblPrEx>
          <w:tblCellMar>
            <w:top w:w="0" w:type="dxa"/>
            <w:bottom w:w="0" w:type="dxa"/>
          </w:tblCellMar>
        </w:tblPrEx>
        <w:trPr>
          <w:trHeight w:hRule="exact" w:val="221"/>
          <w:jc w:val="center"/>
        </w:trPr>
        <w:tc>
          <w:tcPr>
            <w:tcW w:w="1584" w:type="dxa"/>
            <w:shd w:val="clear" w:color="auto" w:fill="FFFFFF"/>
            <w:vAlign w:val="bottom"/>
          </w:tcPr>
          <w:p w14:paraId="5D5C3C0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Eritrocitos</w:t>
            </w:r>
          </w:p>
        </w:tc>
        <w:tc>
          <w:tcPr>
            <w:tcW w:w="1253" w:type="dxa"/>
            <w:shd w:val="clear" w:color="auto" w:fill="FFFFFF"/>
            <w:vAlign w:val="bottom"/>
          </w:tcPr>
          <w:p w14:paraId="3676FC2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vAlign w:val="bottom"/>
          </w:tcPr>
          <w:p w14:paraId="0DB465CC" w14:textId="77777777" w:rsidR="0072615D" w:rsidRDefault="0072615D">
            <w:pPr>
              <w:pStyle w:val="Other0"/>
              <w:spacing w:line="240" w:lineRule="auto"/>
              <w:ind w:firstLine="240"/>
              <w:jc w:val="both"/>
              <w:rPr>
                <w:sz w:val="16"/>
                <w:szCs w:val="16"/>
              </w:rPr>
            </w:pPr>
            <w:r>
              <w:rPr>
                <w:rFonts w:ascii="Times New Roman" w:eastAsia="Times New Roman" w:hAnsi="Times New Roman" w:cs="Times New Roman"/>
                <w:sz w:val="16"/>
                <w:szCs w:val="16"/>
              </w:rPr>
              <w:t>Sí</w:t>
            </w:r>
          </w:p>
        </w:tc>
        <w:tc>
          <w:tcPr>
            <w:tcW w:w="3197" w:type="dxa"/>
            <w:shd w:val="clear" w:color="auto" w:fill="FFFFFF"/>
            <w:vAlign w:val="bottom"/>
          </w:tcPr>
          <w:p w14:paraId="5CB1FFB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Varía ampliamente de un estudio a otro</w:t>
            </w:r>
          </w:p>
        </w:tc>
      </w:tr>
      <w:tr w:rsidR="0072615D" w14:paraId="79EC6384" w14:textId="77777777">
        <w:tblPrEx>
          <w:tblCellMar>
            <w:top w:w="0" w:type="dxa"/>
            <w:bottom w:w="0" w:type="dxa"/>
          </w:tblCellMar>
        </w:tblPrEx>
        <w:trPr>
          <w:trHeight w:hRule="exact" w:val="235"/>
          <w:jc w:val="center"/>
        </w:trPr>
        <w:tc>
          <w:tcPr>
            <w:tcW w:w="1584" w:type="dxa"/>
            <w:shd w:val="clear" w:color="auto" w:fill="FFFFFF"/>
            <w:vAlign w:val="bottom"/>
          </w:tcPr>
          <w:p w14:paraId="76145D4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Plaquetas</w:t>
            </w:r>
          </w:p>
        </w:tc>
        <w:tc>
          <w:tcPr>
            <w:tcW w:w="1253" w:type="dxa"/>
            <w:shd w:val="clear" w:color="auto" w:fill="FFFFFF"/>
          </w:tcPr>
          <w:p w14:paraId="064C7545" w14:textId="77777777" w:rsidR="0072615D" w:rsidRDefault="0072615D">
            <w:pPr>
              <w:rPr>
                <w:sz w:val="10"/>
                <w:szCs w:val="10"/>
              </w:rPr>
            </w:pPr>
          </w:p>
        </w:tc>
        <w:tc>
          <w:tcPr>
            <w:tcW w:w="1234" w:type="dxa"/>
            <w:shd w:val="clear" w:color="auto" w:fill="FFFFFF"/>
          </w:tcPr>
          <w:p w14:paraId="3E3B9C54" w14:textId="77777777" w:rsidR="0072615D" w:rsidRDefault="0072615D">
            <w:pPr>
              <w:rPr>
                <w:sz w:val="10"/>
                <w:szCs w:val="10"/>
              </w:rPr>
            </w:pPr>
          </w:p>
        </w:tc>
        <w:tc>
          <w:tcPr>
            <w:tcW w:w="3197" w:type="dxa"/>
            <w:shd w:val="clear" w:color="auto" w:fill="FFFFFF"/>
          </w:tcPr>
          <w:p w14:paraId="0FE90834" w14:textId="77777777" w:rsidR="0072615D" w:rsidRDefault="0072615D">
            <w:pPr>
              <w:rPr>
                <w:sz w:val="10"/>
                <w:szCs w:val="10"/>
              </w:rPr>
            </w:pPr>
          </w:p>
        </w:tc>
      </w:tr>
      <w:tr w:rsidR="0072615D" w14:paraId="79631D57" w14:textId="77777777">
        <w:tblPrEx>
          <w:tblCellMar>
            <w:top w:w="0" w:type="dxa"/>
            <w:bottom w:w="0" w:type="dxa"/>
          </w:tblCellMar>
        </w:tblPrEx>
        <w:trPr>
          <w:trHeight w:hRule="exact" w:val="197"/>
          <w:jc w:val="center"/>
        </w:trPr>
        <w:tc>
          <w:tcPr>
            <w:tcW w:w="1584" w:type="dxa"/>
            <w:shd w:val="clear" w:color="auto" w:fill="FFFFFF"/>
          </w:tcPr>
          <w:p w14:paraId="7CB2BAB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Donante aleatorio</w:t>
            </w:r>
          </w:p>
        </w:tc>
        <w:tc>
          <w:tcPr>
            <w:tcW w:w="1253" w:type="dxa"/>
            <w:shd w:val="clear" w:color="auto" w:fill="FFFFFF"/>
          </w:tcPr>
          <w:p w14:paraId="6FB29AD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tcPr>
          <w:p w14:paraId="31EAC3CF" w14:textId="77777777" w:rsidR="0072615D" w:rsidRDefault="0072615D">
            <w:pPr>
              <w:pStyle w:val="Other0"/>
              <w:spacing w:line="240" w:lineRule="auto"/>
              <w:ind w:firstLine="240"/>
              <w:jc w:val="both"/>
              <w:rPr>
                <w:sz w:val="16"/>
                <w:szCs w:val="16"/>
              </w:rPr>
            </w:pPr>
            <w:r>
              <w:rPr>
                <w:rFonts w:ascii="Times New Roman" w:eastAsia="Times New Roman" w:hAnsi="Times New Roman" w:cs="Times New Roman"/>
                <w:sz w:val="16"/>
                <w:szCs w:val="16"/>
              </w:rPr>
              <w:t>Sí</w:t>
            </w:r>
          </w:p>
        </w:tc>
        <w:tc>
          <w:tcPr>
            <w:tcW w:w="3197" w:type="dxa"/>
            <w:shd w:val="clear" w:color="auto" w:fill="FFFFFF"/>
          </w:tcPr>
          <w:p w14:paraId="16669B5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Varía ampliamente de un estudio a otro</w:t>
            </w:r>
          </w:p>
        </w:tc>
      </w:tr>
      <w:tr w:rsidR="0072615D" w14:paraId="35660870" w14:textId="77777777">
        <w:tblPrEx>
          <w:tblCellMar>
            <w:top w:w="0" w:type="dxa"/>
            <w:bottom w:w="0" w:type="dxa"/>
          </w:tblCellMar>
        </w:tblPrEx>
        <w:trPr>
          <w:trHeight w:hRule="exact" w:val="283"/>
          <w:jc w:val="center"/>
        </w:trPr>
        <w:tc>
          <w:tcPr>
            <w:tcW w:w="1584" w:type="dxa"/>
            <w:shd w:val="clear" w:color="auto" w:fill="FFFFFF"/>
          </w:tcPr>
          <w:p w14:paraId="6A699BA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Aféresis</w:t>
            </w:r>
          </w:p>
        </w:tc>
        <w:tc>
          <w:tcPr>
            <w:tcW w:w="1253" w:type="dxa"/>
            <w:shd w:val="clear" w:color="auto" w:fill="FFFFFF"/>
          </w:tcPr>
          <w:p w14:paraId="708511A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tcPr>
          <w:p w14:paraId="3C04535F" w14:textId="77777777" w:rsidR="0072615D" w:rsidRDefault="0072615D">
            <w:pPr>
              <w:pStyle w:val="Other0"/>
              <w:spacing w:line="240" w:lineRule="auto"/>
              <w:ind w:firstLine="240"/>
              <w:jc w:val="both"/>
              <w:rPr>
                <w:sz w:val="16"/>
                <w:szCs w:val="16"/>
              </w:rPr>
            </w:pPr>
            <w:r>
              <w:rPr>
                <w:rFonts w:ascii="Times New Roman" w:eastAsia="Times New Roman" w:hAnsi="Times New Roman" w:cs="Times New Roman"/>
                <w:sz w:val="16"/>
                <w:szCs w:val="16"/>
              </w:rPr>
              <w:t>Sí</w:t>
            </w:r>
          </w:p>
        </w:tc>
        <w:tc>
          <w:tcPr>
            <w:tcW w:w="3197" w:type="dxa"/>
            <w:shd w:val="clear" w:color="auto" w:fill="FFFFFF"/>
          </w:tcPr>
          <w:p w14:paraId="0CFF337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Varía ampliamente de un estudio a otro</w:t>
            </w:r>
          </w:p>
        </w:tc>
      </w:tr>
      <w:tr w:rsidR="0072615D" w14:paraId="73A811A5" w14:textId="77777777">
        <w:tblPrEx>
          <w:tblCellMar>
            <w:top w:w="0" w:type="dxa"/>
            <w:bottom w:w="0" w:type="dxa"/>
          </w:tblCellMar>
        </w:tblPrEx>
        <w:trPr>
          <w:trHeight w:hRule="exact" w:val="274"/>
          <w:jc w:val="center"/>
        </w:trPr>
        <w:tc>
          <w:tcPr>
            <w:tcW w:w="1584" w:type="dxa"/>
            <w:shd w:val="clear" w:color="auto" w:fill="FFFFFF"/>
            <w:vAlign w:val="bottom"/>
          </w:tcPr>
          <w:p w14:paraId="265E90F9"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Parásitos</w:t>
            </w:r>
            <w:r>
              <w:rPr>
                <w:rFonts w:ascii="Times New Roman" w:eastAsia="Times New Roman" w:hAnsi="Times New Roman" w:cs="Times New Roman"/>
                <w:b/>
                <w:bCs/>
                <w:sz w:val="16"/>
                <w:szCs w:val="16"/>
                <w:vertAlign w:val="superscript"/>
              </w:rPr>
              <w:footnoteReference w:id="37"/>
            </w:r>
            <w:r>
              <w:rPr>
                <w:rFonts w:ascii="Times New Roman" w:eastAsia="Times New Roman" w:hAnsi="Times New Roman" w:cs="Times New Roman"/>
                <w:b/>
                <w:bCs/>
                <w:sz w:val="16"/>
                <w:szCs w:val="16"/>
                <w:vertAlign w:val="superscript"/>
              </w:rPr>
              <w:t xml:space="preserve"> </w:t>
            </w:r>
            <w:r>
              <w:rPr>
                <w:rFonts w:ascii="Times New Roman" w:eastAsia="Times New Roman" w:hAnsi="Times New Roman" w:cs="Times New Roman"/>
                <w:b/>
                <w:bCs/>
                <w:sz w:val="16"/>
                <w:szCs w:val="16"/>
                <w:vertAlign w:val="superscript"/>
              </w:rPr>
              <w:footnoteReference w:id="38"/>
            </w:r>
            <w:r>
              <w:rPr>
                <w:rFonts w:ascii="Times New Roman" w:eastAsia="Times New Roman" w:hAnsi="Times New Roman" w:cs="Times New Roman"/>
                <w:b/>
                <w:bCs/>
                <w:sz w:val="16"/>
                <w:szCs w:val="16"/>
                <w:vertAlign w:val="superscript"/>
              </w:rPr>
              <w:t xml:space="preserve"> </w:t>
            </w:r>
            <w:r>
              <w:rPr>
                <w:rFonts w:ascii="Times New Roman" w:eastAsia="Times New Roman" w:hAnsi="Times New Roman" w:cs="Times New Roman"/>
                <w:b/>
                <w:bCs/>
                <w:sz w:val="16"/>
                <w:szCs w:val="16"/>
                <w:vertAlign w:val="superscript"/>
              </w:rPr>
              <w:footnoteReference w:id="39"/>
            </w:r>
          </w:p>
        </w:tc>
        <w:tc>
          <w:tcPr>
            <w:tcW w:w="1253" w:type="dxa"/>
            <w:shd w:val="clear" w:color="auto" w:fill="FFFFFF"/>
          </w:tcPr>
          <w:p w14:paraId="14EC6399" w14:textId="77777777" w:rsidR="0072615D" w:rsidRDefault="0072615D">
            <w:pPr>
              <w:rPr>
                <w:sz w:val="10"/>
                <w:szCs w:val="10"/>
              </w:rPr>
            </w:pPr>
          </w:p>
        </w:tc>
        <w:tc>
          <w:tcPr>
            <w:tcW w:w="1234" w:type="dxa"/>
            <w:shd w:val="clear" w:color="auto" w:fill="FFFFFF"/>
          </w:tcPr>
          <w:p w14:paraId="4BB58E77" w14:textId="77777777" w:rsidR="0072615D" w:rsidRDefault="0072615D">
            <w:pPr>
              <w:rPr>
                <w:sz w:val="10"/>
                <w:szCs w:val="10"/>
              </w:rPr>
            </w:pPr>
          </w:p>
        </w:tc>
        <w:tc>
          <w:tcPr>
            <w:tcW w:w="3197" w:type="dxa"/>
            <w:shd w:val="clear" w:color="auto" w:fill="FFFFFF"/>
          </w:tcPr>
          <w:p w14:paraId="0F2759AE" w14:textId="77777777" w:rsidR="0072615D" w:rsidRDefault="0072615D">
            <w:pPr>
              <w:rPr>
                <w:sz w:val="10"/>
                <w:szCs w:val="10"/>
              </w:rPr>
            </w:pPr>
          </w:p>
        </w:tc>
      </w:tr>
      <w:tr w:rsidR="0072615D" w14:paraId="006BD17C" w14:textId="77777777">
        <w:tblPrEx>
          <w:tblCellMar>
            <w:top w:w="0" w:type="dxa"/>
            <w:bottom w:w="0" w:type="dxa"/>
          </w:tblCellMar>
        </w:tblPrEx>
        <w:trPr>
          <w:trHeight w:hRule="exact" w:val="221"/>
          <w:jc w:val="center"/>
        </w:trPr>
        <w:tc>
          <w:tcPr>
            <w:tcW w:w="1584" w:type="dxa"/>
            <w:shd w:val="clear" w:color="auto" w:fill="FFFFFF"/>
            <w:vAlign w:val="bottom"/>
          </w:tcPr>
          <w:p w14:paraId="11B9D1F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Paludismo</w:t>
            </w:r>
          </w:p>
        </w:tc>
        <w:tc>
          <w:tcPr>
            <w:tcW w:w="1253" w:type="dxa"/>
            <w:shd w:val="clear" w:color="auto" w:fill="FFFFFF"/>
            <w:vAlign w:val="bottom"/>
          </w:tcPr>
          <w:p w14:paraId="20B7CCB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vAlign w:val="bottom"/>
          </w:tcPr>
          <w:p w14:paraId="46354ADE" w14:textId="77777777" w:rsidR="0072615D" w:rsidRDefault="0072615D">
            <w:pPr>
              <w:pStyle w:val="Other0"/>
              <w:spacing w:line="240" w:lineRule="auto"/>
              <w:ind w:firstLine="240"/>
              <w:jc w:val="both"/>
              <w:rPr>
                <w:sz w:val="16"/>
                <w:szCs w:val="16"/>
              </w:rPr>
            </w:pPr>
            <w:r>
              <w:rPr>
                <w:rFonts w:ascii="Times New Roman" w:eastAsia="Times New Roman" w:hAnsi="Times New Roman" w:cs="Times New Roman"/>
                <w:sz w:val="16"/>
                <w:szCs w:val="16"/>
              </w:rPr>
              <w:t>Sí</w:t>
            </w:r>
          </w:p>
        </w:tc>
        <w:tc>
          <w:tcPr>
            <w:tcW w:w="3197" w:type="dxa"/>
            <w:shd w:val="clear" w:color="auto" w:fill="FFFFFF"/>
            <w:vAlign w:val="bottom"/>
          </w:tcPr>
          <w:p w14:paraId="0585FDF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Varía ampliamente de un estudio a otro</w:t>
            </w:r>
          </w:p>
        </w:tc>
      </w:tr>
      <w:tr w:rsidR="0072615D" w14:paraId="02992838" w14:textId="77777777">
        <w:tblPrEx>
          <w:tblCellMar>
            <w:top w:w="0" w:type="dxa"/>
            <w:bottom w:w="0" w:type="dxa"/>
          </w:tblCellMar>
        </w:tblPrEx>
        <w:trPr>
          <w:trHeight w:hRule="exact" w:val="216"/>
          <w:jc w:val="center"/>
        </w:trPr>
        <w:tc>
          <w:tcPr>
            <w:tcW w:w="1584" w:type="dxa"/>
            <w:shd w:val="clear" w:color="auto" w:fill="FFFFFF"/>
          </w:tcPr>
          <w:p w14:paraId="435027B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Enfermedad</w:t>
            </w:r>
          </w:p>
        </w:tc>
        <w:tc>
          <w:tcPr>
            <w:tcW w:w="1253" w:type="dxa"/>
            <w:shd w:val="clear" w:color="auto" w:fill="FFFFFF"/>
          </w:tcPr>
          <w:p w14:paraId="75113F25" w14:textId="77777777" w:rsidR="0072615D" w:rsidRDefault="0072615D">
            <w:pPr>
              <w:rPr>
                <w:sz w:val="10"/>
                <w:szCs w:val="10"/>
              </w:rPr>
            </w:pPr>
          </w:p>
        </w:tc>
        <w:tc>
          <w:tcPr>
            <w:tcW w:w="1234" w:type="dxa"/>
            <w:shd w:val="clear" w:color="auto" w:fill="FFFFFF"/>
          </w:tcPr>
          <w:p w14:paraId="31B070AB" w14:textId="77777777" w:rsidR="0072615D" w:rsidRDefault="0072615D">
            <w:pPr>
              <w:rPr>
                <w:sz w:val="10"/>
                <w:szCs w:val="10"/>
              </w:rPr>
            </w:pPr>
          </w:p>
        </w:tc>
        <w:tc>
          <w:tcPr>
            <w:tcW w:w="3197" w:type="dxa"/>
            <w:shd w:val="clear" w:color="auto" w:fill="FFFFFF"/>
          </w:tcPr>
          <w:p w14:paraId="58DF1E45" w14:textId="77777777" w:rsidR="0072615D" w:rsidRDefault="0072615D">
            <w:pPr>
              <w:rPr>
                <w:sz w:val="10"/>
                <w:szCs w:val="10"/>
              </w:rPr>
            </w:pPr>
          </w:p>
        </w:tc>
      </w:tr>
      <w:tr w:rsidR="0072615D" w14:paraId="3E4FE59C" w14:textId="77777777">
        <w:tblPrEx>
          <w:tblCellMar>
            <w:top w:w="0" w:type="dxa"/>
            <w:bottom w:w="0" w:type="dxa"/>
          </w:tblCellMar>
        </w:tblPrEx>
        <w:trPr>
          <w:trHeight w:hRule="exact" w:val="230"/>
          <w:jc w:val="center"/>
        </w:trPr>
        <w:tc>
          <w:tcPr>
            <w:tcW w:w="1584" w:type="dxa"/>
            <w:shd w:val="clear" w:color="auto" w:fill="FFFFFF"/>
            <w:vAlign w:val="bottom"/>
          </w:tcPr>
          <w:p w14:paraId="48A8961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de Chagas</w:t>
            </w:r>
          </w:p>
        </w:tc>
        <w:tc>
          <w:tcPr>
            <w:tcW w:w="1253" w:type="dxa"/>
            <w:shd w:val="clear" w:color="auto" w:fill="FFFFFF"/>
          </w:tcPr>
          <w:p w14:paraId="06925DC8" w14:textId="77777777" w:rsidR="0072615D" w:rsidRDefault="0072615D">
            <w:pPr>
              <w:rPr>
                <w:sz w:val="10"/>
                <w:szCs w:val="10"/>
              </w:rPr>
            </w:pPr>
          </w:p>
        </w:tc>
        <w:tc>
          <w:tcPr>
            <w:tcW w:w="1234" w:type="dxa"/>
            <w:shd w:val="clear" w:color="auto" w:fill="FFFFFF"/>
          </w:tcPr>
          <w:p w14:paraId="382463F9" w14:textId="77777777" w:rsidR="0072615D" w:rsidRDefault="0072615D">
            <w:pPr>
              <w:rPr>
                <w:sz w:val="10"/>
                <w:szCs w:val="10"/>
              </w:rPr>
            </w:pPr>
          </w:p>
        </w:tc>
        <w:tc>
          <w:tcPr>
            <w:tcW w:w="3197" w:type="dxa"/>
            <w:shd w:val="clear" w:color="auto" w:fill="FFFFFF"/>
          </w:tcPr>
          <w:p w14:paraId="671C28A3" w14:textId="77777777" w:rsidR="0072615D" w:rsidRDefault="0072615D">
            <w:pPr>
              <w:rPr>
                <w:sz w:val="10"/>
                <w:szCs w:val="10"/>
              </w:rPr>
            </w:pPr>
          </w:p>
        </w:tc>
      </w:tr>
      <w:tr w:rsidR="0072615D" w14:paraId="130D97CF" w14:textId="77777777">
        <w:tblPrEx>
          <w:tblCellMar>
            <w:top w:w="0" w:type="dxa"/>
            <w:bottom w:w="0" w:type="dxa"/>
          </w:tblCellMar>
        </w:tblPrEx>
        <w:trPr>
          <w:trHeight w:hRule="exact" w:val="230"/>
          <w:jc w:val="center"/>
        </w:trPr>
        <w:tc>
          <w:tcPr>
            <w:tcW w:w="1584" w:type="dxa"/>
            <w:shd w:val="clear" w:color="auto" w:fill="FFFFFF"/>
          </w:tcPr>
          <w:p w14:paraId="1A2856D5"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(Tripanosoma cruzi)</w:t>
            </w:r>
          </w:p>
        </w:tc>
        <w:tc>
          <w:tcPr>
            <w:tcW w:w="1253" w:type="dxa"/>
            <w:shd w:val="clear" w:color="auto" w:fill="FFFFFF"/>
          </w:tcPr>
          <w:p w14:paraId="1897F5F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34" w:type="dxa"/>
            <w:shd w:val="clear" w:color="auto" w:fill="FFFFFF"/>
          </w:tcPr>
          <w:p w14:paraId="18C383E9" w14:textId="77777777" w:rsidR="0072615D" w:rsidRDefault="0072615D">
            <w:pPr>
              <w:pStyle w:val="Other0"/>
              <w:spacing w:line="240" w:lineRule="auto"/>
              <w:ind w:firstLine="240"/>
              <w:jc w:val="both"/>
              <w:rPr>
                <w:sz w:val="16"/>
                <w:szCs w:val="16"/>
              </w:rPr>
            </w:pPr>
            <w:r>
              <w:rPr>
                <w:rFonts w:ascii="Times New Roman" w:eastAsia="Times New Roman" w:hAnsi="Times New Roman" w:cs="Times New Roman"/>
                <w:sz w:val="16"/>
                <w:szCs w:val="16"/>
              </w:rPr>
              <w:t>Sí</w:t>
            </w:r>
          </w:p>
        </w:tc>
        <w:tc>
          <w:tcPr>
            <w:tcW w:w="3197" w:type="dxa"/>
            <w:shd w:val="clear" w:color="auto" w:fill="FFFFFF"/>
          </w:tcPr>
          <w:p w14:paraId="1FA8353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Se desconoce</w:t>
            </w:r>
          </w:p>
        </w:tc>
      </w:tr>
    </w:tbl>
    <w:p w14:paraId="0B858F1C" w14:textId="77777777" w:rsidR="0072615D" w:rsidRDefault="0072615D">
      <w:pPr>
        <w:spacing w:after="119" w:line="1" w:lineRule="exact"/>
      </w:pPr>
    </w:p>
    <w:p w14:paraId="1DCFCD69" w14:textId="77777777" w:rsidR="0072615D" w:rsidRDefault="0072615D">
      <w:pPr>
        <w:pStyle w:val="Tablecaption0"/>
        <w:spacing w:line="240" w:lineRule="auto"/>
        <w:ind w:left="0"/>
        <w:rPr>
          <w:sz w:val="16"/>
          <w:szCs w:val="16"/>
        </w:rPr>
      </w:pPr>
      <w:r>
        <w:rPr>
          <w:b/>
          <w:bCs/>
          <w:sz w:val="16"/>
          <w:szCs w:val="16"/>
        </w:rPr>
        <w:t>Enfermedades por priones</w:t>
      </w:r>
    </w:p>
    <w:tbl>
      <w:tblPr>
        <w:tblOverlap w:val="never"/>
        <w:tblW w:w="0" w:type="auto"/>
        <w:tblLayout w:type="fixed"/>
        <w:tblCellMar>
          <w:left w:w="10" w:type="dxa"/>
          <w:right w:w="10" w:type="dxa"/>
        </w:tblCellMar>
        <w:tblLook w:val="04A0" w:firstRow="1" w:lastRow="0" w:firstColumn="1" w:lastColumn="0" w:noHBand="0" w:noVBand="1"/>
      </w:tblPr>
      <w:tblGrid>
        <w:gridCol w:w="1579"/>
        <w:gridCol w:w="1258"/>
        <w:gridCol w:w="854"/>
        <w:gridCol w:w="1392"/>
      </w:tblGrid>
      <w:tr w:rsidR="0072615D" w14:paraId="14CFFA76" w14:textId="77777777">
        <w:tblPrEx>
          <w:tblCellMar>
            <w:top w:w="0" w:type="dxa"/>
            <w:bottom w:w="0" w:type="dxa"/>
          </w:tblCellMar>
        </w:tblPrEx>
        <w:trPr>
          <w:trHeight w:hRule="exact" w:val="274"/>
        </w:trPr>
        <w:tc>
          <w:tcPr>
            <w:tcW w:w="1579" w:type="dxa"/>
            <w:shd w:val="clear" w:color="auto" w:fill="FFFFFF"/>
          </w:tcPr>
          <w:p w14:paraId="4807FD6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CJD/vCJD</w:t>
            </w:r>
          </w:p>
        </w:tc>
        <w:tc>
          <w:tcPr>
            <w:tcW w:w="1258" w:type="dxa"/>
            <w:shd w:val="clear" w:color="auto" w:fill="FFFFFF"/>
          </w:tcPr>
          <w:p w14:paraId="7590299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Se desconoce</w:t>
            </w:r>
          </w:p>
        </w:tc>
        <w:tc>
          <w:tcPr>
            <w:tcW w:w="854" w:type="dxa"/>
            <w:shd w:val="clear" w:color="auto" w:fill="FFFFFF"/>
          </w:tcPr>
          <w:p w14:paraId="3699286E"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1392" w:type="dxa"/>
            <w:shd w:val="clear" w:color="auto" w:fill="FFFFFF"/>
          </w:tcPr>
          <w:p w14:paraId="2CB0C706" w14:textId="77777777" w:rsidR="0072615D" w:rsidRDefault="0072615D">
            <w:pPr>
              <w:pStyle w:val="Other0"/>
              <w:spacing w:line="240" w:lineRule="auto"/>
              <w:ind w:firstLine="0"/>
              <w:jc w:val="right"/>
              <w:rPr>
                <w:sz w:val="16"/>
                <w:szCs w:val="16"/>
              </w:rPr>
            </w:pPr>
            <w:r>
              <w:rPr>
                <w:rFonts w:ascii="Times New Roman" w:eastAsia="Times New Roman" w:hAnsi="Times New Roman" w:cs="Times New Roman"/>
                <w:sz w:val="16"/>
                <w:szCs w:val="16"/>
              </w:rPr>
              <w:t>Se desconoce</w:t>
            </w:r>
          </w:p>
        </w:tc>
      </w:tr>
      <w:tr w:rsidR="0072615D" w14:paraId="3F171DE3" w14:textId="77777777">
        <w:tblPrEx>
          <w:tblCellMar>
            <w:top w:w="0" w:type="dxa"/>
            <w:bottom w:w="0" w:type="dxa"/>
          </w:tblCellMar>
        </w:tblPrEx>
        <w:trPr>
          <w:trHeight w:hRule="exact" w:val="283"/>
        </w:trPr>
        <w:tc>
          <w:tcPr>
            <w:tcW w:w="3691" w:type="dxa"/>
            <w:gridSpan w:val="3"/>
            <w:shd w:val="clear" w:color="auto" w:fill="FFFFFF"/>
            <w:vAlign w:val="bottom"/>
          </w:tcPr>
          <w:p w14:paraId="09C84D13"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Enfermedades transmitidas por garrapatas</w:t>
            </w:r>
          </w:p>
        </w:tc>
        <w:tc>
          <w:tcPr>
            <w:tcW w:w="1392" w:type="dxa"/>
            <w:shd w:val="clear" w:color="auto" w:fill="FFFFFF"/>
          </w:tcPr>
          <w:p w14:paraId="64417AF6" w14:textId="77777777" w:rsidR="0072615D" w:rsidRDefault="0072615D">
            <w:pPr>
              <w:rPr>
                <w:sz w:val="10"/>
                <w:szCs w:val="10"/>
              </w:rPr>
            </w:pPr>
          </w:p>
        </w:tc>
      </w:tr>
      <w:tr w:rsidR="0072615D" w14:paraId="63FEF323" w14:textId="77777777">
        <w:tblPrEx>
          <w:tblCellMar>
            <w:top w:w="0" w:type="dxa"/>
            <w:bottom w:w="0" w:type="dxa"/>
          </w:tblCellMar>
        </w:tblPrEx>
        <w:trPr>
          <w:trHeight w:hRule="exact" w:val="202"/>
        </w:trPr>
        <w:tc>
          <w:tcPr>
            <w:tcW w:w="1579" w:type="dxa"/>
            <w:shd w:val="clear" w:color="auto" w:fill="FFFFFF"/>
          </w:tcPr>
          <w:p w14:paraId="74E2643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Babesia</w:t>
            </w:r>
          </w:p>
        </w:tc>
        <w:tc>
          <w:tcPr>
            <w:tcW w:w="1258" w:type="dxa"/>
            <w:shd w:val="clear" w:color="auto" w:fill="FFFFFF"/>
          </w:tcPr>
          <w:p w14:paraId="2C2C125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854" w:type="dxa"/>
            <w:shd w:val="clear" w:color="auto" w:fill="FFFFFF"/>
          </w:tcPr>
          <w:p w14:paraId="31C749AD"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1392" w:type="dxa"/>
            <w:shd w:val="clear" w:color="auto" w:fill="FFFFFF"/>
          </w:tcPr>
          <w:p w14:paraId="456237AE" w14:textId="77777777" w:rsidR="0072615D" w:rsidRDefault="0072615D">
            <w:pPr>
              <w:pStyle w:val="Other0"/>
              <w:spacing w:line="240" w:lineRule="auto"/>
              <w:ind w:firstLine="0"/>
              <w:jc w:val="right"/>
              <w:rPr>
                <w:sz w:val="16"/>
                <w:szCs w:val="16"/>
              </w:rPr>
            </w:pPr>
            <w:r>
              <w:rPr>
                <w:rFonts w:ascii="Times New Roman" w:eastAsia="Times New Roman" w:hAnsi="Times New Roman" w:cs="Times New Roman"/>
                <w:sz w:val="16"/>
                <w:szCs w:val="16"/>
              </w:rPr>
              <w:t>Se desconoce</w:t>
            </w:r>
          </w:p>
        </w:tc>
      </w:tr>
      <w:tr w:rsidR="0072615D" w14:paraId="03B70332" w14:textId="77777777">
        <w:tblPrEx>
          <w:tblCellMar>
            <w:top w:w="0" w:type="dxa"/>
            <w:bottom w:w="0" w:type="dxa"/>
          </w:tblCellMar>
        </w:tblPrEx>
        <w:trPr>
          <w:trHeight w:hRule="exact" w:val="211"/>
        </w:trPr>
        <w:tc>
          <w:tcPr>
            <w:tcW w:w="1579" w:type="dxa"/>
            <w:shd w:val="clear" w:color="auto" w:fill="FFFFFF"/>
          </w:tcPr>
          <w:p w14:paraId="46C27941"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Rickettsia rickettsii</w:t>
            </w:r>
          </w:p>
        </w:tc>
        <w:tc>
          <w:tcPr>
            <w:tcW w:w="1258" w:type="dxa"/>
            <w:shd w:val="clear" w:color="auto" w:fill="FFFFFF"/>
          </w:tcPr>
          <w:p w14:paraId="2DB28FE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854" w:type="dxa"/>
            <w:shd w:val="clear" w:color="auto" w:fill="FFFFFF"/>
          </w:tcPr>
          <w:p w14:paraId="364749DD"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1392" w:type="dxa"/>
            <w:shd w:val="clear" w:color="auto" w:fill="FFFFFF"/>
          </w:tcPr>
          <w:p w14:paraId="67E97EEC" w14:textId="77777777" w:rsidR="0072615D" w:rsidRDefault="0072615D">
            <w:pPr>
              <w:pStyle w:val="Other0"/>
              <w:spacing w:line="240" w:lineRule="auto"/>
              <w:ind w:firstLine="0"/>
              <w:jc w:val="right"/>
              <w:rPr>
                <w:sz w:val="16"/>
                <w:szCs w:val="16"/>
              </w:rPr>
            </w:pPr>
            <w:r>
              <w:rPr>
                <w:rFonts w:ascii="Times New Roman" w:eastAsia="Times New Roman" w:hAnsi="Times New Roman" w:cs="Times New Roman"/>
                <w:sz w:val="16"/>
                <w:szCs w:val="16"/>
              </w:rPr>
              <w:t>Se desconoce</w:t>
            </w:r>
          </w:p>
        </w:tc>
      </w:tr>
      <w:tr w:rsidR="0072615D" w14:paraId="12DC4415" w14:textId="77777777">
        <w:tblPrEx>
          <w:tblCellMar>
            <w:top w:w="0" w:type="dxa"/>
            <w:bottom w:w="0" w:type="dxa"/>
          </w:tblCellMar>
        </w:tblPrEx>
        <w:trPr>
          <w:trHeight w:hRule="exact" w:val="653"/>
        </w:trPr>
        <w:tc>
          <w:tcPr>
            <w:tcW w:w="1579" w:type="dxa"/>
            <w:shd w:val="clear" w:color="auto" w:fill="FFFFFF"/>
            <w:vAlign w:val="bottom"/>
          </w:tcPr>
          <w:p w14:paraId="1F025861" w14:textId="77777777" w:rsidR="0072615D" w:rsidRDefault="0072615D">
            <w:pPr>
              <w:pStyle w:val="Other0"/>
              <w:spacing w:line="283" w:lineRule="auto"/>
              <w:ind w:firstLine="0"/>
              <w:rPr>
                <w:sz w:val="16"/>
                <w:szCs w:val="16"/>
              </w:rPr>
            </w:pPr>
            <w:r>
              <w:rPr>
                <w:rFonts w:ascii="Times New Roman" w:eastAsia="Times New Roman" w:hAnsi="Times New Roman" w:cs="Times New Roman"/>
                <w:sz w:val="16"/>
                <w:szCs w:val="16"/>
              </w:rPr>
              <w:t>Fiebre por virus de garrapatas de Colorado</w:t>
            </w:r>
          </w:p>
        </w:tc>
        <w:tc>
          <w:tcPr>
            <w:tcW w:w="1258" w:type="dxa"/>
            <w:shd w:val="clear" w:color="auto" w:fill="FFFFFF"/>
            <w:vAlign w:val="bottom"/>
          </w:tcPr>
          <w:p w14:paraId="3805321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854" w:type="dxa"/>
            <w:shd w:val="clear" w:color="auto" w:fill="FFFFFF"/>
            <w:vAlign w:val="bottom"/>
          </w:tcPr>
          <w:p w14:paraId="3A5F86AE"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1392" w:type="dxa"/>
            <w:shd w:val="clear" w:color="auto" w:fill="FFFFFF"/>
            <w:vAlign w:val="bottom"/>
          </w:tcPr>
          <w:p w14:paraId="7DBE9161" w14:textId="77777777" w:rsidR="0072615D" w:rsidRDefault="0072615D">
            <w:pPr>
              <w:pStyle w:val="Other0"/>
              <w:spacing w:line="240" w:lineRule="auto"/>
              <w:ind w:firstLine="0"/>
              <w:jc w:val="right"/>
              <w:rPr>
                <w:sz w:val="16"/>
                <w:szCs w:val="16"/>
              </w:rPr>
            </w:pPr>
            <w:r>
              <w:rPr>
                <w:rFonts w:ascii="Times New Roman" w:eastAsia="Times New Roman" w:hAnsi="Times New Roman" w:cs="Times New Roman"/>
                <w:sz w:val="16"/>
                <w:szCs w:val="16"/>
              </w:rPr>
              <w:t>Se desconoce</w:t>
            </w:r>
          </w:p>
        </w:tc>
      </w:tr>
      <w:tr w:rsidR="0072615D" w14:paraId="3C5A9FD5" w14:textId="77777777">
        <w:tblPrEx>
          <w:tblCellMar>
            <w:top w:w="0" w:type="dxa"/>
            <w:bottom w:w="0" w:type="dxa"/>
          </w:tblCellMar>
        </w:tblPrEx>
        <w:trPr>
          <w:trHeight w:hRule="exact" w:val="216"/>
        </w:trPr>
        <w:tc>
          <w:tcPr>
            <w:tcW w:w="1579" w:type="dxa"/>
            <w:shd w:val="clear" w:color="auto" w:fill="FFFFFF"/>
            <w:vAlign w:val="bottom"/>
          </w:tcPr>
          <w:p w14:paraId="272C8743"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Borrelia burgdorferi</w:t>
            </w:r>
          </w:p>
        </w:tc>
        <w:tc>
          <w:tcPr>
            <w:tcW w:w="1258" w:type="dxa"/>
            <w:shd w:val="clear" w:color="auto" w:fill="FFFFFF"/>
            <w:vAlign w:val="bottom"/>
          </w:tcPr>
          <w:p w14:paraId="724DE09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Se desconoce</w:t>
            </w:r>
          </w:p>
        </w:tc>
        <w:tc>
          <w:tcPr>
            <w:tcW w:w="854" w:type="dxa"/>
            <w:shd w:val="clear" w:color="auto" w:fill="FFFFFF"/>
            <w:vAlign w:val="bottom"/>
          </w:tcPr>
          <w:p w14:paraId="30AD029A"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1392" w:type="dxa"/>
            <w:shd w:val="clear" w:color="auto" w:fill="FFFFFF"/>
            <w:vAlign w:val="bottom"/>
          </w:tcPr>
          <w:p w14:paraId="7849A562" w14:textId="77777777" w:rsidR="0072615D" w:rsidRDefault="0072615D">
            <w:pPr>
              <w:pStyle w:val="Other0"/>
              <w:spacing w:line="240" w:lineRule="auto"/>
              <w:ind w:firstLine="0"/>
              <w:jc w:val="right"/>
              <w:rPr>
                <w:sz w:val="16"/>
                <w:szCs w:val="16"/>
              </w:rPr>
            </w:pPr>
            <w:r>
              <w:rPr>
                <w:rFonts w:ascii="Times New Roman" w:eastAsia="Times New Roman" w:hAnsi="Times New Roman" w:cs="Times New Roman"/>
                <w:sz w:val="16"/>
                <w:szCs w:val="16"/>
              </w:rPr>
              <w:t>Se desconoce</w:t>
            </w:r>
          </w:p>
        </w:tc>
      </w:tr>
      <w:tr w:rsidR="0072615D" w14:paraId="21FB3874" w14:textId="77777777">
        <w:tblPrEx>
          <w:tblCellMar>
            <w:top w:w="0" w:type="dxa"/>
            <w:bottom w:w="0" w:type="dxa"/>
          </w:tblCellMar>
        </w:tblPrEx>
        <w:trPr>
          <w:trHeight w:hRule="exact" w:val="245"/>
        </w:trPr>
        <w:tc>
          <w:tcPr>
            <w:tcW w:w="1579" w:type="dxa"/>
            <w:tcBorders>
              <w:bottom w:val="single" w:sz="4" w:space="0" w:color="auto"/>
            </w:tcBorders>
            <w:shd w:val="clear" w:color="auto" w:fill="FFFFFF"/>
          </w:tcPr>
          <w:p w14:paraId="7BB2725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Ehrlichia</w:t>
            </w:r>
          </w:p>
        </w:tc>
        <w:tc>
          <w:tcPr>
            <w:tcW w:w="1258" w:type="dxa"/>
            <w:tcBorders>
              <w:bottom w:val="single" w:sz="4" w:space="0" w:color="auto"/>
            </w:tcBorders>
            <w:shd w:val="clear" w:color="auto" w:fill="FFFFFF"/>
          </w:tcPr>
          <w:p w14:paraId="07D943C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Se desconoce</w:t>
            </w:r>
          </w:p>
        </w:tc>
        <w:tc>
          <w:tcPr>
            <w:tcW w:w="854" w:type="dxa"/>
            <w:tcBorders>
              <w:bottom w:val="single" w:sz="4" w:space="0" w:color="auto"/>
            </w:tcBorders>
            <w:shd w:val="clear" w:color="auto" w:fill="FFFFFF"/>
          </w:tcPr>
          <w:p w14:paraId="350A10EB" w14:textId="77777777" w:rsidR="0072615D" w:rsidRDefault="0072615D">
            <w:pPr>
              <w:pStyle w:val="Other0"/>
              <w:spacing w:line="240" w:lineRule="auto"/>
              <w:ind w:firstLine="240"/>
              <w:rPr>
                <w:sz w:val="16"/>
                <w:szCs w:val="16"/>
              </w:rPr>
            </w:pPr>
            <w:r>
              <w:rPr>
                <w:rFonts w:ascii="Times New Roman" w:eastAsia="Times New Roman" w:hAnsi="Times New Roman" w:cs="Times New Roman"/>
                <w:sz w:val="16"/>
                <w:szCs w:val="16"/>
              </w:rPr>
              <w:t>Sí</w:t>
            </w:r>
          </w:p>
        </w:tc>
        <w:tc>
          <w:tcPr>
            <w:tcW w:w="1392" w:type="dxa"/>
            <w:tcBorders>
              <w:bottom w:val="single" w:sz="4" w:space="0" w:color="auto"/>
            </w:tcBorders>
            <w:shd w:val="clear" w:color="auto" w:fill="FFFFFF"/>
          </w:tcPr>
          <w:p w14:paraId="5E37E93A" w14:textId="77777777" w:rsidR="0072615D" w:rsidRDefault="0072615D">
            <w:pPr>
              <w:pStyle w:val="Other0"/>
              <w:spacing w:line="240" w:lineRule="auto"/>
              <w:ind w:firstLine="0"/>
              <w:jc w:val="right"/>
              <w:rPr>
                <w:sz w:val="16"/>
                <w:szCs w:val="16"/>
              </w:rPr>
            </w:pPr>
            <w:r>
              <w:rPr>
                <w:rFonts w:ascii="Times New Roman" w:eastAsia="Times New Roman" w:hAnsi="Times New Roman" w:cs="Times New Roman"/>
                <w:sz w:val="16"/>
                <w:szCs w:val="16"/>
              </w:rPr>
              <w:t>Se desconoce</w:t>
            </w:r>
          </w:p>
        </w:tc>
      </w:tr>
    </w:tbl>
    <w:p w14:paraId="3DB18093" w14:textId="77777777" w:rsidR="0072615D" w:rsidRDefault="0072615D">
      <w:pPr>
        <w:pStyle w:val="BodyText"/>
        <w:ind w:firstLine="0"/>
      </w:pPr>
      <w:r>
        <w:t>tal partícula está relativamente generalizada en los seres humanos. Las cifras de seroprevalencia en adultos donantes varía de 29 a 79%. Los cálculos de viremia por parvovirus B19 en donantes de sangre han indicado que van de 0 a 2.6 por 10 000. Al igual que el CMV, el parvovirus por lo común no ocasiona enfermedad grave en hospedadores inmunocompetentes, pero puede constituir un peligro para algunas personas (como embarazadas no inmunes, personas con hemoglobinopatías, del tipo de la enfermedad drepanocítica y la talasemia, y en sujetos inmunodeficientes). Según expertos, rara vez se transmite el parvovirus B19 de componentes hemáticos de un solo donante. Sin embargo, los derivados plasmáticos de múltiples donantes suelen incluir DNA del parvovirus B19 porque dicha partícula no tiene una cubierta de lípidos, lo cual lo vuelve resistente al tratamiento con solventes y detergentes. Los hemofílicos tienen mayores índices de seropositividad de parvovirus B19 en comparación con testigos de igual edad; sin embargo, no se ha definido la importancia clínica del parvovirus en hemofílicos. Para mejorar la seguridad, algunos fabricantes de derivados plasmáticos someten a prueba conjuntos pequeños de plasma de varios donadores para identificar DNA del parvovirus.</w:t>
      </w:r>
    </w:p>
    <w:p w14:paraId="5D9E5759"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Virus de hepatitis A (véase “Hepatitis A”, sección 3).</w:t>
      </w:r>
      <w:r>
        <w:t xml:space="preserve"> La infección con el virus mencionado (HAV) ocasiona un lapso relativamente breve de viremia y no surge un estado de portador crónico. Se han notificado algunos casos de infección postransfusional por HAV, pero son raros. En Europa, antes de 1995, en Africa del Sur y recientemente en Estados Unidos se han identificado “grupos” de infecciones por HAV transmitidas por concentrados del factor de coagulación. A semejanza del parvovirus, HAV no tiene una cubierta de lípidos y puede sobrevivir al tratamiento con solventes y detergentes.</w:t>
      </w:r>
    </w:p>
    <w:p w14:paraId="1E89EA45"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Virus de hepatitis que no pertenecen a los tipos A a E.</w:t>
      </w:r>
      <w:r>
        <w:t xml:space="preserve"> Una proporción pequeña de personas con hepatitis postransfusional y también con hepatitis de origen comunitario no arrojan datos positivos, es decir la presencia de los agentes conocidos de la hepatitis. En años recientes se ha estudiado a virus recién descubiertos como posibles agentes etiológicos. El virus de hepatitis G/el virus GB de tipo C (variantes de subtipos de un miembro de la familia </w:t>
      </w:r>
      <w:r>
        <w:rPr>
          <w:rFonts w:ascii="Times New Roman" w:eastAsia="Times New Roman" w:hAnsi="Times New Roman" w:cs="Times New Roman"/>
          <w:i/>
          <w:iCs/>
          <w:sz w:val="16"/>
          <w:szCs w:val="16"/>
        </w:rPr>
        <w:t>Flaviviridae</w:t>
      </w:r>
      <w:r>
        <w:rPr>
          <w:i/>
          <w:iCs/>
        </w:rPr>
        <w:t>)</w:t>
      </w:r>
      <w:r>
        <w:t xml:space="preserve"> y el virus TT </w:t>
      </w:r>
      <w:r>
        <w:rPr>
          <w:i/>
          <w:iCs/>
        </w:rPr>
        <w:t>(</w:t>
      </w:r>
      <w:r>
        <w:rPr>
          <w:rFonts w:ascii="Times New Roman" w:eastAsia="Times New Roman" w:hAnsi="Times New Roman" w:cs="Times New Roman"/>
          <w:i/>
          <w:iCs/>
          <w:sz w:val="16"/>
          <w:szCs w:val="16"/>
        </w:rPr>
        <w:t>TT virus</w:t>
      </w:r>
      <w:r>
        <w:rPr>
          <w:i/>
          <w:iCs/>
        </w:rPr>
        <w:t>,</w:t>
      </w:r>
      <w:r>
        <w:t xml:space="preserve"> TTV) (que recibió su nombre del paciente en el que fue aislado en el Japón) pueden identificarse en sangre de donantes y se transmiten por transfusión, pero ninguno de los dos se ha vinculado con la génesis de hepatitis postransfusional y por ello no serían virus “hepatíticos”.</w:t>
      </w:r>
    </w:p>
    <w:p w14:paraId="2BED12FD" w14:textId="77777777" w:rsidR="0072615D" w:rsidRDefault="0072615D">
      <w:pPr>
        <w:pStyle w:val="BodyText"/>
        <w:ind w:firstLine="360"/>
      </w:pPr>
      <w:r>
        <w:t>Se ha calificado al virus SEN como agente de hepatitis que no es de tipos A a E. En un estudio, se advirtió que por pruebas de suero almacenado de donantes y de personas operadas del corazón, en promedio 2% de los donantes tuvieron DNA de virus SEN (positividad), y la proporción de individuos operados del corazón que tuvieron signos de nueva infección por el virus en cuestión fue 10 veces mayor entre quienes habían recibido sangre en transfusiones, en comparación con quienes no la habían recibido. De los 12 sujetos con hepatitis que no era del tipo A a E y que recibieron sangre, 11 (92%) mostraron la presencia del virus SENV (positividad) después de la transfusión. La ampliación de esta investigación será esencial para probar que el virus mencionado muestra réplica en el interior de los hepatocitos. No existen datos que muestren que el virus mencionado es causa de insuficiencia hepática fulminante y no se ha definido su participación en la hepatitis criptógena crónica y la cirrosis.</w:t>
      </w:r>
    </w:p>
    <w:p w14:paraId="40FE370C" w14:textId="77777777" w:rsidR="0072615D" w:rsidRDefault="0072615D">
      <w:pPr>
        <w:pStyle w:val="BodyText"/>
        <w:spacing w:line="276" w:lineRule="auto"/>
        <w:ind w:firstLine="360"/>
      </w:pPr>
      <w:r>
        <w:t xml:space="preserve">No han aprobado métodos para someter a prueba a donantes, en busca de cualquiera de los virus en cuestión y tampoco hay datos que sugieran que ellas podrían ser beneficiosas. </w:t>
      </w:r>
      <w:r>
        <w:rPr>
          <w:rFonts w:ascii="Times New Roman" w:eastAsia="Times New Roman" w:hAnsi="Times New Roman" w:cs="Times New Roman"/>
          <w:b/>
          <w:bCs/>
          <w:i/>
          <w:iCs/>
          <w:sz w:val="16"/>
          <w:szCs w:val="16"/>
        </w:rPr>
        <w:t>Virus herpético humano 8.</w:t>
      </w:r>
      <w:r>
        <w:t xml:space="preserve"> El virus recién señalado </w:t>
      </w:r>
      <w:r>
        <w:rPr>
          <w:i/>
          <w:iCs/>
        </w:rPr>
        <w:t>(</w:t>
      </w:r>
      <w:r>
        <w:rPr>
          <w:rFonts w:ascii="Times New Roman" w:eastAsia="Times New Roman" w:hAnsi="Times New Roman" w:cs="Times New Roman"/>
          <w:i/>
          <w:iCs/>
          <w:sz w:val="16"/>
          <w:szCs w:val="16"/>
        </w:rPr>
        <w:t>human herpesvirus 8</w:t>
      </w:r>
      <w:r>
        <w:rPr>
          <w:i/>
          <w:iCs/>
        </w:rPr>
        <w:t>,</w:t>
      </w:r>
      <w:r>
        <w:t xml:space="preserve"> HHV-8) ha sido vinculado con el sarcoma de Kaposi en personas con infección por VIH, el mismo sarcoma pero de origen diferente (no VIH) y algunos cánceres raros. El mecanismo predominante de transmisión es el contacto sexual entre varones en Estados Unidos y el contacto no sexual íntimo en Africa. Se ha detectado DNA de dicho virus en mononucleares de sangre periférica y muestras de suero, y por ello ha surgido preocupación de que tal partícula pueda ser transmitida por la sangre y los hemoderivados. Asimismo, estudios recientes han detectado un vínculo entre las pruebas serológicas de HHV-8 y la toxicomanía con drogas inyectables. En teoría, es posible, pero no se ha detectado la transmisión de HHV-8 en investigaciones de grupos pequeños de personas que han recibido sangre de donantes en quienes se ha corroborado seropositividad de HHV-8. Asimismo, la seroprevalencia de dicha partícula en personas expuestas a sangre y hemoderivados (como personas con hemofilia), suele ser similar a tal variable entre personas sanas seronegativas respecto de VIH. Se necesita estudiar mayores poblaciones de personas que han recibido sangre o hemoderivados de sujetos con positividad de HHV-8 para valorar con mayor detalle tal posibilidad.</w:t>
      </w:r>
    </w:p>
    <w:p w14:paraId="7392979B" w14:textId="77777777" w:rsidR="0072615D" w:rsidRDefault="0072615D">
      <w:pPr>
        <w:pStyle w:val="BodyText"/>
        <w:spacing w:after="220" w:line="276" w:lineRule="auto"/>
        <w:ind w:left="400" w:firstLine="360"/>
      </w:pPr>
      <w:r>
        <w:rPr>
          <w:rFonts w:ascii="Times New Roman" w:eastAsia="Times New Roman" w:hAnsi="Times New Roman" w:cs="Times New Roman"/>
          <w:b/>
          <w:bCs/>
          <w:i/>
          <w:iCs/>
          <w:sz w:val="16"/>
          <w:szCs w:val="16"/>
        </w:rPr>
        <w:t>Virus del Nilo Occidental.</w:t>
      </w:r>
      <w:r>
        <w:t xml:space="preserve"> Se ha demostrado que el virus en cuestión es transmitido en la sangre de transfusiones. Es importante notificar a los </w:t>
      </w:r>
      <w:r>
        <w:rPr>
          <w:rFonts w:ascii="Times New Roman" w:eastAsia="Times New Roman" w:hAnsi="Times New Roman" w:cs="Times New Roman"/>
          <w:i/>
          <w:iCs/>
          <w:sz w:val="16"/>
          <w:szCs w:val="16"/>
        </w:rPr>
        <w:t>Centers for Disease Control and Prevention</w:t>
      </w:r>
      <w:r>
        <w:t xml:space="preserve"> (CDC) a través de las autoridades sanitarias estatales y locales, los casos de enfermedad por tal virus en sujetos que han recibido sangre en transfusión en el término de cuatro semanas anteriores al comienzo de la enfermedad. Hay que conservar para estudios ulteriores muestras de suero y tejidos; también hay que notificar casos de infección por el virus comentado, diagnosticada en personas que han donado sangre en el término de dos semanas de haber comenzado la enfermedad.</w:t>
      </w:r>
    </w:p>
    <w:p w14:paraId="59CF03C0" w14:textId="77777777" w:rsidR="0072615D" w:rsidRDefault="0072615D">
      <w:pPr>
        <w:pStyle w:val="BodyText"/>
        <w:spacing w:after="220"/>
        <w:ind w:firstLine="400"/>
      </w:pPr>
      <w:r>
        <w:t>BACTERIAS</w:t>
      </w:r>
    </w:p>
    <w:p w14:paraId="75CFD30F" w14:textId="77777777" w:rsidR="0072615D" w:rsidRDefault="0072615D">
      <w:pPr>
        <w:pStyle w:val="BodyText"/>
        <w:ind w:left="400"/>
      </w:pPr>
      <w:r>
        <w:t>Se han hecho grandes progresos en los aspectos de la seguridad hematológica, pero la contaminación de hemoderivados por bacterias sigue siendo una causa importante de reacciones postransfusionales. La contaminación mencionada puede aparecer durante la obtención, la preparación y la transfusión de los hemoderivados.</w:t>
      </w:r>
    </w:p>
    <w:p w14:paraId="40E0DF62" w14:textId="77777777" w:rsidR="0072615D" w:rsidRDefault="0072615D">
      <w:pPr>
        <w:pStyle w:val="BodyText"/>
        <w:spacing w:line="276" w:lineRule="auto"/>
        <w:ind w:left="400" w:firstLine="360"/>
      </w:pPr>
      <w:r>
        <w:t xml:space="preserve">Las </w:t>
      </w:r>
      <w:r>
        <w:rPr>
          <w:b/>
          <w:bCs/>
        </w:rPr>
        <w:t xml:space="preserve">plaquetas </w:t>
      </w:r>
      <w:r>
        <w:t xml:space="preserve">se almacenan a temperatura ambiente, lo que facilita la proliferación de bacterias contaminadas. Sin embargo, suele ser poca la sospecha de tal complicación y regularmente no se adoptan métodos adecuados para detectarlas. Por las razones comentadas, es posible que no se estime en toda su magnitud la contaminación bacteriana de hemoderivados y por ello no se le identifique con la frecuencia necesaria. El microorganismo que contamina predominantemente las plaquetas es </w:t>
      </w:r>
      <w:r>
        <w:rPr>
          <w:rFonts w:ascii="Times New Roman" w:eastAsia="Times New Roman" w:hAnsi="Times New Roman" w:cs="Times New Roman"/>
          <w:i/>
          <w:iCs/>
          <w:sz w:val="16"/>
          <w:szCs w:val="16"/>
        </w:rPr>
        <w:t>Staphylococcus epidermidis</w:t>
      </w:r>
      <w:r>
        <w:rPr>
          <w:i/>
          <w:iCs/>
        </w:rPr>
        <w:t>,</w:t>
      </w:r>
      <w:r>
        <w:t xml:space="preserve"> aunque ha habido señalamientos de tal problema con especies de </w:t>
      </w:r>
      <w:r>
        <w:rPr>
          <w:rFonts w:ascii="Times New Roman" w:eastAsia="Times New Roman" w:hAnsi="Times New Roman" w:cs="Times New Roman"/>
          <w:i/>
          <w:iCs/>
          <w:sz w:val="16"/>
          <w:szCs w:val="16"/>
        </w:rPr>
        <w:t>Bacillus</w:t>
      </w:r>
      <w:r>
        <w:rPr>
          <w:i/>
          <w:iCs/>
        </w:rPr>
        <w:t xml:space="preserve">, </w:t>
      </w:r>
      <w:r>
        <w:t xml:space="preserve">gérmenes más virulentos como </w:t>
      </w:r>
      <w:r>
        <w:rPr>
          <w:rFonts w:ascii="Times New Roman" w:eastAsia="Times New Roman" w:hAnsi="Times New Roman" w:cs="Times New Roman"/>
          <w:i/>
          <w:iCs/>
          <w:sz w:val="16"/>
          <w:szCs w:val="16"/>
        </w:rPr>
        <w:t>Staphylococcus aureus</w:t>
      </w:r>
      <w:r>
        <w:t xml:space="preserve"> y bacterias gramnegativas. Es posible que no identifiquen con la frecuencia debida las reacciones postransfusionales atribuibles a plaquetas contaminadas, porque en sujetos que necesitan dichos elementos son frecuentes episodios de bacteriemia por microorganismos de la piel, y quizá no se sospeche el vínculo con la transfusión.</w:t>
      </w:r>
    </w:p>
    <w:p w14:paraId="0DE6930A" w14:textId="77777777" w:rsidR="0072615D" w:rsidRDefault="0072615D">
      <w:pPr>
        <w:pStyle w:val="BodyText"/>
        <w:spacing w:after="220"/>
        <w:ind w:left="400" w:firstLine="360"/>
      </w:pPr>
      <w:r>
        <w:t xml:space="preserve">En comparación con las </w:t>
      </w:r>
      <w:r>
        <w:rPr>
          <w:b/>
          <w:bCs/>
        </w:rPr>
        <w:t>plaquetas</w:t>
      </w:r>
      <w:r>
        <w:t xml:space="preserve">, existe menor posibilidad de que las unidades de eritrocitos contengan bacterias en el momento de la transfusión porque la refrigeración destruye o inhibe la proliferación de muchas de ellas. Sin embargo, algunas, y en particular </w:t>
      </w:r>
      <w:r>
        <w:rPr>
          <w:rFonts w:ascii="Times New Roman" w:eastAsia="Times New Roman" w:hAnsi="Times New Roman" w:cs="Times New Roman"/>
          <w:i/>
          <w:iCs/>
          <w:sz w:val="16"/>
          <w:szCs w:val="16"/>
        </w:rPr>
        <w:t>Yersinia enterocolitica</w:t>
      </w:r>
      <w:r>
        <w:t xml:space="preserve">, pueden contaminar los eritrocitos que sobreviven el periodo de almacenamiento en frío. Se han corroborado casos de choque séptico y muerte atribuibles a la transmisión de Y. </w:t>
      </w:r>
      <w:r>
        <w:rPr>
          <w:rFonts w:ascii="Times New Roman" w:eastAsia="Times New Roman" w:hAnsi="Times New Roman" w:cs="Times New Roman"/>
          <w:i/>
          <w:iCs/>
          <w:sz w:val="16"/>
          <w:szCs w:val="16"/>
        </w:rPr>
        <w:t>enterocolitica</w:t>
      </w:r>
      <w:r>
        <w:t xml:space="preserve"> por sangre transfundida.</w:t>
      </w:r>
    </w:p>
    <w:p w14:paraId="61A39157" w14:textId="77777777" w:rsidR="0072615D" w:rsidRDefault="0072615D">
      <w:pPr>
        <w:pStyle w:val="BodyText"/>
        <w:spacing w:after="220"/>
        <w:ind w:left="400" w:firstLine="340"/>
      </w:pPr>
      <w:r>
        <w:t>Las cifras publicadas de sepsis bacteriana postransfusional han variado mucho, conforme a la metodología de los estudios y los métodos de detección microbiana usados. En una investigación prospectiva en múltiples instituciones (Valoración de la Frecuencia de Contaminación Bacteriana de Hemoderivados, que se acompaña de Reacciones Transfusionales [estudio BaCon]), se calculó que la cifra de bacteriemia transmitida por transfusiones era de un caso por 100 000 unidades de plaquetas de un solo donante y múltiples donantes y de un caso en cinco millones de unidades en lo tocante a los eritrocitos. En otras investigaciones en que no se exigió un cotejo e igualamiento de cultivos bacterianos, la tipificación molecular o ambos métodos, de la sangre y sus componentes y la del receptor, como ocurrió en el estudio BaCon, se identificaron cifras más altas de infección. Por ejemplo, en un estudio de vigilancia hospitalario se observó que alrededor de una de cada 13 500 transfusiones de plaquetas de un solo donador originó reacciones sépticas clínicas, tal cifra aumentó a aproximadamente un caso en 2 500 con el uso de concentrados plaquetarios de múltiples donantes.</w:t>
      </w:r>
    </w:p>
    <w:p w14:paraId="5B0BA4F9" w14:textId="77777777" w:rsidR="0072615D" w:rsidRDefault="0072615D">
      <w:pPr>
        <w:pStyle w:val="BodyText"/>
        <w:spacing w:after="220"/>
        <w:ind w:firstLine="400"/>
      </w:pPr>
      <w:r>
        <w:t>PARÁSITOS</w:t>
      </w:r>
    </w:p>
    <w:p w14:paraId="68C4D3A6" w14:textId="77777777" w:rsidR="0072615D" w:rsidRDefault="0072615D">
      <w:pPr>
        <w:pStyle w:val="BodyText"/>
        <w:ind w:left="400" w:firstLine="0"/>
      </w:pPr>
      <w:r>
        <w:t>Según señalamientos, algunos parásitos originan infecciones transmitidas por sangre en transfusión, como paludismo, enfermedad de Chagas, babesiosis, toxoplasmosis y leishmaniasis. En regiones endémicas es crucial reducir la transmisión de tales agentes por esta vía, pero el incremento de viajes a zonas endémicas y la migración de personas que en ellas viven han hecho que se refuerce la vigilancia en Estados Unidos.</w:t>
      </w:r>
    </w:p>
    <w:p w14:paraId="61F8766C" w14:textId="77777777" w:rsidR="0072615D" w:rsidRDefault="0072615D">
      <w:pPr>
        <w:pStyle w:val="BodyText"/>
        <w:spacing w:line="276" w:lineRule="auto"/>
        <w:ind w:left="400" w:firstLine="340"/>
      </w:pPr>
      <w:r>
        <w:rPr>
          <w:rFonts w:ascii="Times New Roman" w:eastAsia="Times New Roman" w:hAnsi="Times New Roman" w:cs="Times New Roman"/>
          <w:b/>
          <w:bCs/>
          <w:i/>
          <w:iCs/>
          <w:sz w:val="16"/>
          <w:szCs w:val="16"/>
        </w:rPr>
        <w:t>Paludismo (véase “Paludismo”, sección 3).</w:t>
      </w:r>
      <w:r>
        <w:t xml:space="preserve"> En los últimos 30 años ha disminuido en Estados Unidos la incidencia de paludismo postransfusional. En el último decenio la cifra varió de 0 a 0.18 casos por millón de unidades de sangre transfundida, es decir, no más de uno a dos casos por año. Casi todos los casos se han atribuido a donantes infectados que emigraron a Estados Unidos y no a estadounidenses nativos que viajaron a áreas endémicas. En la actualidad, la especie transmitida con mayor frecuencia es </w:t>
      </w:r>
      <w:r>
        <w:rPr>
          <w:rFonts w:ascii="Times New Roman" w:eastAsia="Times New Roman" w:hAnsi="Times New Roman" w:cs="Times New Roman"/>
          <w:i/>
          <w:iCs/>
          <w:sz w:val="16"/>
          <w:szCs w:val="16"/>
        </w:rPr>
        <w:t>Plasmodium falciparum</w:t>
      </w:r>
      <w:r>
        <w:rPr>
          <w:i/>
          <w:iCs/>
        </w:rPr>
        <w:t>.</w:t>
      </w:r>
      <w:r>
        <w:t xml:space="preserve"> La prevención del paludismo postransfusional depende de entrevistar a los donantes para identificar factores de riesgo vinculados con viajes o el tratamiento previo de esta enfermedad. No se cuenta con algún método aprobado de laboratorio para someter a identificación de paludismo la sangre donada.</w:t>
      </w:r>
    </w:p>
    <w:p w14:paraId="13E3F563" w14:textId="77777777" w:rsidR="0072615D" w:rsidRDefault="0072615D">
      <w:pPr>
        <w:pStyle w:val="BodyText"/>
        <w:spacing w:line="276" w:lineRule="auto"/>
        <w:ind w:left="400" w:firstLine="340"/>
      </w:pPr>
      <w:r>
        <w:rPr>
          <w:rFonts w:ascii="Times New Roman" w:eastAsia="Times New Roman" w:hAnsi="Times New Roman" w:cs="Times New Roman"/>
          <w:b/>
          <w:bCs/>
          <w:i/>
          <w:iCs/>
          <w:sz w:val="16"/>
          <w:szCs w:val="16"/>
        </w:rPr>
        <w:t>Enfermedad de Chagas (véase “Tripanosomiasis americana”, sección 3).</w:t>
      </w:r>
      <w:r>
        <w:t xml:space="preserve"> La migración de millones de personas de zonas en que es endémico </w:t>
      </w:r>
      <w:r>
        <w:rPr>
          <w:rFonts w:ascii="Times New Roman" w:eastAsia="Times New Roman" w:hAnsi="Times New Roman" w:cs="Times New Roman"/>
          <w:i/>
          <w:iCs/>
          <w:sz w:val="16"/>
          <w:szCs w:val="16"/>
        </w:rPr>
        <w:t xml:space="preserve">Trypanosoma cruzi </w:t>
      </w:r>
      <w:r>
        <w:t xml:space="preserve">(partes de América Central y del sur de México) y el incremento de los viajes internacionales han despertado inquietudes sobre la posibilidad de que la enfermedad de Chagas se transmita por transfusiones. Hasta la fecha en Estados Unidos se han notificado cinco casos de esta enfermedad transmitida por esa vía. En el estudio de donantes que posiblemente nacieron en áreas endémicas o que viajaron a ellas se han identificado anticuerpos a </w:t>
      </w:r>
      <w:r>
        <w:rPr>
          <w:rFonts w:ascii="Times New Roman" w:eastAsia="Times New Roman" w:hAnsi="Times New Roman" w:cs="Times New Roman"/>
          <w:i/>
          <w:iCs/>
          <w:sz w:val="16"/>
          <w:szCs w:val="16"/>
        </w:rPr>
        <w:t>T cruzi</w:t>
      </w:r>
      <w:r>
        <w:t xml:space="preserve"> en incluso 0.5% de los individuos estudiados. Al parecer es rara en Estados Unidos la transmisión transfusional de </w:t>
      </w:r>
      <w:r>
        <w:rPr>
          <w:rFonts w:ascii="Times New Roman" w:eastAsia="Times New Roman" w:hAnsi="Times New Roman" w:cs="Times New Roman"/>
          <w:i/>
          <w:iCs/>
          <w:sz w:val="16"/>
          <w:szCs w:val="16"/>
        </w:rPr>
        <w:t>T cruzi</w:t>
      </w:r>
      <w:r>
        <w:rPr>
          <w:i/>
          <w:iCs/>
        </w:rPr>
        <w:t>,</w:t>
      </w:r>
      <w:r>
        <w:t xml:space="preserve"> pero la falta de preguntas suficientemente sensibles y de anamnesis de donantes específicos/métodos autorizados (o ambas) ha limitado los intentos de identificar a los donantes que pudieran estar expuestos a un mayor peligro de infecciones.</w:t>
      </w:r>
    </w:p>
    <w:p w14:paraId="2B499CE0" w14:textId="77777777" w:rsidR="0072615D" w:rsidRDefault="0072615D">
      <w:pPr>
        <w:pStyle w:val="BodyText"/>
        <w:spacing w:line="283" w:lineRule="auto"/>
        <w:ind w:left="400" w:firstLine="340"/>
      </w:pPr>
      <w:r>
        <w:rPr>
          <w:rFonts w:ascii="Times New Roman" w:eastAsia="Times New Roman" w:hAnsi="Times New Roman" w:cs="Times New Roman"/>
          <w:b/>
          <w:bCs/>
          <w:i/>
          <w:iCs/>
          <w:sz w:val="16"/>
          <w:szCs w:val="16"/>
        </w:rPr>
        <w:t>Babesiosis (véase “Babesiosis”, sección 3).</w:t>
      </w:r>
      <w:r>
        <w:t xml:space="preserve"> La infección transmitida por garrapatas que con mayor frecuencia se notifica después de transfusiones en Estados Unidos es la babesiosis. Se han corroborado más de 30 casos de esta enfermedad inducida por transfusiones y casi todos fueron atribuidos a </w:t>
      </w:r>
      <w:r>
        <w:rPr>
          <w:rFonts w:ascii="Times New Roman" w:eastAsia="Times New Roman" w:hAnsi="Times New Roman" w:cs="Times New Roman"/>
          <w:i/>
          <w:iCs/>
          <w:sz w:val="16"/>
          <w:szCs w:val="16"/>
        </w:rPr>
        <w:t>Babesia microti</w:t>
      </w:r>
      <w:r>
        <w:rPr>
          <w:i/>
          <w:iCs/>
        </w:rPr>
        <w:t>,</w:t>
      </w:r>
      <w:r>
        <w:t xml:space="preserve"> pero también se ha dicho que participan </w:t>
      </w:r>
      <w:r>
        <w:rPr>
          <w:rFonts w:ascii="Times New Roman" w:eastAsia="Times New Roman" w:hAnsi="Times New Roman" w:cs="Times New Roman"/>
          <w:i/>
          <w:iCs/>
          <w:sz w:val="16"/>
          <w:szCs w:val="16"/>
        </w:rPr>
        <w:t>Babesia</w:t>
      </w:r>
      <w:r>
        <w:t xml:space="preserve"> de tipo WA1. Las </w:t>
      </w:r>
      <w:r>
        <w:rPr>
          <w:rFonts w:ascii="Times New Roman" w:eastAsia="Times New Roman" w:hAnsi="Times New Roman" w:cs="Times New Roman"/>
          <w:i/>
          <w:iCs/>
          <w:sz w:val="16"/>
          <w:szCs w:val="16"/>
        </w:rPr>
        <w:t>babesias</w:t>
      </w:r>
      <w:r>
        <w:t xml:space="preserve"> son parásitos intracelulares que infectan eritrocitos; sin embargo, como mínimo cuatro casos se han vinculado con la administración de plaquetas, que suelen contener una pequeña cantidad de eritrocitos. Casi todas las infecciones son asintomáticas, pero la babesiosis puede originar cuadros letales y graves, particularmente en ancianos o enfermos sin bazo. La infección grave puede originar anemia hemolítica, trombocitopenia e insuficiencia renal. Las encuestas que han utilizado métodos de antibióticos por inmunofluorescencia indirecta </w:t>
      </w:r>
      <w:r>
        <w:rPr>
          <w:i/>
          <w:iCs/>
        </w:rPr>
        <w:t>(</w:t>
      </w:r>
      <w:r>
        <w:rPr>
          <w:rFonts w:ascii="Times New Roman" w:eastAsia="Times New Roman" w:hAnsi="Times New Roman" w:cs="Times New Roman"/>
          <w:i/>
          <w:iCs/>
          <w:sz w:val="16"/>
          <w:szCs w:val="16"/>
        </w:rPr>
        <w:t>indirect immunofluorescence antibody</w:t>
      </w:r>
      <w:r>
        <w:rPr>
          <w:i/>
          <w:iCs/>
        </w:rPr>
        <w:t>,</w:t>
      </w:r>
      <w:r>
        <w:t xml:space="preserve"> IFA) en áreas altamente endémicas de Connecticut y Nueva York han indicado cifras de seropositividad de </w:t>
      </w:r>
      <w:r>
        <w:rPr>
          <w:rFonts w:ascii="Times New Roman" w:eastAsia="Times New Roman" w:hAnsi="Times New Roman" w:cs="Times New Roman"/>
          <w:i/>
          <w:iCs/>
          <w:sz w:val="16"/>
          <w:szCs w:val="16"/>
        </w:rPr>
        <w:t>B. microti</w:t>
      </w:r>
      <w:r>
        <w:t xml:space="preserve"> de 1.2 y 4.3%, respectivamente. En un estudio de donantes en Connecticut, 19 (56%) de 34 donantes seropositivos mostraron resultados positivos respecto del ácido nucleico tal como se identificó por la reacción en cadena de polimerasa </w:t>
      </w:r>
      <w:r>
        <w:rPr>
          <w:i/>
          <w:iCs/>
        </w:rPr>
        <w:t>(</w:t>
      </w:r>
      <w:r>
        <w:rPr>
          <w:rFonts w:ascii="Times New Roman" w:eastAsia="Times New Roman" w:hAnsi="Times New Roman" w:cs="Times New Roman"/>
          <w:i/>
          <w:iCs/>
          <w:sz w:val="16"/>
          <w:szCs w:val="16"/>
        </w:rPr>
        <w:t>polymerase chain reaction</w:t>
      </w:r>
      <w:r>
        <w:rPr>
          <w:i/>
          <w:iCs/>
        </w:rPr>
        <w:t>,</w:t>
      </w:r>
      <w:r>
        <w:t xml:space="preserve"> PCR). La sangre de tres de los 15 donantes (20%) en que hubo resultados positivos en PCR fue infectante cuando se inoculó a crimigetos, y la infección se transmitió a quienes recibieron sangre, de uno de cada cuatro donantes con resultados positivos a la reacción en cadena de polimerasa.</w:t>
      </w:r>
    </w:p>
    <w:p w14:paraId="421402E9" w14:textId="77777777" w:rsidR="0072615D" w:rsidRDefault="0072615D">
      <w:pPr>
        <w:pStyle w:val="BodyText"/>
        <w:spacing w:after="220"/>
        <w:ind w:left="400" w:firstLine="340"/>
      </w:pPr>
      <w:r>
        <w:t xml:space="preserve">En la actualidad no se dispone de un método aprobado para detectar </w:t>
      </w:r>
      <w:r>
        <w:rPr>
          <w:rFonts w:ascii="Times New Roman" w:eastAsia="Times New Roman" w:hAnsi="Times New Roman" w:cs="Times New Roman"/>
          <w:i/>
          <w:iCs/>
          <w:sz w:val="16"/>
          <w:szCs w:val="16"/>
        </w:rPr>
        <w:t>Babesia</w:t>
      </w:r>
      <w:r>
        <w:t xml:space="preserve"> en donantes. Se solicita a quienes intentan donar sangre pero que tienen antecedentes de babesiosis que no lo hagan por lapso indefinido. Los individuos con enfermedad aguda o fiebre no son candidatos para donaciones de sangre, pero los infectados a menudo no tienen síntomas o si acaso tienen sólo manifestaciones clínicas leves e inespecíficas. En suma, algunas especies de </w:t>
      </w:r>
      <w:r>
        <w:rPr>
          <w:rFonts w:ascii="Times New Roman" w:eastAsia="Times New Roman" w:hAnsi="Times New Roman" w:cs="Times New Roman"/>
          <w:i/>
          <w:iCs/>
          <w:sz w:val="16"/>
          <w:szCs w:val="16"/>
        </w:rPr>
        <w:t>Babesia</w:t>
      </w:r>
      <w:r>
        <w:t xml:space="preserve"> originan infecciones crónicas asintomáticas durante años en personas por lo demás sanas. Un método ineficaz ha sido interrogar a los donantes en cuanto a picaduras recientes de garrapatas, porque aquellos que muestran positividad, es decir, presencia de anticuerpos contra agentes transportados por garrapatas al igual que los donantes seronegativos no recuerdan haber tenido picaduras de tales artrópodos.</w:t>
      </w:r>
    </w:p>
    <w:p w14:paraId="14C06DB4" w14:textId="77777777" w:rsidR="0072615D" w:rsidRDefault="0072615D">
      <w:pPr>
        <w:pStyle w:val="BodyText"/>
        <w:spacing w:after="220"/>
        <w:ind w:left="400" w:firstLine="0"/>
      </w:pPr>
      <w:r>
        <w:t>ENCEFALOPATÍAS ESPONGIFORMES TRANSMISIBLES: ENFERMEDADES POR PRIONES</w:t>
      </w:r>
    </w:p>
    <w:p w14:paraId="353D49B0" w14:textId="77777777" w:rsidR="0072615D" w:rsidRDefault="0072615D">
      <w:pPr>
        <w:pStyle w:val="BodyText"/>
        <w:spacing w:line="276" w:lineRule="auto"/>
        <w:ind w:left="400" w:firstLine="0"/>
      </w:pPr>
      <w:r>
        <w:rPr>
          <w:rFonts w:ascii="Times New Roman" w:eastAsia="Times New Roman" w:hAnsi="Times New Roman" w:cs="Times New Roman"/>
          <w:b/>
          <w:bCs/>
          <w:i/>
          <w:iCs/>
          <w:sz w:val="16"/>
          <w:szCs w:val="16"/>
        </w:rPr>
        <w:t>Enfermedad de Creutzfeldt-Jakob y enfermedad variante del mismo nombre (véase “Priones, enfermedades”, sección 3).</w:t>
      </w:r>
      <w:r>
        <w:t xml:space="preserve"> La enfermedad de Creutzfeldt-Jakob </w:t>
      </w:r>
      <w:r>
        <w:rPr>
          <w:i/>
          <w:iCs/>
        </w:rPr>
        <w:t>(</w:t>
      </w:r>
      <w:r>
        <w:rPr>
          <w:rFonts w:ascii="Times New Roman" w:eastAsia="Times New Roman" w:hAnsi="Times New Roman" w:cs="Times New Roman"/>
          <w:i/>
          <w:iCs/>
          <w:sz w:val="16"/>
          <w:szCs w:val="16"/>
        </w:rPr>
        <w:t>Creutzfeldt-Jakob disease</w:t>
      </w:r>
      <w:r>
        <w:rPr>
          <w:i/>
          <w:iCs/>
        </w:rPr>
        <w:t>,</w:t>
      </w:r>
      <w:r>
        <w:t xml:space="preserve"> CJD) y su variante (vCJD) son trastornos neurológicos letales al parecer causados por agentes peculiares conocidos como priones (véase “Transmisibles, encefalopatías espongiformes” en Priones, enfermedades, sección 3).</w:t>
      </w:r>
    </w:p>
    <w:p w14:paraId="0B40C0BA" w14:textId="77777777" w:rsidR="0072615D" w:rsidRDefault="0072615D">
      <w:pPr>
        <w:pStyle w:val="BodyText"/>
        <w:spacing w:after="220"/>
        <w:ind w:left="400" w:firstLine="340"/>
      </w:pPr>
      <w:r>
        <w:rPr>
          <w:b/>
          <w:bCs/>
        </w:rPr>
        <w:t xml:space="preserve">CJD esporádica. </w:t>
      </w:r>
      <w:r>
        <w:t>Se ha considerado sólo especulativo el riesgo de transmitir CJD por sangre. No se han corroborado casos de CJD que hayan sido consecuencia de haber recibido sangre en transfusión, y en estudios de casos y testigos tampoco se ha identificado un vínculo entre el hecho de recibir sangre y la aparición de CJD. No se han publicado casos de CJD en individuos con cuadros hematológicos en que se necesitan transfusiones frecuentes, como la enfermedad drepanocítica y la talasemia. En los estudios de personas que recibieron sangre de donantes que más adelante presentaron CJD y la vigilancia en busca de tal enfermedad en personas con hemofilia tampoco se han obtenido pruebas de CJD transmitida por transfusión. En forma global, tales datos epidemiológicos sugieren que es muy escaso el peligro de CJD, si es que lo hay, por transfusión.</w:t>
      </w:r>
    </w:p>
    <w:p w14:paraId="4E2E669A" w14:textId="77777777" w:rsidR="0072615D" w:rsidRDefault="0072615D">
      <w:pPr>
        <w:pStyle w:val="BodyText"/>
        <w:ind w:left="400" w:firstLine="340"/>
      </w:pPr>
      <w:r>
        <w:t>A pesar de todo lo expuesto, ante la preocupación del riesgo teórico de transmisión de CJD por transfusión de sangre, convendría que no donaran dicho líquido vital personas con el diagnóstico de CJD o que están expuestos a mayor peligro de mostrarla (como quienes han recibido hormona de crecimiento obtenida de hipófisis o duramadre trasplantada, o el antecedente familiar de CJD). Además, habrá que descartar todas las unidades de sangre completa, componentes celulares de la misma y plasma que no proviene de diversos donantes, de donaciones previas. Sin embargo, no es necesario retirar de la circulación los derivados plasmáticos, porque los datos epidemiológicos y de laboratorio sugieren que tales derivados muy probablemente no transmitan el agente de CJD, y el plasma de varios donantes es sometido a fraccionamiento y preparación extensos.</w:t>
      </w:r>
    </w:p>
    <w:p w14:paraId="65230346" w14:textId="77777777" w:rsidR="0072615D" w:rsidRDefault="0072615D">
      <w:pPr>
        <w:pStyle w:val="BodyText"/>
        <w:ind w:left="400" w:firstLine="340"/>
      </w:pPr>
      <w:r>
        <w:rPr>
          <w:b/>
          <w:bCs/>
        </w:rPr>
        <w:t xml:space="preserve">CJD variante. </w:t>
      </w:r>
      <w:r>
        <w:t xml:space="preserve">En 1996 se identificó en Inglaterra una nueva variante de CJD (vCJD). Según los expertos, el agente que origina esta nueva encefalopatía espongiforme transmisible en seres humanos es el mismo que ha ocasionado el brote de encefalopatía espongiforme bovina </w:t>
      </w:r>
      <w:r>
        <w:rPr>
          <w:i/>
          <w:iCs/>
        </w:rPr>
        <w:t>(</w:t>
      </w:r>
      <w:r>
        <w:rPr>
          <w:rFonts w:ascii="Times New Roman" w:eastAsia="Times New Roman" w:hAnsi="Times New Roman" w:cs="Times New Roman"/>
          <w:i/>
          <w:iCs/>
          <w:sz w:val="16"/>
          <w:szCs w:val="16"/>
        </w:rPr>
        <w:t>bovine spongiform encephalopathy</w:t>
      </w:r>
      <w:r>
        <w:rPr>
          <w:i/>
          <w:iCs/>
        </w:rPr>
        <w:t>,</w:t>
      </w:r>
      <w:r>
        <w:t xml:space="preserve"> BSE) en Inglaterra y que fue diagnosticada inicialmente en 1986. El cuadro clínico de vCJD difiere del de CJD esporádico. En enero de 2003, se notificaron 139 casos de vCJD, 129 en Inglaterra, seis en Francia y un caso en Canadá, Irlanda, Italia y Estados Unidos, respectivamente. Los pacientes canadienses y estadounidenses residieron en Inglaterra en los lapsos clave de exposición de la población al agente BSE. Casi todos los individuos con la forma variante tuvieron menos de 30 años y algunos eran adolescentes.</w:t>
      </w:r>
    </w:p>
    <w:p w14:paraId="0B4192C3" w14:textId="77777777" w:rsidR="0072615D" w:rsidRDefault="0072615D">
      <w:pPr>
        <w:pStyle w:val="BodyText"/>
        <w:ind w:left="400" w:firstLine="340"/>
      </w:pPr>
      <w:r>
        <w:t>Hasta la fecha no se ha observado la transmisión de vCJD por sangre y hemoderivados. Sin embargo, difiere de la forma esporádica en algunos aspectos que han despertado preocupación y sospecha en cuanto a su posible capacidad de transmisión en la sangre y el plasma. Se ha detectado el prion proteínico en órganos con abundantes leucocitos como el bazo y las amígdalas de seres humanos, en personas con vCJD, pero no con la forma esporádica del trastorno. Pruebas tempranas escasas sugieren que la sangre de animales infectados en forma experimental pudiera ser infectante. En un estudio, la administración intravenosa de sangre de un cordero donante asintomático (en el punto medio de su periodo de incubación después de haber sido alimentado con cerebro de vacas infectadas con BSE) hizo que se transmitiera BSE a una sola oveja receptora. Asimismo, se ha demostrado que la administración intravenosa de tejido infectado por BSE transmite la infección en macacos.</w:t>
      </w:r>
    </w:p>
    <w:p w14:paraId="6DA7FFC1" w14:textId="77777777" w:rsidR="0072615D" w:rsidRDefault="0072615D">
      <w:pPr>
        <w:pStyle w:val="BodyText"/>
        <w:ind w:left="400" w:firstLine="340"/>
      </w:pPr>
      <w:r>
        <w:t>Habrá que suspender por tiempo indefinido las categorías siguientes de posibles donantes: personas que recibieron sangre o un hemoderivado en transfusión en Inglaterra después del primero de enero de 1980; personas que vivieron en ese país seis meses o más entre 1980 y 1986; sujetos que pasaron cinco años o más en cualquier país de Europa después del primero de enero de 1980; individuos que recibieron inyección de insulina bovina desde el primero de enero de 1980, salvo que se haya confirmado que tal hormona no fue elaborada con ganado inglés; y personal militar estadounidense en activo o retirados, personal militar civil y sus dependientes que residieron en bases militares estadounidenses en Europa seis meses o más entre el primero de enero de 1980 y el 31 de diciembre de 1990 o en cualquier base militar estadounidense en Europa seis meses o más entre el primero de enero de 1980 y el 31 de diciembre de 1996.</w:t>
      </w:r>
    </w:p>
    <w:p w14:paraId="610B82CD" w14:textId="77777777" w:rsidR="0072615D" w:rsidRDefault="0072615D">
      <w:pPr>
        <w:pStyle w:val="BodyText"/>
        <w:spacing w:after="220"/>
        <w:ind w:left="400" w:firstLine="0"/>
      </w:pPr>
      <w:r>
        <w:t>INFECCIONES TRANSMITIDAS POR ARTRÓPODOS (VÉASE MÁS ADELANTE EN ESTA SECCIÓN “PREVENCIÓN DE INFECCIONES TRANSMITIDAS POR GARRAPATAS”)</w:t>
      </w:r>
    </w:p>
    <w:p w14:paraId="11A5DDB3" w14:textId="77777777" w:rsidR="0072615D" w:rsidRDefault="0072615D">
      <w:pPr>
        <w:pStyle w:val="BodyText"/>
        <w:spacing w:after="100"/>
        <w:ind w:left="400" w:firstLine="0"/>
      </w:pPr>
      <w:r>
        <w:t xml:space="preserve">Algunos agentes transmitidos por garrapata que han surgido en fecha reciente han causado preocupación en Estados Unidos (véase más adelante en esta sección “Prevención de infecciones transmitidas por garrapatas”). La babesiosis es la infección notificada con mayor frecuencia transmitida por garrapatas y por transfusión de sangre. Otros señalamientos de agentes transmitidos por garrapatas y a su vez por transfusiones, se han limitado a un caso de fiebre maculada de las Montañas Rocosas y fiebre por garrapatas de Colorado, y un posible caso de ehrlichiosis granulocítica humana. Hasta la fecha no se señalado que </w:t>
      </w:r>
      <w:r>
        <w:rPr>
          <w:rFonts w:ascii="Times New Roman" w:eastAsia="Times New Roman" w:hAnsi="Times New Roman" w:cs="Times New Roman"/>
          <w:i/>
          <w:iCs/>
          <w:sz w:val="16"/>
          <w:szCs w:val="16"/>
        </w:rPr>
        <w:t>Borrelia burgdorferi</w:t>
      </w:r>
      <w:r>
        <w:t xml:space="preserve"> sea transmitida por sangre en transfusión, aunque la enfermedad de Lyme constituye el padecimiento transmitido por garrapatas notificado con mayor frecuencia en Estados Unidos. Las personas infectadas con los agentes en cuestión por picaduras de las garrapatas infectadas suelen estar asintomáticos o mostrar sólo síntomas clínicos leves e inespecíficos (fiebre, cefaleas, mialgias). Por esta razón, los donantes de sangre pueden sentirse sanos, pero tener en su circulación ya microorganismos que a su vez pueden ser transmitidos por la sangre en transfusión. Las estrategias para evitar las infecciones por artrópodos transmitidas en sangre en transfusión se limitan en la actualidad a retrasar tal maniobra en caso de enfermedad aguda o fiebre. No se dispone de algún método aprobado para identificar cualquiera de estos agentes en los donantes. También una medida muy inespecífica como para ser eficaz es interrogar a los donantes sobre la posibilidad de picaduras recientes por garrapatas.</w:t>
      </w:r>
    </w:p>
    <w:p w14:paraId="2336CCBC" w14:textId="77777777" w:rsidR="0072615D" w:rsidRDefault="0072615D">
      <w:pPr>
        <w:pStyle w:val="Bodytext70"/>
        <w:spacing w:after="220"/>
        <w:ind w:firstLine="400"/>
      </w:pPr>
      <w:r>
        <w:t>Mejoría en la seguridad del uso de sangre</w:t>
      </w:r>
    </w:p>
    <w:p w14:paraId="0858FE53" w14:textId="77777777" w:rsidR="0072615D" w:rsidRDefault="0072615D">
      <w:pPr>
        <w:pStyle w:val="BodyText"/>
        <w:spacing w:after="220"/>
        <w:ind w:left="400" w:firstLine="0"/>
      </w:pPr>
      <w:r>
        <w:t>Se han planteado o realizado estrategias para disminuir todavía más el peligro de transmisión de agentes infecciosos de la sangre y los hemoderivados. Se presentan a continuación algunas de estas estrategias.</w:t>
      </w:r>
    </w:p>
    <w:p w14:paraId="59216834" w14:textId="77777777" w:rsidR="0072615D" w:rsidRDefault="0072615D">
      <w:pPr>
        <w:pStyle w:val="BodyText"/>
        <w:spacing w:after="220"/>
        <w:ind w:firstLine="400"/>
      </w:pPr>
      <w:r>
        <w:t>ELIMINACIÓN DE AGENTES INFECCIOSOS</w:t>
      </w:r>
    </w:p>
    <w:p w14:paraId="71A7799D" w14:textId="77777777" w:rsidR="0072615D" w:rsidRDefault="0072615D">
      <w:pPr>
        <w:pStyle w:val="BodyText"/>
        <w:ind w:left="400" w:firstLine="0"/>
      </w:pPr>
      <w:r>
        <w:rPr>
          <w:rFonts w:ascii="Arial" w:eastAsia="Arial" w:hAnsi="Arial" w:cs="Arial"/>
          <w:b/>
          <w:bCs/>
          <w:i/>
          <w:iCs/>
          <w:w w:val="80"/>
          <w:sz w:val="20"/>
          <w:szCs w:val="20"/>
        </w:rPr>
        <w:t>Inactivación del agente.</w:t>
      </w:r>
      <w:r>
        <w:t xml:space="preserve"> Se hace tratamiento de casi todos los derivados del plasma, incluido el concentrado inmunoglobulínico intravenoso (IGIV) y los factores de coagulación para eliminar agentes infecciosos que pudieran tener a pesar de las medidas de detección. Los métodos para tal fin incluyen calor húmedo y seco, así como la aplicación de un solvente y un detergente. En Estados Unidos se cuenta con plasma de múltiples donantes para transfusión, tratado con solventes y detergentes, y también están en estudio procedimientos para tratar plasma de un solo donante. El tratamiento doble disuelve la cubierta lípida de VIH, HBV y HCV, pero no es eficaz contra virus sin la cubierta mencionada como HAV y el parvovirus B19.</w:t>
      </w:r>
    </w:p>
    <w:p w14:paraId="40F17D5D" w14:textId="77777777" w:rsidR="0072615D" w:rsidRDefault="0072615D">
      <w:pPr>
        <w:pStyle w:val="BodyText"/>
        <w:spacing w:after="220"/>
        <w:ind w:left="400" w:firstLine="340"/>
      </w:pPr>
      <w:r>
        <w:t>Por su fragilidad es más difícil inactivar patógenos en eritrocitos y plaquetas. Sin embargo, se han creado algunos métodos como añadir psoralenos, y después exponer a luz ultravioleta A, que se liga a los ácidos nucleico y bloquea la réplica de bacterias y virus. Están en marcha investigaciones de estos compuestos tratados, en seres humanos.</w:t>
      </w:r>
    </w:p>
    <w:p w14:paraId="0B63200C" w14:textId="77777777" w:rsidR="0072615D" w:rsidRDefault="0072615D">
      <w:pPr>
        <w:pStyle w:val="BodyText"/>
        <w:spacing w:after="220" w:line="259" w:lineRule="auto"/>
        <w:ind w:left="400" w:firstLine="340"/>
      </w:pPr>
      <w:r>
        <w:rPr>
          <w:rFonts w:ascii="Arial" w:eastAsia="Arial" w:hAnsi="Arial" w:cs="Arial"/>
          <w:b/>
          <w:bCs/>
          <w:i/>
          <w:iCs/>
          <w:w w:val="80"/>
          <w:sz w:val="20"/>
          <w:szCs w:val="20"/>
        </w:rPr>
        <w:t>Eliminación del agente.</w:t>
      </w:r>
      <w:r>
        <w:t xml:space="preserve"> Otra estrategia en fase de revisión en la FDA en Estados Unidos es la leucorreducción, en la cual se usan filtros para eliminar leucocitos del donante. De esta manera se disminuiría el número y cantidad de agentes intracelulares o “citoasociados” (como los virus citomegálico, de Epstein-Barr, HHV-8 y HTLV). Varios países han adoptado dicha práctica. Además, algunos expertos piensan que el riesgo teórico de transmisión de vCJD en la sangre puede disminuir si se eliminan los leucocitos. Otros beneficios más de este proceso incluirían disminuir las reacciones febriles postransfusionales desencadenadas por leucocitos y sus productos y aminorar la inmunomodulación vinculada con la transfusión.</w:t>
      </w:r>
    </w:p>
    <w:p w14:paraId="74D115DE" w14:textId="77777777" w:rsidR="0072615D" w:rsidRDefault="0072615D">
      <w:pPr>
        <w:pStyle w:val="BodyText"/>
        <w:spacing w:after="220"/>
        <w:ind w:firstLine="380"/>
      </w:pPr>
      <w:r>
        <w:t>DISMINUCIÓN DE LA EXPOSICIÓN A PRODUCTOS HEMÁTICOS</w:t>
      </w:r>
    </w:p>
    <w:p w14:paraId="1440D79E" w14:textId="77777777" w:rsidR="0072615D" w:rsidRDefault="0072615D">
      <w:pPr>
        <w:pStyle w:val="BodyText"/>
        <w:spacing w:after="220" w:line="266" w:lineRule="auto"/>
        <w:ind w:left="380" w:firstLine="0"/>
      </w:pPr>
      <w:r>
        <w:rPr>
          <w:rFonts w:ascii="Arial" w:eastAsia="Arial" w:hAnsi="Arial" w:cs="Arial"/>
          <w:b/>
          <w:bCs/>
          <w:i/>
          <w:iCs/>
          <w:w w:val="80"/>
          <w:sz w:val="20"/>
          <w:szCs w:val="20"/>
        </w:rPr>
        <w:t>Otras posibilidades además de los hemoderivados humanos.</w:t>
      </w:r>
      <w:r>
        <w:t xml:space="preserve"> Se han estudiado otros productos para usar en vez de los hemoderivados humanos. Entre las alternativas incluidas están factores de coagulación obtenidos por biotecnología (recombinantes), para usar en hemofílicos, y factores como la eritropoyetina para estimular la eritropoyesis. Otros agentes incluyen sustitutivos eritrocíticos que están en fase de estudio en seres humanos, como las hemoglobinas humanas extraídas de eritrocitos, la obtenida por biotecnología, la de tipo animal y algunas sustancias oxíporas.</w:t>
      </w:r>
    </w:p>
    <w:p w14:paraId="169C8684" w14:textId="77777777" w:rsidR="0072615D" w:rsidRDefault="0072615D">
      <w:pPr>
        <w:pStyle w:val="BodyText"/>
        <w:spacing w:line="266" w:lineRule="auto"/>
        <w:ind w:left="380" w:firstLine="340"/>
      </w:pPr>
      <w:r>
        <w:rPr>
          <w:rFonts w:ascii="Arial" w:eastAsia="Arial" w:hAnsi="Arial" w:cs="Arial"/>
          <w:b/>
          <w:bCs/>
          <w:i/>
          <w:iCs/>
          <w:w w:val="80"/>
          <w:sz w:val="20"/>
          <w:szCs w:val="20"/>
        </w:rPr>
        <w:t>Transfusión autóloga.</w:t>
      </w:r>
      <w:r>
        <w:t xml:space="preserve"> Otro método para disminuir la exposición del receptor es la transfusión autóloga. El paciente puede donar su propia sangre semanas antes de algún método quirúrgico (donación preoperatoria) o bien, hacerlo inmediatamente antes de la cirugía y reemplazarla con un expansor volumétrico (hemodilución normovolémica aguda). En uno y otros casos, si es necesario se le introducirá de nuevo su propia sangre. Con esta técnica puede haber algunos riesgos como el de contaminación bacteriana.</w:t>
      </w:r>
    </w:p>
    <w:p w14:paraId="0DE13FB0" w14:textId="77777777" w:rsidR="0072615D" w:rsidRDefault="0072615D">
      <w:pPr>
        <w:pStyle w:val="BodyText"/>
        <w:spacing w:after="220"/>
        <w:ind w:left="380" w:firstLine="340"/>
      </w:pPr>
      <w:r>
        <w:t>Dentro de esta categoría se incluyen las técnicas de reciclado de sangre (autotransfusión). En la operación se obtiene, prepara e introduce de nuevo la sangre que ha perdido el paciente.</w:t>
      </w:r>
    </w:p>
    <w:p w14:paraId="1554EC3A" w14:textId="77777777" w:rsidR="0072615D" w:rsidRDefault="0072615D">
      <w:pPr>
        <w:pStyle w:val="BodyText"/>
        <w:spacing w:after="220"/>
        <w:ind w:firstLine="380"/>
      </w:pPr>
      <w:r>
        <w:t>ESCASEZ DE DERIVADOS PLASMÁTICOS</w:t>
      </w:r>
    </w:p>
    <w:p w14:paraId="75F723C4" w14:textId="77777777" w:rsidR="0072615D" w:rsidRDefault="0072615D">
      <w:pPr>
        <w:pStyle w:val="BodyText"/>
        <w:spacing w:after="220"/>
        <w:ind w:left="380" w:firstLine="0"/>
      </w:pPr>
      <w:r>
        <w:t>Los derivados plasmáticos escasean en forma periódica; entre los factores que contribuyen a tal situación están: 1) impedimentos de la producción vinculados con cumplimientos de diverso tipo; 2) incremento del número de casos en que se emplean los productos con indicaciones que no son las más aceptadas (p. ej., IGIV); 3) desperdicio y 4) acaparamiento de producto en previsión a la escasez. Respecto de las recomendaciones para utilizar IGIV, véase “Indicaciones para el empleo de IGIV” en Concentrados IV de inmunoglobulinas, sección 1.</w:t>
      </w:r>
    </w:p>
    <w:p w14:paraId="252406F9" w14:textId="77777777" w:rsidR="0072615D" w:rsidRDefault="0072615D">
      <w:pPr>
        <w:pStyle w:val="BodyText"/>
        <w:spacing w:after="220"/>
        <w:ind w:left="380" w:firstLine="0"/>
      </w:pPr>
      <w:r>
        <w:t>ESTRATEGIAS PARA EVITAR EL DAÑO A LAS PERSONAS EXPUESTAS A SANGRE CONTAMINADA</w:t>
      </w:r>
    </w:p>
    <w:p w14:paraId="722C402B" w14:textId="77777777" w:rsidR="0072615D" w:rsidRDefault="0072615D">
      <w:pPr>
        <w:pStyle w:val="BodyText"/>
        <w:spacing w:after="220" w:line="264" w:lineRule="auto"/>
        <w:ind w:left="380" w:firstLine="0"/>
      </w:pPr>
      <w:r>
        <w:rPr>
          <w:rFonts w:ascii="Arial" w:eastAsia="Arial" w:hAnsi="Arial" w:cs="Arial"/>
          <w:b/>
          <w:bCs/>
          <w:i/>
          <w:iCs/>
          <w:w w:val="80"/>
          <w:sz w:val="20"/>
          <w:szCs w:val="20"/>
        </w:rPr>
        <w:t>Estrategias antes de la exposición.</w:t>
      </w:r>
      <w:r>
        <w:t xml:space="preserve"> Se recomienda aplicar la vacuna contra HBV en pacientes de hemopatías que reciben concentrados del factor de coagulación (véase “Hepatitis B”, sección 3); también se aplicará la vacuna contra HAV a los integrantes de tal grupo (“Hepatitis A”, sección 3).</w:t>
      </w:r>
    </w:p>
    <w:p w14:paraId="26A696ED" w14:textId="77777777" w:rsidR="0072615D" w:rsidRDefault="0072615D">
      <w:pPr>
        <w:pStyle w:val="BodyText"/>
        <w:spacing w:after="220"/>
        <w:ind w:firstLine="380"/>
      </w:pPr>
      <w:r>
        <w:t>ESTRATEGIAS PARA MEJORAR LA VIGILANCIA</w:t>
      </w:r>
    </w:p>
    <w:p w14:paraId="5FF8CBC0" w14:textId="77777777" w:rsidR="0072615D" w:rsidRDefault="0072615D">
      <w:pPr>
        <w:pStyle w:val="BodyText"/>
        <w:ind w:left="380" w:firstLine="0"/>
        <w:sectPr w:rsidR="0072615D" w:rsidSect="0072615D">
          <w:footnotePr>
            <w:numFmt w:val="chicago"/>
          </w:footnotePr>
          <w:pgSz w:w="8501" w:h="13022"/>
          <w:pgMar w:top="698" w:right="714" w:bottom="436" w:left="519" w:header="0" w:footer="3" w:gutter="0"/>
          <w:cols w:space="720"/>
          <w:noEndnote/>
          <w:docGrid w:linePitch="360"/>
          <w15:footnoteColumns w:val="1"/>
        </w:sectPr>
      </w:pPr>
      <w:r>
        <w:t xml:space="preserve">Entre los programas estadounidenses de vigilancia están los sistemas contra patógenos y enfermedades específicas (VIH, hepatitis viral) y programas orientados a donantes y </w:t>
      </w:r>
    </w:p>
    <w:p w14:paraId="66AD73CB" w14:textId="77777777" w:rsidR="0072615D" w:rsidRDefault="0072615D">
      <w:pPr>
        <w:pStyle w:val="BodyText"/>
        <w:ind w:left="380" w:firstLine="0"/>
      </w:pPr>
      <w:r>
        <w:t>receptores de sangre de productos plasmáticos. Además, se han usado para estudiar las complicaciones infecciosas de transfusiones en depósitos a gran escala de muestras de donantes y receptores.</w:t>
      </w:r>
    </w:p>
    <w:p w14:paraId="274013EE" w14:textId="77777777" w:rsidR="0072615D" w:rsidRDefault="0072615D">
      <w:pPr>
        <w:pStyle w:val="BodyText"/>
        <w:spacing w:after="560"/>
        <w:ind w:left="380" w:firstLine="340"/>
      </w:pPr>
      <w:r>
        <w:t xml:space="preserve">La vigilancia de infecciones transmitidas en transfusiones es crucial y también debe aunarse a la capacidad de investigar a brevísimo plazo los casos notificados y realizar medidas necesarias para evitar más infecciones. Es importante notificar al fabricante (o como otra alternativa, al distribuidor para que envíe tal señalamiento al fabricante), reacciones adversas graves y problemas del producto farmacológico. Los profesionales asistenciales también pueden señalar directamente estos datos a la FDA por el programa </w:t>
      </w:r>
      <w:r>
        <w:rPr>
          <w:smallCaps/>
          <w:sz w:val="20"/>
          <w:szCs w:val="20"/>
        </w:rPr>
        <w:t>M</w:t>
      </w:r>
      <w:r>
        <w:rPr>
          <w:smallCaps/>
          <w:sz w:val="18"/>
          <w:szCs w:val="18"/>
        </w:rPr>
        <w:t>ed</w:t>
      </w:r>
      <w:r>
        <w:rPr>
          <w:smallCaps/>
          <w:sz w:val="20"/>
          <w:szCs w:val="20"/>
        </w:rPr>
        <w:t>W</w:t>
      </w:r>
      <w:r>
        <w:rPr>
          <w:smallCaps/>
          <w:sz w:val="18"/>
          <w:szCs w:val="18"/>
        </w:rPr>
        <w:t>atch</w:t>
      </w:r>
      <w:r>
        <w:rPr>
          <w:smallCaps/>
          <w:sz w:val="20"/>
          <w:szCs w:val="20"/>
        </w:rPr>
        <w:t>,</w:t>
      </w:r>
      <w:r>
        <w:t xml:space="preserve"> por teléfono (1-800-FDA-1088), fax (1-800-FDA-0178), Internet (</w:t>
      </w:r>
      <w:hyperlink r:id="rId300" w:history="1">
        <w:r>
          <w:t>www.fda.gov/medwatch/report/hcp.htm</w:t>
        </w:r>
      </w:hyperlink>
      <w:r>
        <w:t xml:space="preserve">), o correo electrónico (véase </w:t>
      </w:r>
      <w:r>
        <w:rPr>
          <w:smallCaps/>
          <w:sz w:val="20"/>
          <w:szCs w:val="20"/>
        </w:rPr>
        <w:t>“M</w:t>
      </w:r>
      <w:r>
        <w:rPr>
          <w:smallCaps/>
          <w:sz w:val="18"/>
          <w:szCs w:val="18"/>
        </w:rPr>
        <w:t>ed</w:t>
      </w:r>
      <w:r>
        <w:rPr>
          <w:smallCaps/>
          <w:sz w:val="20"/>
          <w:szCs w:val="20"/>
        </w:rPr>
        <w:t>W</w:t>
      </w:r>
      <w:r>
        <w:rPr>
          <w:smallCaps/>
          <w:sz w:val="18"/>
          <w:szCs w:val="18"/>
        </w:rPr>
        <w:t>atch</w:t>
      </w:r>
      <w:r>
        <w:rPr>
          <w:smallCaps/>
          <w:sz w:val="20"/>
          <w:szCs w:val="20"/>
        </w:rPr>
        <w:t xml:space="preserve">”, </w:t>
      </w:r>
      <w:r>
        <w:t>sección 4). Se ha considerado que cada notificación voluntaria es indispensable para vigilar la inocuidad de productos biológicos.</w:t>
      </w:r>
    </w:p>
    <w:p w14:paraId="60495B7D" w14:textId="77777777" w:rsidR="0072615D" w:rsidRDefault="0072615D">
      <w:pPr>
        <w:pStyle w:val="Bodytext100"/>
      </w:pPr>
      <w:r>
        <w:rPr>
          <w:sz w:val="34"/>
          <w:szCs w:val="34"/>
        </w:rPr>
        <w:t>L</w:t>
      </w:r>
      <w:r>
        <w:t>eche materna</w:t>
      </w:r>
    </w:p>
    <w:p w14:paraId="7947B5EE" w14:textId="77777777" w:rsidR="0072615D" w:rsidRDefault="0072615D">
      <w:pPr>
        <w:pStyle w:val="BodyText"/>
        <w:ind w:left="380" w:firstLine="0"/>
      </w:pPr>
      <w:r>
        <w:t xml:space="preserve">El amamantamiento genera innumerables beneficios de salud a los lactantes, como protección contra complicaciones y muerte por enfermedades infecciosas de origen bacteriano, vírico y parasitario. Además de ser la fuente óptima de nutrición, la leche humana al estar relativamente estéril y no contaminada de patógenos ambientales, contiene factores protectores como células, anticuerpos secretorios específicos y factores innatos, como glucoconjugados, y componentes antiinflamatorios. Los pequeños amamantados tienen altas concentraciones de bifidobacterias y lactobacilos protectores en sus vías gastrointestinales, lo que mejora la resistencia a patógenos específicos. Las pruebas también indican que la leche materna puede modular el desarrollo de los sistemas inmunitarios de los pequeños. La protección que brinda la leche materna se determina con mayor nitidez en el caso de patógenos que causan infecciones de vías gastrointestinales. Además, dicho líquido al parecer protege de otitis media, infección invasora por </w:t>
      </w:r>
      <w:r>
        <w:rPr>
          <w:rFonts w:ascii="Times New Roman" w:eastAsia="Times New Roman" w:hAnsi="Times New Roman" w:cs="Times New Roman"/>
          <w:i/>
          <w:iCs/>
          <w:sz w:val="16"/>
          <w:szCs w:val="16"/>
        </w:rPr>
        <w:t>Haemophilus influenzae</w:t>
      </w:r>
      <w:r>
        <w:t xml:space="preserve"> tipo b o por virus sincitial respiratorio y de otras causas de infecciones de la zona alta y baja de las vías respiratorias.</w:t>
      </w:r>
    </w:p>
    <w:p w14:paraId="4F1B5E66" w14:textId="77777777" w:rsidR="0072615D" w:rsidRDefault="0072615D">
      <w:pPr>
        <w:pStyle w:val="BodyText"/>
        <w:spacing w:after="400" w:line="276" w:lineRule="auto"/>
        <w:ind w:left="380" w:firstLine="340"/>
        <w:sectPr w:rsidR="0072615D" w:rsidSect="0072615D">
          <w:headerReference w:type="even" r:id="rId301"/>
          <w:headerReference w:type="default" r:id="rId302"/>
          <w:footerReference w:type="even" r:id="rId303"/>
          <w:footerReference w:type="default" r:id="rId304"/>
          <w:footnotePr>
            <w:numFmt w:val="chicago"/>
          </w:footnotePr>
          <w:type w:val="continuous"/>
          <w:pgSz w:w="8501" w:h="13022"/>
          <w:pgMar w:top="698" w:right="714" w:bottom="436" w:left="519" w:header="0" w:footer="8" w:gutter="0"/>
          <w:cols w:space="720"/>
          <w:noEndnote/>
          <w:docGrid w:linePitch="360"/>
          <w15:footnoteColumns w:val="1"/>
        </w:sectPr>
      </w:pPr>
      <w:r>
        <w:t xml:space="preserve">Las declaraciones de la </w:t>
      </w:r>
      <w:r>
        <w:rPr>
          <w:rFonts w:ascii="Times New Roman" w:eastAsia="Times New Roman" w:hAnsi="Times New Roman" w:cs="Times New Roman"/>
          <w:i/>
          <w:iCs/>
          <w:sz w:val="16"/>
          <w:szCs w:val="16"/>
        </w:rPr>
        <w:t>American Academy of Pediatrics</w:t>
      </w:r>
      <w:r>
        <w:t xml:space="preserve"> (AAP) en sus publicaciones incluyen un manual de alimentación infantil que aporta datos más detallados sobre los beneficios del amamantamiento y las prácticas recomendadas en ese sentido.</w:t>
      </w:r>
      <w:r>
        <w:footnoteReference w:id="40"/>
      </w:r>
      <w:r>
        <w:t xml:space="preserve"> En el </w:t>
      </w:r>
      <w:r>
        <w:rPr>
          <w:rFonts w:ascii="Times New Roman" w:eastAsia="Times New Roman" w:hAnsi="Times New Roman" w:cs="Times New Roman"/>
          <w:i/>
          <w:iCs/>
          <w:sz w:val="16"/>
          <w:szCs w:val="16"/>
        </w:rPr>
        <w:t>Pediatric Nutrition Handbook</w:t>
      </w:r>
      <w:r>
        <w:t xml:space="preserve"> y en la declaración de principios de la AAP sobre leche maternal se exponen temas como la inmunización de las mujeres que amamantan a su hijo y a los pequeños amamantados, transmisión de agentes infecciosos por la leche humana y efectos potenciales que tienen los antimicrobianos administrados a la madre, en los pequeños amamantados.</w:t>
      </w:r>
    </w:p>
    <w:p w14:paraId="68016178" w14:textId="77777777" w:rsidR="0072615D" w:rsidRDefault="0072615D">
      <w:pPr>
        <w:pStyle w:val="BodyText"/>
        <w:ind w:left="380" w:firstLine="0"/>
      </w:pPr>
      <w:r>
        <w:t>receptores de sangre de productos plasmáticos. Además, se han usado para estudiar las complicaciones infecciosas de transfusiones en depósitos a gran escala de muestras de donantes y receptores.</w:t>
      </w:r>
    </w:p>
    <w:p w14:paraId="18052072" w14:textId="77777777" w:rsidR="0072615D" w:rsidRDefault="0072615D">
      <w:pPr>
        <w:pStyle w:val="BodyText"/>
        <w:spacing w:after="560"/>
        <w:ind w:left="380" w:firstLine="340"/>
      </w:pPr>
      <w:r>
        <w:t xml:space="preserve">La vigilancia de infecciones transmitidas en transfusiones es crucial y también debe aunarse a la capacidad de investigar a brevísimo plazo los casos notificados y realizar medidas necesarias para evitar más infecciones. Es importante notificar al fabricante (o como otra alternativa, al distribuidor para que envíe tal señalamiento al fabricante), reacciones adversas graves y problemas del producto farmacológico. Los profesionales asistenciales también pueden señalar directamente estos datos a la FDA por el programa </w:t>
      </w:r>
      <w:r>
        <w:rPr>
          <w:smallCaps/>
          <w:sz w:val="20"/>
          <w:szCs w:val="20"/>
        </w:rPr>
        <w:t>M</w:t>
      </w:r>
      <w:r>
        <w:rPr>
          <w:smallCaps/>
          <w:sz w:val="18"/>
          <w:szCs w:val="18"/>
        </w:rPr>
        <w:t>ed</w:t>
      </w:r>
      <w:r>
        <w:rPr>
          <w:smallCaps/>
          <w:sz w:val="20"/>
          <w:szCs w:val="20"/>
        </w:rPr>
        <w:t>W</w:t>
      </w:r>
      <w:r>
        <w:rPr>
          <w:smallCaps/>
          <w:sz w:val="18"/>
          <w:szCs w:val="18"/>
        </w:rPr>
        <w:t>atch</w:t>
      </w:r>
      <w:r>
        <w:rPr>
          <w:smallCaps/>
          <w:sz w:val="20"/>
          <w:szCs w:val="20"/>
        </w:rPr>
        <w:t>,</w:t>
      </w:r>
      <w:r>
        <w:t xml:space="preserve"> por teléfono (1-800-FDA-1088), fax (1-800-FDA-0178), Internet (</w:t>
      </w:r>
      <w:hyperlink r:id="rId305" w:history="1">
        <w:r>
          <w:t>www.fda.gov/medwatch/report/hcp.htm</w:t>
        </w:r>
      </w:hyperlink>
      <w:r>
        <w:t xml:space="preserve">), o correo electrónico (véase </w:t>
      </w:r>
      <w:r>
        <w:rPr>
          <w:smallCaps/>
          <w:sz w:val="20"/>
          <w:szCs w:val="20"/>
        </w:rPr>
        <w:t>“M</w:t>
      </w:r>
      <w:r>
        <w:rPr>
          <w:smallCaps/>
          <w:sz w:val="18"/>
          <w:szCs w:val="18"/>
        </w:rPr>
        <w:t>ed</w:t>
      </w:r>
      <w:r>
        <w:rPr>
          <w:smallCaps/>
          <w:sz w:val="20"/>
          <w:szCs w:val="20"/>
        </w:rPr>
        <w:t>W</w:t>
      </w:r>
      <w:r>
        <w:rPr>
          <w:smallCaps/>
          <w:sz w:val="18"/>
          <w:szCs w:val="18"/>
        </w:rPr>
        <w:t>atch</w:t>
      </w:r>
      <w:r>
        <w:rPr>
          <w:smallCaps/>
          <w:sz w:val="20"/>
          <w:szCs w:val="20"/>
        </w:rPr>
        <w:t xml:space="preserve">”, </w:t>
      </w:r>
      <w:r>
        <w:t>sección 4). Se ha considerado que cada notificación voluntaria es indispensable para vigilar la inocuidad de productos biológicos.</w:t>
      </w:r>
    </w:p>
    <w:p w14:paraId="17BA85D1" w14:textId="77777777" w:rsidR="0072615D" w:rsidRDefault="0072615D">
      <w:pPr>
        <w:pStyle w:val="Bodytext100"/>
      </w:pPr>
      <w:r>
        <w:rPr>
          <w:sz w:val="34"/>
          <w:szCs w:val="34"/>
        </w:rPr>
        <w:t>L</w:t>
      </w:r>
      <w:r>
        <w:t>eche materna</w:t>
      </w:r>
    </w:p>
    <w:p w14:paraId="69AC5294" w14:textId="77777777" w:rsidR="0072615D" w:rsidRDefault="0072615D">
      <w:pPr>
        <w:pStyle w:val="BodyText"/>
        <w:ind w:left="380" w:firstLine="0"/>
      </w:pPr>
      <w:r>
        <w:t xml:space="preserve">El amamantamiento genera innumerables beneficios de salud a los lactantes, como protección contra complicaciones y muerte por enfermedades infecciosas de origen bacteriano, vírico y parasitario. Además de ser la fuente óptima de nutrición, la leche humana al estar relativamente estéril y no contaminada de patógenos ambientales, contiene factores protectores como células, anticuerpos secretorios específicos y factores innatos, como glucoconjugados, y componentes antiinflamatorios. Los pequeños amamantados tienen altas concentraciones de bifidobacterias y lactobacilos protectores en sus vías gastrointestinales, lo que mejora la resistencia a patógenos específicos. Las pruebas también indican que la leche materna puede modular el desarrollo de los sistemas inmunitarios de los pequeños. La protección que brinda la leche materna se determina con mayor nitidez en el caso de patógenos que causan infecciones de vías gastrointestinales. Además, dicho líquido al parecer protege de otitis media, infección invasora por </w:t>
      </w:r>
      <w:r>
        <w:rPr>
          <w:rFonts w:ascii="Times New Roman" w:eastAsia="Times New Roman" w:hAnsi="Times New Roman" w:cs="Times New Roman"/>
          <w:i/>
          <w:iCs/>
          <w:sz w:val="16"/>
          <w:szCs w:val="16"/>
        </w:rPr>
        <w:t>Haemophilus influenzae</w:t>
      </w:r>
      <w:r>
        <w:t xml:space="preserve"> tipo b o por virus sincitial respiratorio y de otras causas de infecciones de la zona alta y baja de las vías respiratorias.</w:t>
      </w:r>
    </w:p>
    <w:p w14:paraId="12E8E5B0" w14:textId="77777777" w:rsidR="0072615D" w:rsidRDefault="0072615D">
      <w:pPr>
        <w:pStyle w:val="BodyText"/>
        <w:spacing w:after="400" w:line="276" w:lineRule="auto"/>
        <w:ind w:left="380" w:firstLine="340"/>
      </w:pPr>
      <w:r>
        <w:t xml:space="preserve">Las declaraciones de la </w:t>
      </w:r>
      <w:r>
        <w:rPr>
          <w:rFonts w:ascii="Times New Roman" w:eastAsia="Times New Roman" w:hAnsi="Times New Roman" w:cs="Times New Roman"/>
          <w:i/>
          <w:iCs/>
          <w:sz w:val="16"/>
          <w:szCs w:val="16"/>
        </w:rPr>
        <w:t>American Academy of Pediatrics</w:t>
      </w:r>
      <w:r>
        <w:t xml:space="preserve"> (AAP) en sus publicaciones incluyen un manual de alimentación infantil que aporta datos más detallados sobre los beneficios del amamantamiento y las prácticas recomendadas en ese sentido.</w:t>
      </w:r>
      <w:r>
        <w:footnoteReference w:id="41"/>
      </w:r>
      <w:r>
        <w:t xml:space="preserve"> En el </w:t>
      </w:r>
      <w:r>
        <w:rPr>
          <w:rFonts w:ascii="Times New Roman" w:eastAsia="Times New Roman" w:hAnsi="Times New Roman" w:cs="Times New Roman"/>
          <w:i/>
          <w:iCs/>
          <w:sz w:val="16"/>
          <w:szCs w:val="16"/>
        </w:rPr>
        <w:t>Pediatric Nutrition Handbook</w:t>
      </w:r>
      <w:r>
        <w:t xml:space="preserve"> y en la declaración de principios de la AAP sobre leche maternal se exponen temas como la inmunización de las mujeres que amamantan a su hijo y a los pequeños amamantados, transmisión de agentes infecciosos por la leche humana y efectos potenciales que tienen los antimicrobianos administrados a la madre, en los pequeños amamantados.</w:t>
      </w:r>
    </w:p>
    <w:p w14:paraId="0BC05653" w14:textId="77777777" w:rsidR="0072615D" w:rsidRDefault="0072615D">
      <w:pPr>
        <w:pStyle w:val="Bodytext70"/>
        <w:spacing w:after="220"/>
        <w:ind w:firstLine="380"/>
      </w:pPr>
      <w:r>
        <w:t>Inmunización de madres y lactantes</w:t>
      </w:r>
    </w:p>
    <w:p w14:paraId="6CBC6945" w14:textId="77777777" w:rsidR="0072615D" w:rsidRDefault="0072615D">
      <w:pPr>
        <w:pStyle w:val="BodyText"/>
        <w:spacing w:after="220"/>
        <w:ind w:firstLine="380"/>
      </w:pPr>
      <w:r>
        <w:t>EFECTO DE LA VACUNACIÓN EN LA MADRE</w:t>
      </w:r>
    </w:p>
    <w:p w14:paraId="131F61F9" w14:textId="77777777" w:rsidR="0072615D" w:rsidRDefault="0072615D">
      <w:pPr>
        <w:pStyle w:val="BodyText"/>
        <w:spacing w:after="220"/>
        <w:ind w:left="380" w:firstLine="0"/>
      </w:pPr>
      <w:r>
        <w:t xml:space="preserve">Las mujeres que no han cumplido las vacunaciones recomendadas antes del embarazo o durante él, pueden ser vacunadas en el periodo posparto, sea cual sea el estado de la lactancia. No existen datos que corroboren la duda de la posible presencia de virus vivos de las vacunas en la leche si la mujer fue vacunada durante la fase de lactancia. Las mujeres lactantes pueden ser inmunizadas tal como se recomienda para otros adultos, para que sean protegidas de enfermedades como sarampión, parotiditis, rubéola, tétanos, difteria, influenza, infección por </w:t>
      </w:r>
      <w:r>
        <w:rPr>
          <w:rFonts w:ascii="Times New Roman" w:eastAsia="Times New Roman" w:hAnsi="Times New Roman" w:cs="Times New Roman"/>
          <w:i/>
          <w:iCs/>
          <w:sz w:val="16"/>
          <w:szCs w:val="16"/>
        </w:rPr>
        <w:t>Streptococcus pneumoniae</w:t>
      </w:r>
      <w:r>
        <w:rPr>
          <w:i/>
          <w:iCs/>
        </w:rPr>
        <w:t>,</w:t>
      </w:r>
      <w:r>
        <w:t xml:space="preserve"> hepatitis A y B y varicela. La madre lactante puede recibir vacuna de virus poliomielítico inactivado si no la recibió previamente o si viajará a una zona altamente endémica. En el periodo posparto habrá que vacunar a mujeres seronegativas a la rubéola que no fueron vacunadas durante el embarazo.</w:t>
      </w:r>
    </w:p>
    <w:p w14:paraId="35FE4222" w14:textId="77777777" w:rsidR="0072615D" w:rsidRDefault="0072615D">
      <w:pPr>
        <w:pStyle w:val="BodyText"/>
        <w:spacing w:after="220"/>
        <w:ind w:firstLine="380"/>
      </w:pPr>
      <w:r>
        <w:t>EFICACIA DE LA VACUNACIÓN EN PRODUCTOS AMAMANTADOS</w:t>
      </w:r>
    </w:p>
    <w:p w14:paraId="763BE06D" w14:textId="77777777" w:rsidR="0072615D" w:rsidRDefault="0072615D">
      <w:pPr>
        <w:pStyle w:val="BodyText"/>
        <w:spacing w:after="100"/>
        <w:ind w:left="380" w:firstLine="0"/>
      </w:pPr>
      <w:r>
        <w:t>Los lactantes deben ser inmunizados de acuerdo con los calendarios recomendados, sea cual sea su tipo de alimentación. La leche materna intensifica la capacidad inmunógena de algunas vacunas recomendadas, pero no se cuenta con datos para saber si mejora la eficacia de ellas. Si bien, en teoría, las concentraciones altas de anticuerpos antipoliomielíticos en la leche de algunas madres podrían interferir con la capacidad inmunógena de la vacuna oral contra poliomielitis, no se ha demostrado un vínculo en ese sentido. Lo anterior no constituye un punto de preocupación en el caso de la vacuna con el virus inactivado.</w:t>
      </w:r>
    </w:p>
    <w:p w14:paraId="721D99C6" w14:textId="77777777" w:rsidR="0072615D" w:rsidRDefault="0072615D">
      <w:pPr>
        <w:pStyle w:val="Bodytext70"/>
        <w:spacing w:after="220"/>
        <w:ind w:firstLine="380"/>
      </w:pPr>
      <w:r>
        <w:t>Transmisión de agentes infecciosos por la leche materna</w:t>
      </w:r>
    </w:p>
    <w:p w14:paraId="74A13B96" w14:textId="77777777" w:rsidR="0072615D" w:rsidRDefault="0072615D">
      <w:pPr>
        <w:pStyle w:val="BodyText"/>
        <w:spacing w:after="220"/>
        <w:ind w:firstLine="380"/>
        <w:jc w:val="both"/>
      </w:pPr>
      <w:r>
        <w:t>BACTERIAS</w:t>
      </w:r>
    </w:p>
    <w:p w14:paraId="6877D0AB" w14:textId="77777777" w:rsidR="0072615D" w:rsidRDefault="0072615D">
      <w:pPr>
        <w:pStyle w:val="BodyText"/>
        <w:ind w:left="380" w:firstLine="0"/>
      </w:pPr>
      <w:r>
        <w:t xml:space="preserve">La mastitis y los abscesos mamarios se han vinculado con la presencia de bacterias patógenas en la leche humana. En términos generales, la mastitis infecciosa muestra resolución si no se interrumpe la lactancia durante la administración de antimicrobianos y no constituye un peligro notable para el producto a término sano. Raras veces surgen abscesos en las mamas y pueden romperse en el sistema de conductos lactíferos y liberar gran número de microorganismos como </w:t>
      </w:r>
      <w:r>
        <w:rPr>
          <w:rFonts w:ascii="Times New Roman" w:eastAsia="Times New Roman" w:hAnsi="Times New Roman" w:cs="Times New Roman"/>
          <w:i/>
          <w:iCs/>
          <w:sz w:val="16"/>
          <w:szCs w:val="16"/>
        </w:rPr>
        <w:t>Staphylococcus aureus</w:t>
      </w:r>
      <w:r>
        <w:rPr>
          <w:i/>
          <w:iCs/>
        </w:rPr>
        <w:t>,</w:t>
      </w:r>
      <w:r>
        <w:t xml:space="preserve"> en la leche. En términos generales, no se recomienda amamantar a un pequeño si el seno está afectado por un absceso. Sin embargo, algunos expertos recomiendan reanudar la alimentación con la mama afectada una vez que la mujer haya sido tratada de manera adecuada con un antimicrobiano apropiado y se haya hecho drenaje quirúrgico del absceso. Incluso si se interrumpe la lactancia con la mama afectada, la alimentación al seno puede continuar con la mama contraria (sana).</w:t>
      </w:r>
    </w:p>
    <w:p w14:paraId="578D0E9B" w14:textId="77777777" w:rsidR="0072615D" w:rsidRDefault="0072615D">
      <w:pPr>
        <w:pStyle w:val="BodyText"/>
        <w:ind w:left="380" w:firstLine="340"/>
      </w:pPr>
      <w:r>
        <w:t xml:space="preserve">Las mujeres tuberculosas que han sido tratadas adecuadamente durante dos o más semanas y que no son contagiosas según los médicos y autoridades tratantes, puede dar el seno a su hijo. Las mujeres con tuberculosis activas de la cual se sospecha que es contagiosa debe abstenerse de amamantar a su pequeño o de cualquier otro contacto íntimo con él ante la posibilidad de transmisión por gotículas respiratorias (véase “Tuberculosis”, sección 3). </w:t>
      </w:r>
      <w:r>
        <w:rPr>
          <w:rFonts w:ascii="Times New Roman" w:eastAsia="Times New Roman" w:hAnsi="Times New Roman" w:cs="Times New Roman"/>
          <w:i/>
          <w:iCs/>
          <w:sz w:val="16"/>
          <w:szCs w:val="16"/>
        </w:rPr>
        <w:t>Mycobacterium tuberculosis</w:t>
      </w:r>
      <w:r>
        <w:t xml:space="preserve"> rara vez causa mastitis o abscesos mamarios, pero en caso de haber un absceso de este tipo por el germen comentado, habrá que interrumpir el amamantamiento hasta que la madre no sea contagiosa.</w:t>
      </w:r>
    </w:p>
    <w:p w14:paraId="59762C05" w14:textId="77777777" w:rsidR="0072615D" w:rsidRDefault="0072615D">
      <w:pPr>
        <w:pStyle w:val="BodyText"/>
        <w:spacing w:after="220" w:line="276" w:lineRule="auto"/>
        <w:ind w:left="380" w:firstLine="360"/>
      </w:pPr>
      <w:r>
        <w:t xml:space="preserve">La lecha materna “obtenida por expresión” puede contaminarse con diversos patógenos bacterianos como especies de </w:t>
      </w:r>
      <w:r>
        <w:rPr>
          <w:rFonts w:ascii="Times New Roman" w:eastAsia="Times New Roman" w:hAnsi="Times New Roman" w:cs="Times New Roman"/>
          <w:i/>
          <w:iCs/>
          <w:sz w:val="16"/>
          <w:szCs w:val="16"/>
        </w:rPr>
        <w:t>Staphylococcus</w:t>
      </w:r>
      <w:r>
        <w:t xml:space="preserve"> y bacilos entéricos gramnegativos. En ocasiones los brotes de infecciones por bacterias gramnegativas en unidades de cuidado intensivo neonatal se han atribuido a muestras contaminadas de leche materna que fueron obtenidas o almacenadas inadecuadamente. Hay que tratar a toda leche materna que reciban los pequeños de mujeres diferentes a su madre biológica, con base en las directrices de la </w:t>
      </w:r>
      <w:r>
        <w:rPr>
          <w:rFonts w:ascii="Times New Roman" w:eastAsia="Times New Roman" w:hAnsi="Times New Roman" w:cs="Times New Roman"/>
          <w:i/>
          <w:iCs/>
          <w:sz w:val="16"/>
          <w:szCs w:val="16"/>
        </w:rPr>
        <w:t>Human Milk Banking Association of North America</w:t>
      </w:r>
      <w:r>
        <w:rPr>
          <w:i/>
          <w:iCs/>
        </w:rPr>
        <w:t>.</w:t>
      </w:r>
      <w:r>
        <w:t xml:space="preserve"> No se ha demostrado que sean necesarios los cultivos sistemáticos del tratamiento térmico de la leche materna que se administra a un lactante o que sea una práctica cuyo costo se justifique (véase más adelante en esta sección “Bancos de leche humana”).</w:t>
      </w:r>
    </w:p>
    <w:p w14:paraId="2583A23F" w14:textId="77777777" w:rsidR="0072615D" w:rsidRDefault="0072615D">
      <w:pPr>
        <w:pStyle w:val="BodyText"/>
        <w:spacing w:after="220"/>
        <w:ind w:firstLine="380"/>
      </w:pPr>
      <w:r>
        <w:t>VIRUS</w:t>
      </w:r>
    </w:p>
    <w:p w14:paraId="45F409FA" w14:textId="77777777" w:rsidR="0072615D" w:rsidRDefault="0072615D">
      <w:pPr>
        <w:pStyle w:val="BodyText"/>
        <w:spacing w:line="276" w:lineRule="auto"/>
        <w:ind w:left="380"/>
      </w:pPr>
      <w:r>
        <w:rPr>
          <w:rFonts w:ascii="Times New Roman" w:eastAsia="Times New Roman" w:hAnsi="Times New Roman" w:cs="Times New Roman"/>
          <w:b/>
          <w:bCs/>
          <w:i/>
          <w:iCs/>
          <w:sz w:val="16"/>
          <w:szCs w:val="16"/>
        </w:rPr>
        <w:t>Virus citomegálico.</w:t>
      </w:r>
      <w:r>
        <w:t xml:space="preserve"> El virus citomegálico (CMV) puede pasar intermitentemente a la leche materna. Se ha sabido de la transmisión de este virus por dicho líquido, pero pocas veces hay enfermedad por él en los neonatos, por los anticuerpos maternos transferidos en forma pasiva. Sin embargo, los productos pretérmino están expuestos a un riesgo mayor de enfermedad sintomática y de secuelas, que los pequeños a término. En hijos de madres seronegativas en CMV que muestran seroconversión en la lactancia y los prematuros con bajas concentraciones de anticuerpos obtenidos por vía transplacentaria con dicho virus pueden mostrar un cuadro sintomático, con secuelas después de recibir el virus en cuestión por la leche materna. Las mujeres seropositivas a CMV deben considerar los posibles beneficios de la leche materna y el peligro de transmisión del virus cuando decidan amamantar a su prematuro. Al parecer, la pasteurización de la leche lo inactiva; congelar la leche a —20°C disminuye los títulos del virus, pero no eliminará con toda seguridad su presencia en tal líquido.</w:t>
      </w:r>
    </w:p>
    <w:p w14:paraId="3E2F9369" w14:textId="77777777" w:rsidR="0072615D" w:rsidRDefault="0072615D">
      <w:pPr>
        <w:pStyle w:val="BodyText"/>
        <w:spacing w:line="276" w:lineRule="auto"/>
        <w:ind w:left="380" w:firstLine="360"/>
      </w:pPr>
      <w:r>
        <w:rPr>
          <w:rFonts w:ascii="Times New Roman" w:eastAsia="Times New Roman" w:hAnsi="Times New Roman" w:cs="Times New Roman"/>
          <w:b/>
          <w:bCs/>
          <w:i/>
          <w:iCs/>
          <w:sz w:val="16"/>
          <w:szCs w:val="16"/>
        </w:rPr>
        <w:t>Virus de hepatitis B.</w:t>
      </w:r>
      <w:r>
        <w:t xml:space="preserve"> Se ha detectado el antígeno de superficie de hepatitis B </w:t>
      </w:r>
      <w:r>
        <w:rPr>
          <w:i/>
          <w:iCs/>
        </w:rPr>
        <w:t>(</w:t>
      </w:r>
      <w:r>
        <w:rPr>
          <w:rFonts w:ascii="Times New Roman" w:eastAsia="Times New Roman" w:hAnsi="Times New Roman" w:cs="Times New Roman"/>
          <w:i/>
          <w:iCs/>
          <w:sz w:val="16"/>
          <w:szCs w:val="16"/>
        </w:rPr>
        <w:t>hepatitis B surface antigen</w:t>
      </w:r>
      <w:r>
        <w:rPr>
          <w:i/>
          <w:iCs/>
        </w:rPr>
        <w:t>,</w:t>
      </w:r>
      <w:r>
        <w:t xml:space="preserve"> HBsAg) en la leche de mujeres que poseen tal antígeno (positividad). Sin embargo, estudios hechos en Taiwán e Inglaterra han indicado que el amamantamiento por parte de mujeres que tienen el antígeno comentado (HBsAg) no incrementa significativamente el riesgo de infección en los lactantes. En Estados Unidos se aplica concentrado inmunoglobulínico contra hepatitis B a todo lactante que ha nacido de una mujer con positividad a HBsAg. La globulina y la serie recomendada de tres dosis de vacuna contra el virus de hepatitis B ha eliminado eficazmente cualquier riesgo teórico de transmisión durante el amamantamiento. No es necesario retrasar el comienzo del amamantamiento hasta después de vacunar al pequeño. La inmunoprofilaxia de lactantes con la sola vacuna contra hepatitis B también brinda protección, pero la terapia óptima de pequeños hijos de madres con positividad a HBsAg incluye la serie de tres dosis de vacuna contra el virus de hepatitis B y el concentrado inmunoglobulínico contra dicha enfermedad (véase “Hepatitis B”, sección 3).</w:t>
      </w:r>
    </w:p>
    <w:p w14:paraId="423709F2" w14:textId="77777777" w:rsidR="0072615D" w:rsidRDefault="0072615D">
      <w:pPr>
        <w:pStyle w:val="BodyText"/>
        <w:spacing w:line="283" w:lineRule="auto"/>
        <w:ind w:left="380" w:firstLine="360"/>
      </w:pPr>
      <w:r>
        <w:rPr>
          <w:rFonts w:ascii="Times New Roman" w:eastAsia="Times New Roman" w:hAnsi="Times New Roman" w:cs="Times New Roman"/>
          <w:b/>
          <w:bCs/>
          <w:i/>
          <w:iCs/>
          <w:sz w:val="16"/>
          <w:szCs w:val="16"/>
        </w:rPr>
        <w:t>Virus de hepatitis C.</w:t>
      </w:r>
      <w:r>
        <w:t xml:space="preserve"> En la leche de mujeres infectadas por el virus mencionado se han detectado RNA de dicha partícula y anticuerpos contra ella. No se ha corroborado que por la leche materna se transmita el virus de hepatitis C en madres que tienen anticuerpos contra dichos virus y que no tienen anticuerpos contra el virus de inmunodeficiencia humana (VIH). Hay que orientar a las mujeres infectadas por HCV de que en teoría es posible que por medio de la leche se transmita el virus en cuestión, pero no es un hecho corroborado. Conforme a las directrices actuales del servicio de salud pública estadounidense, la infección de la madre por HCV no constituye una contraindicación para el amamantamiento. La decisión de alimentar al hijo con leche materna debe basarse en comentarios informados entre la mujer y el profesionista en atención de la salud que la atiende.</w:t>
      </w:r>
    </w:p>
    <w:p w14:paraId="54856AD8" w14:textId="77777777" w:rsidR="0072615D" w:rsidRDefault="0072615D">
      <w:pPr>
        <w:pStyle w:val="BodyText"/>
        <w:spacing w:line="271" w:lineRule="auto"/>
        <w:ind w:left="380" w:firstLine="340"/>
      </w:pPr>
      <w:r>
        <w:rPr>
          <w:rFonts w:ascii="Times New Roman" w:eastAsia="Times New Roman" w:hAnsi="Times New Roman" w:cs="Times New Roman"/>
          <w:b/>
          <w:bCs/>
          <w:i/>
          <w:iCs/>
          <w:sz w:val="16"/>
          <w:szCs w:val="16"/>
        </w:rPr>
        <w:t>Virus de inmunodeficiencia humana.</w:t>
      </w:r>
      <w:r>
        <w:t xml:space="preserve"> Este virus ha sido aislado de la leche materna y puede ser transmitido a través de ella. El riesgo de transmisión es mayor en mujeres que adquieren el virus y su infección durante la lactancia (posparto) que en mujeres con infección preexistente. En poblaciones como la de Estados Unidos, en que es pequeño el peligro de mortalidad por enfermedades infecciosas y malnutrición y en el cual se disponen fácilmente de otras fuentes eficaces y seguras de alimentación, habrá que orientar a toda mujer infectada por VIH de que no amamante a su pequeño ni done leche. También se brindará orientación a todas las embarazadas en Estados Unidos y se les instará a someterse a pruebas para detectar la infección por VIH. No se dispone de datos en cuanto a la inocuidad del amamantamiento en el caso de mujeres que reciben altas dosis de antirretrovíricos activos. En zonas en que las enfermedades infecciosas y la malnutrición son causas importantes de mortalidad en los comienzos de la vida, la decisión de dar el seno pudiera ser más compleja. La Organización Mundial de la Salud señala que si la mujer está infectada de VIH, es preferible sustituir por otro alimento la leche materna para así disminuir el peligro de transmisión de VIH, siempre y cuando el riesgo de la alimentación de reposición sea menor que el riesgo posible de transmisión de VIH. Llevar a la práctica tal sugerencia se ha topado con innumerables obstáculos. Las normas de la Organización Mundial de la Salud destacan la necesidad de apoyo ininterrumpido en pro del amamantamiento en mujeres que no tienen virus de inmunodeficiencia humana o en aquellas de las que se desconoce su estado virológico, mayor acceso a la orientación y estudios respecto de VIH y esfuerzos gubernamentales para mejorar el acceso permanente a sustitutivos de leche humana nutricionalmente adecuados. (véase “Humana, infección por virus de inmunodeficiencia”, sección 3).</w:t>
      </w:r>
    </w:p>
    <w:p w14:paraId="1D60C9D2" w14:textId="77777777" w:rsidR="0072615D" w:rsidRDefault="0072615D">
      <w:pPr>
        <w:pStyle w:val="BodyText"/>
        <w:spacing w:line="276" w:lineRule="auto"/>
        <w:ind w:left="380" w:firstLine="340"/>
      </w:pPr>
      <w:r>
        <w:rPr>
          <w:rFonts w:ascii="Times New Roman" w:eastAsia="Times New Roman" w:hAnsi="Times New Roman" w:cs="Times New Roman"/>
          <w:b/>
          <w:bCs/>
          <w:i/>
          <w:iCs/>
          <w:sz w:val="16"/>
          <w:szCs w:val="16"/>
        </w:rPr>
        <w:t>Virus linfotrópico T humano de tipo I.</w:t>
      </w:r>
      <w:r>
        <w:t xml:space="preserve"> El retrovirus mencionado, endémicos en Japón, países caribeños y algunas zonas de América del Sur, guarda algún vínculo con la aparición de cánceres y trastornos neurológicos en adultos. Estudios epidemiológicos y de laboratorio sugieren que la transmisión del virus comentado tipo I de la madre a su hijo se hace más bien por la leche de la mujer. Las mujeres en Estados Unidos que muestran positivas del virus, es decir, son seropositivas, deben ser aconsejadas a modo de no amamantar al seno a su pequeño.</w:t>
      </w:r>
    </w:p>
    <w:p w14:paraId="252B3F9A" w14:textId="77777777" w:rsidR="0072615D" w:rsidRDefault="0072615D">
      <w:pPr>
        <w:pStyle w:val="BodyText"/>
        <w:spacing w:line="276" w:lineRule="auto"/>
        <w:ind w:left="380" w:firstLine="340"/>
      </w:pPr>
      <w:r>
        <w:rPr>
          <w:rFonts w:ascii="Times New Roman" w:eastAsia="Times New Roman" w:hAnsi="Times New Roman" w:cs="Times New Roman"/>
          <w:b/>
          <w:bCs/>
          <w:i/>
          <w:iCs/>
          <w:sz w:val="16"/>
          <w:szCs w:val="16"/>
        </w:rPr>
        <w:t>Virus linfotrópico T humano de tipo II.</w:t>
      </w:r>
      <w:r>
        <w:t xml:space="preserve"> También se ha detectado en toxicómanos estadounidenses y europeos que se inyectan drogas, y algunos grupos de indios estadounidenses/nativos de Alaska, el virus linfotrópico recién mencionado, que también es un retrovirus. A pesar de que se ha notificado al parecer casos de transmisión humana de madre a hijo, no se ha definido la velocidad y la fecha en que ocurrió. Mientras no se cuente con más datos de la posible transmisión por leche materna, será mejor que no amamanten a su hijo las mujeres estadounidenses seropositivas.</w:t>
      </w:r>
    </w:p>
    <w:p w14:paraId="0733C746" w14:textId="77777777" w:rsidR="0072615D" w:rsidRDefault="0072615D">
      <w:pPr>
        <w:pStyle w:val="BodyText"/>
        <w:spacing w:line="283" w:lineRule="auto"/>
        <w:ind w:left="380" w:firstLine="340"/>
      </w:pPr>
      <w:r>
        <w:rPr>
          <w:rFonts w:ascii="Times New Roman" w:eastAsia="Times New Roman" w:hAnsi="Times New Roman" w:cs="Times New Roman"/>
          <w:b/>
          <w:bCs/>
          <w:i/>
          <w:iCs/>
          <w:sz w:val="16"/>
          <w:szCs w:val="16"/>
        </w:rPr>
        <w:t>Virus de herpes simple tipo 1.</w:t>
      </w:r>
      <w:r>
        <w:t xml:space="preserve"> El virus en cuestión se ha aislado de leche materna sin que existan lesiones vesiculosas ni material de drenaje de la mama, ni que haya cultivos positivos de material del cuello uterino, la vagina o la faringe. Se han señalado casos de transmisión del virus del herpes simple </w:t>
      </w:r>
      <w:r>
        <w:rPr>
          <w:i/>
          <w:iCs/>
        </w:rPr>
        <w:t>(</w:t>
      </w:r>
      <w:r>
        <w:rPr>
          <w:rFonts w:ascii="Times New Roman" w:eastAsia="Times New Roman" w:hAnsi="Times New Roman" w:cs="Times New Roman"/>
          <w:i/>
          <w:iCs/>
          <w:sz w:val="16"/>
          <w:szCs w:val="16"/>
        </w:rPr>
        <w:t>herpes simplex virus</w:t>
      </w:r>
      <w:r>
        <w:rPr>
          <w:i/>
          <w:iCs/>
        </w:rPr>
        <w:t>,</w:t>
      </w:r>
      <w:r>
        <w:t xml:space="preserve"> HSV) tipo 1 después de amamantamiento, en presencia de lesiones mamarias. La aparición de lesiones extragenitales al parecer ocurre con mayor frecuencia con una infección primaria por HSV que con otra recurrente, y por ello algunos expertos recomiendan que las mujeres con enfermedad mucocutánea primaria no den el seno a sus hijos hasta que hayan mostrado resolución las lesiones. También aquellas con lesiones herpéticas en las mamas no deben alimentar a su hijo; las lesiones activas en otras zonas deben ser cubiertas durante la sesión de amamantamiento, y hay que tener una higiene minuciosa de las manos.</w:t>
      </w:r>
    </w:p>
    <w:p w14:paraId="6870711D" w14:textId="77777777" w:rsidR="0072615D" w:rsidRDefault="0072615D">
      <w:pPr>
        <w:pStyle w:val="BodyText"/>
        <w:ind w:left="360" w:firstLine="360"/>
      </w:pPr>
      <w:r>
        <w:rPr>
          <w:rFonts w:ascii="Times New Roman" w:eastAsia="Times New Roman" w:hAnsi="Times New Roman" w:cs="Times New Roman"/>
          <w:b/>
          <w:bCs/>
          <w:i/>
          <w:iCs/>
          <w:sz w:val="16"/>
          <w:szCs w:val="16"/>
        </w:rPr>
        <w:t>Rubéola</w:t>
      </w:r>
      <w:r>
        <w:rPr>
          <w:i/>
          <w:iCs/>
        </w:rPr>
        <w:t>.</w:t>
      </w:r>
      <w:r>
        <w:t xml:space="preserve"> Se han aislado las cepas natural y vacunal del virus de la rubéola, de la leche materna. Sin embargo, la presencia de tal partícula en este líquido no se ha vinculado con enfermedad grave en lactantes y es más probable que la transmisión se haga por otras vías. Conviene que no alimenten a sus hijos al seno las mujeres con rubéola o las que han recibido recientemente la vacuna del virus vivo atenuado de esa enfermedad.</w:t>
      </w:r>
    </w:p>
    <w:p w14:paraId="3CB05794" w14:textId="77777777" w:rsidR="0072615D" w:rsidRDefault="0072615D">
      <w:pPr>
        <w:pStyle w:val="BodyText"/>
        <w:ind w:left="360" w:firstLine="360"/>
      </w:pPr>
      <w:r>
        <w:rPr>
          <w:rFonts w:ascii="Times New Roman" w:eastAsia="Times New Roman" w:hAnsi="Times New Roman" w:cs="Times New Roman"/>
          <w:b/>
          <w:bCs/>
          <w:i/>
          <w:iCs/>
          <w:sz w:val="16"/>
          <w:szCs w:val="16"/>
        </w:rPr>
        <w:t>Varicela.</w:t>
      </w:r>
      <w:r>
        <w:t xml:space="preserve"> No se sabe si el virus de la vacuna de la varicela se secreta en la leche materna o si podría infectar al pequeño amamantado. Habría que pensar en la aplicación de vacuna contra varicela en una mujer susceptible en fase de amamantamiento, si el riesgo de exposición al virus natural de varicela-zoster es grande. Se cuenta con recomendaciones para utilizar el concentrado inmunoglobulínico de varicela-zoster y la vacuna contra varicela en mujeres que amamantan a sus hijos y que han tenido contacto con individuos en quienes ha surgido la enfermedad, o en contactos de una mujer que amamanta a su pequeño, en quien apareció la enfermedad (véase “Varicela- zoster, infecciones por el virus”, sección 3).</w:t>
      </w:r>
    </w:p>
    <w:p w14:paraId="541C8DC6" w14:textId="77777777" w:rsidR="0072615D" w:rsidRDefault="0072615D">
      <w:pPr>
        <w:pStyle w:val="BodyText"/>
        <w:spacing w:after="220"/>
        <w:ind w:left="360" w:firstLine="360"/>
      </w:pPr>
      <w:r>
        <w:rPr>
          <w:rFonts w:ascii="Times New Roman" w:eastAsia="Times New Roman" w:hAnsi="Times New Roman" w:cs="Times New Roman"/>
          <w:b/>
          <w:bCs/>
          <w:i/>
          <w:iCs/>
          <w:sz w:val="16"/>
          <w:szCs w:val="16"/>
        </w:rPr>
        <w:t>Virus del Nilo Occidental.</w:t>
      </w:r>
      <w:r>
        <w:t xml:space="preserve"> El RNA del virus mencionado ha sido detectado en leche obtenida de mujeres con enfermedad atribuible a dicho virus. El pequeño amamantado terminó por formar anticuerpos de tipo inmunoglobulina M al virus en cuestión, pero no presentó síntomas. Los experimentos animales han indicado que el virus del Nilo Occidental puede ser transmitido en la leche de animales y también lo pueden ser otros </w:t>
      </w:r>
      <w:r>
        <w:rPr>
          <w:rFonts w:ascii="Times New Roman" w:eastAsia="Times New Roman" w:hAnsi="Times New Roman" w:cs="Times New Roman"/>
          <w:i/>
          <w:iCs/>
          <w:sz w:val="16"/>
          <w:szCs w:val="16"/>
        </w:rPr>
        <w:t>flavivirus similares</w:t>
      </w:r>
      <w:r>
        <w:rPr>
          <w:i/>
          <w:iCs/>
        </w:rPr>
        <w:t>,</w:t>
      </w:r>
      <w:r>
        <w:t xml:space="preserve"> a seres humanos, por medio de la leche no pasteurizada de rumiantes. Se desconoce el grado en el cual se transmite el virus comentado en la leche materna y la frecuencia por la cual los pequeños amamantados terminan por infectarse. Muchos lactantes y niños de corta edad infectados por el virus del Nilo Occidental son asintomáticos o presentan un cuadro leve; pocas veces surge ataque grave del sistema nervioso.</w:t>
      </w:r>
    </w:p>
    <w:p w14:paraId="6677C9EE" w14:textId="77777777" w:rsidR="0072615D" w:rsidRDefault="0072615D">
      <w:pPr>
        <w:pStyle w:val="BodyText"/>
        <w:spacing w:after="220"/>
        <w:ind w:firstLine="360"/>
      </w:pPr>
      <w:r>
        <w:t>BANCOS DE LECHE MATERNA</w:t>
      </w:r>
    </w:p>
    <w:p w14:paraId="1C8AA9F9" w14:textId="77777777" w:rsidR="0072615D" w:rsidRDefault="0072615D">
      <w:pPr>
        <w:pStyle w:val="BodyText"/>
        <w:ind w:left="360"/>
      </w:pPr>
      <w:r>
        <w:t xml:space="preserve">En algunas situaciones, como sería el parto prematuro, no es posible el amamantamiento. En ellas el pequeño puede recibir leche obtenida de su propia madre o de donantes individuales. La posibilidad de transmisión de agentes infecciosos por la leche obliga a la selección adecuada y al examen y elección de donantes, así como a la obtención, preparación y almacenamiento cuidadosos de tal líquido. En la actualidad, los bancos en Estados Unidos que se ocupan de tal tarea, y que pertenecen a </w:t>
      </w:r>
      <w:r>
        <w:rPr>
          <w:rFonts w:ascii="Times New Roman" w:eastAsia="Times New Roman" w:hAnsi="Times New Roman" w:cs="Times New Roman"/>
          <w:i/>
          <w:iCs/>
          <w:sz w:val="16"/>
          <w:szCs w:val="16"/>
        </w:rPr>
        <w:t>Human Milk Banking Association of North America</w:t>
      </w:r>
      <w:r>
        <w:rPr>
          <w:i/>
          <w:iCs/>
        </w:rPr>
        <w:t>,</w:t>
      </w:r>
      <w:r>
        <w:t xml:space="preserve"> cumplen voluntariamente las pautas elaboradas en consulta con la </w:t>
      </w:r>
      <w:r>
        <w:rPr>
          <w:rFonts w:ascii="Times New Roman" w:eastAsia="Times New Roman" w:hAnsi="Times New Roman" w:cs="Times New Roman"/>
          <w:i/>
          <w:iCs/>
          <w:sz w:val="16"/>
          <w:szCs w:val="16"/>
        </w:rPr>
        <w:t>Food and Drug Administration</w:t>
      </w:r>
      <w:r>
        <w:t xml:space="preserve"> y los </w:t>
      </w:r>
      <w:r>
        <w:rPr>
          <w:rFonts w:ascii="Times New Roman" w:eastAsia="Times New Roman" w:hAnsi="Times New Roman" w:cs="Times New Roman"/>
          <w:i/>
          <w:iCs/>
          <w:sz w:val="16"/>
          <w:szCs w:val="16"/>
        </w:rPr>
        <w:t>Centers for Disease Control and Prevention</w:t>
      </w:r>
      <w:r>
        <w:rPr>
          <w:i/>
          <w:iCs/>
        </w:rPr>
        <w:t>.</w:t>
      </w:r>
      <w:r>
        <w:t xml:space="preserve"> Estas directrices incluyen selección y búsqueda de anticuerpos contra VIH-1, VIH-2, HTLV-I, HTLV-II, antígeno de superficie de HB, hepatitis C y sífilis en todas las donantes. La leche se distribuye sólo por prescripción después de su tratamiento térmico </w:t>
      </w:r>
      <w:r>
        <w:rPr>
          <w:rFonts w:ascii="Arial" w:eastAsia="Arial" w:hAnsi="Arial" w:cs="Arial"/>
        </w:rPr>
        <w:t>&gt;</w:t>
      </w:r>
      <w:r>
        <w:t>56°C durante 30 min y después que los cultivos en busca de bacterias no indican proliferación alguna de ellas. La leche de una madre que ha procreado un prematuro no necesita ser “preparada” si ella la suministra a su hijo, pero se necesita la obtención y el almacenamiento meticulosos.</w:t>
      </w:r>
    </w:p>
    <w:p w14:paraId="0EA76843" w14:textId="77777777" w:rsidR="0072615D" w:rsidRDefault="0072615D">
      <w:pPr>
        <w:pStyle w:val="BodyText"/>
        <w:ind w:left="360" w:firstLine="340"/>
      </w:pPr>
      <w:r>
        <w:t xml:space="preserve">El tratamiento térmico a </w:t>
      </w:r>
      <w:r>
        <w:rPr>
          <w:rFonts w:ascii="Arial" w:eastAsia="Arial" w:hAnsi="Arial" w:cs="Arial"/>
        </w:rPr>
        <w:t>&gt;</w:t>
      </w:r>
      <w:r>
        <w:t>56°C durante 30 min elimina con bastante seguridad bacterias, inactiva VIH y disminuye los títulos de otros virus, pero en un estudio se señaló que no eliminaba del todo el virus citomegálico. La pasteurización Holder (62.5°C durante 30 min) inactiva con bastante certeza VIH y CMV y elimina o disminuye en grado significativo el número de casi todos los demás virus.</w:t>
      </w:r>
    </w:p>
    <w:p w14:paraId="47578BA9" w14:textId="77777777" w:rsidR="0072615D" w:rsidRDefault="0072615D">
      <w:pPr>
        <w:pStyle w:val="BodyText"/>
        <w:spacing w:after="100"/>
        <w:ind w:left="360" w:firstLine="340"/>
      </w:pPr>
      <w:r>
        <w:t xml:space="preserve">La congelación a —20°C elimina HTLV-I y disminuye el número de partículas de CMV, pero no destruye todos los demás virus o bacterias (o la mayor parte). No se cuenta con estándares de calidad microbiológica que corresponderían a la leche fresca, no pasteurizada y “ordeñada”. La presencia de bacterias gramnegativas, </w:t>
      </w:r>
      <w:r>
        <w:rPr>
          <w:rFonts w:ascii="Times New Roman" w:eastAsia="Times New Roman" w:hAnsi="Times New Roman" w:cs="Times New Roman"/>
          <w:i/>
          <w:iCs/>
          <w:sz w:val="16"/>
          <w:szCs w:val="16"/>
        </w:rPr>
        <w:t>5. aureus</w:t>
      </w:r>
      <w:r>
        <w:rPr>
          <w:i/>
          <w:iCs/>
        </w:rPr>
        <w:t>,</w:t>
      </w:r>
      <w:r>
        <w:t xml:space="preserve"> o estreptococos hemolíticos alfa o beta puede impedir el empleo del líquido lácteo.</w:t>
      </w:r>
    </w:p>
    <w:p w14:paraId="0495AA84" w14:textId="77777777" w:rsidR="0072615D" w:rsidRDefault="0072615D">
      <w:pPr>
        <w:pStyle w:val="Bodytext70"/>
        <w:ind w:firstLine="360"/>
      </w:pPr>
      <w:r>
        <w:t>Agentes antimicrobianos en la leche materna</w:t>
      </w:r>
    </w:p>
    <w:p w14:paraId="7CBB2E71" w14:textId="77777777" w:rsidR="0072615D" w:rsidRDefault="0072615D">
      <w:pPr>
        <w:pStyle w:val="BodyText"/>
        <w:ind w:left="360" w:firstLine="0"/>
      </w:pPr>
      <w:r>
        <w:t xml:space="preserve">Los antimicrobianos que recibe la mujer que amamanta suelen aparecer en su leche. Como pauta general, un antimicrobiano es inocuo para una mujer que amamanta si se le puede administrar en forma segura e inocua a su pequeño. El </w:t>
      </w:r>
      <w:r>
        <w:rPr>
          <w:rFonts w:ascii="Times New Roman" w:eastAsia="Times New Roman" w:hAnsi="Times New Roman" w:cs="Times New Roman"/>
          <w:i/>
          <w:iCs/>
          <w:sz w:val="16"/>
          <w:szCs w:val="16"/>
        </w:rPr>
        <w:t xml:space="preserve">Committee on Drugs </w:t>
      </w:r>
      <w:r>
        <w:t xml:space="preserve">de la </w:t>
      </w:r>
      <w:r>
        <w:rPr>
          <w:rFonts w:ascii="Times New Roman" w:eastAsia="Times New Roman" w:hAnsi="Times New Roman" w:cs="Times New Roman"/>
          <w:i/>
          <w:iCs/>
          <w:sz w:val="16"/>
          <w:szCs w:val="16"/>
        </w:rPr>
        <w:t>American Academy of Pediatrics</w:t>
      </w:r>
      <w:r>
        <w:t xml:space="preserve"> (AAP) ha revisado los riesgos que imponen a los lactantes los antimicrobianos específicos que reciben sus madres que los amamantan.</w:t>
      </w:r>
      <w:r>
        <w:footnoteReference w:id="42"/>
      </w:r>
      <w:r>
        <w:t xml:space="preserve"> Las recomendaciones se incluyen en el cuadro 2-6. A pesar de que existen excepciones importantes, casi todos los antimicrobianos que pueden recibir las mujeres que amamantan a su hijo son compatibles con el amamantamiento. Si está indicado el tratamiento con metronidazol para la mujer en esa etapa, la exposición al pequeño puede llevarse al mínimo si se modifica la posología y se interrumpe temporalmente el amamantamiento. Por ejemplo, la mujer lactante puede ingerir una sola dosis de 2 g de metronidazol para tratar una infección por </w:t>
      </w:r>
      <w:r>
        <w:rPr>
          <w:rFonts w:ascii="Times New Roman" w:eastAsia="Times New Roman" w:hAnsi="Times New Roman" w:cs="Times New Roman"/>
          <w:i/>
          <w:iCs/>
          <w:sz w:val="16"/>
          <w:szCs w:val="16"/>
        </w:rPr>
        <w:t>Trichomonas vaginalis</w:t>
      </w:r>
      <w:r>
        <w:rPr>
          <w:i/>
          <w:iCs/>
        </w:rPr>
        <w:t>.</w:t>
      </w:r>
      <w:r>
        <w:t xml:space="preserve"> En estos casos, ella debe extraer con bomba y descartar la leche durante 12 a 24 h para que así se excrete el antimicrobiano y sus metabolitos, y pasado ese lapso reanudar el amamantamiento. La otra posibilidad sería seguir un ciclo de 10 días con metronidazol e interrumpir el amamantamiento en ese lapso. La mujer que recibe cloranfenicol no debe alimentar a su hijo con su leche por la posibilidad teórica de una supresión idisioncrática de la médula ósea, o vinculada con las dosis, en el pequeño amamantado.</w:t>
      </w:r>
    </w:p>
    <w:p w14:paraId="33F19080" w14:textId="77777777" w:rsidR="0072615D" w:rsidRDefault="0072615D">
      <w:pPr>
        <w:pStyle w:val="BodyText"/>
        <w:spacing w:after="160"/>
        <w:ind w:left="360" w:firstLine="340"/>
      </w:pPr>
      <w:r>
        <w:t xml:space="preserve">El </w:t>
      </w:r>
      <w:r>
        <w:rPr>
          <w:rFonts w:ascii="Times New Roman" w:eastAsia="Times New Roman" w:hAnsi="Times New Roman" w:cs="Times New Roman"/>
          <w:i/>
          <w:iCs/>
          <w:sz w:val="16"/>
          <w:szCs w:val="16"/>
        </w:rPr>
        <w:t>Committee on Drugs de la AAP</w:t>
      </w:r>
      <w:r>
        <w:t xml:space="preserve"> considera que el consumo de isoniazida por parte de la madre que amamanta es compatible con el amamantamiento. Un punto de preocupación serían los posibles efectos hepatotóxicos que tienen los pequeños amamantados, pero no se ha corroborado efectos adversos del fármaco. Algunos expertos recomiendan que el pequeño reciba clorhidrato de piridoxina (véase “Tuberculosis”, sección 3). Según el Comité mencionado, el uso de ciprofloxacina y ofloxacina es inocuo para el lactante amamantado. No se dispone de datos correspondientes a otras fluoroquinolonas.</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512"/>
        <w:gridCol w:w="3072"/>
        <w:gridCol w:w="2338"/>
      </w:tblGrid>
      <w:tr w:rsidR="0072615D" w14:paraId="43E475F0" w14:textId="77777777">
        <w:tblPrEx>
          <w:tblCellMar>
            <w:top w:w="0" w:type="dxa"/>
            <w:bottom w:w="0" w:type="dxa"/>
          </w:tblCellMar>
        </w:tblPrEx>
        <w:trPr>
          <w:trHeight w:hRule="exact" w:val="869"/>
          <w:jc w:val="center"/>
        </w:trPr>
        <w:tc>
          <w:tcPr>
            <w:tcW w:w="6922" w:type="dxa"/>
            <w:gridSpan w:val="3"/>
            <w:tcBorders>
              <w:top w:val="single" w:sz="4" w:space="0" w:color="auto"/>
            </w:tcBorders>
            <w:shd w:val="clear" w:color="auto" w:fill="FFFFFF"/>
            <w:vAlign w:val="bottom"/>
          </w:tcPr>
          <w:p w14:paraId="55414442" w14:textId="77777777" w:rsidR="0072615D" w:rsidRDefault="0072615D">
            <w:pPr>
              <w:pStyle w:val="Other0"/>
              <w:spacing w:line="216" w:lineRule="auto"/>
              <w:ind w:firstLine="0"/>
              <w:jc w:val="center"/>
              <w:rPr>
                <w:sz w:val="26"/>
                <w:szCs w:val="26"/>
              </w:rPr>
            </w:pPr>
            <w:r>
              <w:rPr>
                <w:rFonts w:ascii="Arial" w:eastAsia="Arial" w:hAnsi="Arial" w:cs="Arial"/>
                <w:w w:val="70"/>
                <w:sz w:val="26"/>
                <w:szCs w:val="26"/>
              </w:rPr>
              <w:t xml:space="preserve">Cuadro 2 - 6. </w:t>
            </w:r>
            <w:r>
              <w:rPr>
                <w:rFonts w:ascii="Arial" w:eastAsia="Arial" w:hAnsi="Arial" w:cs="Arial"/>
                <w:b/>
                <w:bCs/>
                <w:w w:val="70"/>
                <w:sz w:val="26"/>
                <w:szCs w:val="26"/>
              </w:rPr>
              <w:t>Antimicrobianos ingeridos por la madre que pueden originar problemas durante el amamantamiento</w:t>
            </w:r>
          </w:p>
        </w:tc>
      </w:tr>
      <w:tr w:rsidR="0072615D" w14:paraId="76780F4A" w14:textId="77777777">
        <w:tblPrEx>
          <w:tblCellMar>
            <w:top w:w="0" w:type="dxa"/>
            <w:bottom w:w="0" w:type="dxa"/>
          </w:tblCellMar>
        </w:tblPrEx>
        <w:trPr>
          <w:trHeight w:hRule="exact" w:val="835"/>
          <w:jc w:val="center"/>
        </w:trPr>
        <w:tc>
          <w:tcPr>
            <w:tcW w:w="1512" w:type="dxa"/>
            <w:shd w:val="clear" w:color="auto" w:fill="231F20"/>
          </w:tcPr>
          <w:p w14:paraId="2E8D497C"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firstLine="0"/>
              <w:rPr>
                <w:sz w:val="24"/>
                <w:szCs w:val="24"/>
              </w:rPr>
            </w:pPr>
            <w:r>
              <w:rPr>
                <w:rFonts w:ascii="Arial" w:eastAsia="Arial" w:hAnsi="Arial" w:cs="Arial"/>
                <w:b/>
                <w:bCs/>
                <w:color w:val="FFFFFF"/>
                <w:w w:val="70"/>
                <w:sz w:val="24"/>
                <w:szCs w:val="24"/>
              </w:rPr>
              <w:t>Antimicrobiano que recibe la mai</w:t>
            </w:r>
          </w:p>
        </w:tc>
        <w:tc>
          <w:tcPr>
            <w:tcW w:w="3072" w:type="dxa"/>
            <w:shd w:val="clear" w:color="auto" w:fill="231F20"/>
          </w:tcPr>
          <w:p w14:paraId="7D48F6F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560"/>
              <w:rPr>
                <w:sz w:val="24"/>
                <w:szCs w:val="24"/>
              </w:rPr>
            </w:pPr>
            <w:r>
              <w:rPr>
                <w:rFonts w:ascii="Arial" w:eastAsia="Arial" w:hAnsi="Arial" w:cs="Arial"/>
                <w:b/>
                <w:bCs/>
                <w:color w:val="FFFFFF"/>
                <w:w w:val="70"/>
                <w:sz w:val="24"/>
                <w:szCs w:val="24"/>
              </w:rPr>
              <w:t>Signo o síntoma señalado dre en el lactante o causa</w:t>
            </w:r>
          </w:p>
          <w:p w14:paraId="7336F7D5"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4" w:lineRule="auto"/>
              <w:ind w:firstLine="560"/>
              <w:rPr>
                <w:sz w:val="24"/>
                <w:szCs w:val="24"/>
              </w:rPr>
            </w:pPr>
            <w:r>
              <w:rPr>
                <w:rFonts w:ascii="Arial" w:eastAsia="Arial" w:hAnsi="Arial" w:cs="Arial"/>
                <w:b/>
                <w:bCs/>
                <w:color w:val="FFFFFF"/>
                <w:w w:val="70"/>
                <w:sz w:val="24"/>
                <w:szCs w:val="24"/>
              </w:rPr>
              <w:t>posible de preocupación</w:t>
            </w:r>
          </w:p>
        </w:tc>
        <w:tc>
          <w:tcPr>
            <w:tcW w:w="2338" w:type="dxa"/>
            <w:shd w:val="clear" w:color="auto" w:fill="231F20"/>
          </w:tcPr>
          <w:p w14:paraId="1ECE96B3"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Comité de Evaluación de Fármacos de AAP</w:t>
            </w:r>
          </w:p>
        </w:tc>
      </w:tr>
      <w:tr w:rsidR="0072615D" w14:paraId="21C8BBCE" w14:textId="77777777">
        <w:tblPrEx>
          <w:tblCellMar>
            <w:top w:w="0" w:type="dxa"/>
            <w:bottom w:w="0" w:type="dxa"/>
          </w:tblCellMar>
        </w:tblPrEx>
        <w:trPr>
          <w:trHeight w:hRule="exact" w:val="725"/>
          <w:jc w:val="center"/>
        </w:trPr>
        <w:tc>
          <w:tcPr>
            <w:tcW w:w="1512" w:type="dxa"/>
            <w:shd w:val="clear" w:color="auto" w:fill="FFFFFF"/>
          </w:tcPr>
          <w:p w14:paraId="76EF87E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Cloranfenicol</w:t>
            </w:r>
          </w:p>
        </w:tc>
        <w:tc>
          <w:tcPr>
            <w:tcW w:w="3072" w:type="dxa"/>
            <w:shd w:val="clear" w:color="auto" w:fill="FFFFFF"/>
          </w:tcPr>
          <w:p w14:paraId="5E3DE390" w14:textId="77777777" w:rsidR="0072615D" w:rsidRDefault="0072615D">
            <w:pPr>
              <w:pStyle w:val="Other0"/>
              <w:spacing w:line="283" w:lineRule="auto"/>
              <w:ind w:left="660" w:hanging="100"/>
              <w:rPr>
                <w:sz w:val="16"/>
                <w:szCs w:val="16"/>
              </w:rPr>
            </w:pPr>
            <w:r>
              <w:rPr>
                <w:rFonts w:ascii="Times New Roman" w:eastAsia="Times New Roman" w:hAnsi="Times New Roman" w:cs="Times New Roman"/>
                <w:sz w:val="16"/>
                <w:szCs w:val="16"/>
              </w:rPr>
              <w:t>Posible supresión idiosincrásica de médula ósea</w:t>
            </w:r>
          </w:p>
        </w:tc>
        <w:tc>
          <w:tcPr>
            <w:tcW w:w="2338" w:type="dxa"/>
            <w:shd w:val="clear" w:color="auto" w:fill="FFFFFF"/>
            <w:vAlign w:val="bottom"/>
          </w:tcPr>
          <w:p w14:paraId="074FF723" w14:textId="77777777" w:rsidR="0072615D" w:rsidRDefault="0072615D">
            <w:pPr>
              <w:pStyle w:val="Other0"/>
              <w:spacing w:line="283" w:lineRule="auto"/>
              <w:ind w:left="140" w:hanging="140"/>
              <w:rPr>
                <w:sz w:val="16"/>
                <w:szCs w:val="16"/>
              </w:rPr>
            </w:pPr>
            <w:r>
              <w:rPr>
                <w:rFonts w:ascii="Times New Roman" w:eastAsia="Times New Roman" w:hAnsi="Times New Roman" w:cs="Times New Roman"/>
                <w:sz w:val="16"/>
                <w:szCs w:val="16"/>
              </w:rPr>
              <w:t>Se desconoce el efecto en el pequeño amamantado pero pudiera ser importante</w:t>
            </w:r>
          </w:p>
        </w:tc>
      </w:tr>
      <w:tr w:rsidR="0072615D" w14:paraId="55FC77A8" w14:textId="77777777">
        <w:tblPrEx>
          <w:tblCellMar>
            <w:top w:w="0" w:type="dxa"/>
            <w:bottom w:w="0" w:type="dxa"/>
          </w:tblCellMar>
        </w:tblPrEx>
        <w:trPr>
          <w:trHeight w:hRule="exact" w:val="1704"/>
          <w:jc w:val="center"/>
        </w:trPr>
        <w:tc>
          <w:tcPr>
            <w:tcW w:w="1512" w:type="dxa"/>
            <w:shd w:val="clear" w:color="auto" w:fill="FFFFFF"/>
          </w:tcPr>
          <w:p w14:paraId="2CD9894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Metronidazol</w:t>
            </w:r>
          </w:p>
        </w:tc>
        <w:tc>
          <w:tcPr>
            <w:tcW w:w="3072" w:type="dxa"/>
            <w:shd w:val="clear" w:color="auto" w:fill="FFFFFF"/>
          </w:tcPr>
          <w:p w14:paraId="30735E07" w14:textId="77777777" w:rsidR="0072615D" w:rsidRDefault="0072615D">
            <w:pPr>
              <w:pStyle w:val="Other0"/>
              <w:spacing w:line="240" w:lineRule="auto"/>
              <w:ind w:firstLine="560"/>
              <w:rPr>
                <w:sz w:val="16"/>
                <w:szCs w:val="16"/>
              </w:rPr>
            </w:pPr>
            <w:r>
              <w:rPr>
                <w:rFonts w:ascii="Times New Roman" w:eastAsia="Times New Roman" w:hAnsi="Times New Roman" w:cs="Times New Roman"/>
                <w:sz w:val="16"/>
                <w:szCs w:val="16"/>
              </w:rPr>
              <w:t xml:space="preserve">Mutágeno </w:t>
            </w:r>
            <w:r>
              <w:rPr>
                <w:rFonts w:ascii="Times New Roman" w:eastAsia="Times New Roman" w:hAnsi="Times New Roman" w:cs="Times New Roman"/>
                <w:i/>
                <w:iCs/>
                <w:sz w:val="16"/>
                <w:szCs w:val="16"/>
              </w:rPr>
              <w:t>in vitro</w:t>
            </w:r>
          </w:p>
        </w:tc>
        <w:tc>
          <w:tcPr>
            <w:tcW w:w="2338" w:type="dxa"/>
            <w:shd w:val="clear" w:color="auto" w:fill="FFFFFF"/>
          </w:tcPr>
          <w:p w14:paraId="54EAFD18" w14:textId="77777777" w:rsidR="0072615D" w:rsidRDefault="0072615D">
            <w:pPr>
              <w:pStyle w:val="Other0"/>
              <w:spacing w:line="283" w:lineRule="auto"/>
              <w:ind w:left="140" w:hanging="140"/>
              <w:rPr>
                <w:sz w:val="16"/>
                <w:szCs w:val="16"/>
              </w:rPr>
            </w:pPr>
            <w:r>
              <w:rPr>
                <w:rFonts w:ascii="Times New Roman" w:eastAsia="Times New Roman" w:hAnsi="Times New Roman" w:cs="Times New Roman"/>
                <w:sz w:val="16"/>
                <w:szCs w:val="16"/>
              </w:rPr>
              <w:t>Se desconoce el efecto en el pequeño amamantado, pero pudiera ser importante; se puede interrumpir el amamantamiento 12 a 24 h para que se excrete la dosis del fármaco si la madre recibió una sola dosis</w:t>
            </w:r>
          </w:p>
        </w:tc>
      </w:tr>
      <w:tr w:rsidR="0072615D" w14:paraId="332D12D2" w14:textId="77777777">
        <w:tblPrEx>
          <w:tblCellMar>
            <w:top w:w="0" w:type="dxa"/>
            <w:bottom w:w="0" w:type="dxa"/>
          </w:tblCellMar>
        </w:tblPrEx>
        <w:trPr>
          <w:trHeight w:hRule="exact" w:val="451"/>
          <w:jc w:val="center"/>
        </w:trPr>
        <w:tc>
          <w:tcPr>
            <w:tcW w:w="1512" w:type="dxa"/>
            <w:shd w:val="clear" w:color="auto" w:fill="FFFFFF"/>
          </w:tcPr>
          <w:p w14:paraId="51873E2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Fluoroquinolonas</w:t>
            </w:r>
          </w:p>
        </w:tc>
        <w:tc>
          <w:tcPr>
            <w:tcW w:w="3072" w:type="dxa"/>
            <w:shd w:val="clear" w:color="auto" w:fill="FFFFFF"/>
            <w:vAlign w:val="bottom"/>
          </w:tcPr>
          <w:p w14:paraId="4C672026" w14:textId="77777777" w:rsidR="0072615D" w:rsidRDefault="0072615D">
            <w:pPr>
              <w:pStyle w:val="Other0"/>
              <w:spacing w:line="283" w:lineRule="auto"/>
              <w:ind w:left="660" w:hanging="100"/>
              <w:rPr>
                <w:sz w:val="16"/>
                <w:szCs w:val="16"/>
              </w:rPr>
            </w:pPr>
            <w:r>
              <w:rPr>
                <w:rFonts w:ascii="Times New Roman" w:eastAsia="Times New Roman" w:hAnsi="Times New Roman" w:cs="Times New Roman"/>
                <w:sz w:val="16"/>
                <w:szCs w:val="16"/>
              </w:rPr>
              <w:t>Ninguna en el caso de ciprofloxacina u ofloxacina</w:t>
            </w:r>
          </w:p>
        </w:tc>
        <w:tc>
          <w:tcPr>
            <w:tcW w:w="2338" w:type="dxa"/>
            <w:shd w:val="clear" w:color="auto" w:fill="FFFFFF"/>
            <w:vAlign w:val="bottom"/>
          </w:tcPr>
          <w:p w14:paraId="2B49396F" w14:textId="77777777" w:rsidR="0072615D" w:rsidRDefault="0072615D">
            <w:pPr>
              <w:pStyle w:val="Other0"/>
              <w:spacing w:line="283" w:lineRule="auto"/>
              <w:ind w:left="140" w:hanging="140"/>
              <w:rPr>
                <w:sz w:val="16"/>
                <w:szCs w:val="16"/>
              </w:rPr>
            </w:pPr>
            <w:r>
              <w:rPr>
                <w:rFonts w:ascii="Times New Roman" w:eastAsia="Times New Roman" w:hAnsi="Times New Roman" w:cs="Times New Roman"/>
                <w:sz w:val="16"/>
                <w:szCs w:val="16"/>
              </w:rPr>
              <w:t>No se dispone de datos de otras fluoroquinolonas</w:t>
            </w:r>
          </w:p>
        </w:tc>
      </w:tr>
      <w:tr w:rsidR="0072615D" w14:paraId="44CC9F9E" w14:textId="77777777">
        <w:tblPrEx>
          <w:tblCellMar>
            <w:top w:w="0" w:type="dxa"/>
            <w:bottom w:w="0" w:type="dxa"/>
          </w:tblCellMar>
        </w:tblPrEx>
        <w:trPr>
          <w:trHeight w:hRule="exact" w:val="1080"/>
          <w:jc w:val="center"/>
        </w:trPr>
        <w:tc>
          <w:tcPr>
            <w:tcW w:w="1512" w:type="dxa"/>
            <w:shd w:val="clear" w:color="auto" w:fill="FFFFFF"/>
          </w:tcPr>
          <w:p w14:paraId="6337BE4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Isoniazida</w:t>
            </w:r>
          </w:p>
        </w:tc>
        <w:tc>
          <w:tcPr>
            <w:tcW w:w="3072" w:type="dxa"/>
            <w:shd w:val="clear" w:color="auto" w:fill="FFFFFF"/>
          </w:tcPr>
          <w:p w14:paraId="6C8CA321" w14:textId="77777777" w:rsidR="0072615D" w:rsidRDefault="0072615D">
            <w:pPr>
              <w:pStyle w:val="Other0"/>
              <w:spacing w:line="283" w:lineRule="auto"/>
              <w:ind w:left="660" w:hanging="100"/>
              <w:rPr>
                <w:sz w:val="16"/>
                <w:szCs w:val="16"/>
              </w:rPr>
            </w:pPr>
            <w:r>
              <w:rPr>
                <w:rFonts w:ascii="Times New Roman" w:eastAsia="Times New Roman" w:hAnsi="Times New Roman" w:cs="Times New Roman"/>
                <w:sz w:val="16"/>
                <w:szCs w:val="16"/>
              </w:rPr>
              <w:t>Ninguno; secreción del metabolito acetilo, pero no se ha señalado efectos tóxicos en el hígado del lactante</w:t>
            </w:r>
          </w:p>
        </w:tc>
        <w:tc>
          <w:tcPr>
            <w:tcW w:w="2338" w:type="dxa"/>
            <w:shd w:val="clear" w:color="auto" w:fill="FFFFFF"/>
            <w:vAlign w:val="bottom"/>
          </w:tcPr>
          <w:p w14:paraId="6A5B1F4C" w14:textId="77777777" w:rsidR="0072615D" w:rsidRDefault="0072615D">
            <w:pPr>
              <w:pStyle w:val="Other0"/>
              <w:spacing w:line="283" w:lineRule="auto"/>
              <w:ind w:left="140" w:hanging="140"/>
              <w:rPr>
                <w:sz w:val="16"/>
                <w:szCs w:val="16"/>
              </w:rPr>
            </w:pPr>
            <w:r>
              <w:rPr>
                <w:rFonts w:ascii="Times New Roman" w:eastAsia="Times New Roman" w:hAnsi="Times New Roman" w:cs="Times New Roman"/>
                <w:sz w:val="16"/>
                <w:szCs w:val="16"/>
              </w:rPr>
              <w:t>Por lo común compatible con el amamantamiento, algunos expertos permitirían la administración de clorhidrato de piridoxina al lactante</w:t>
            </w:r>
          </w:p>
        </w:tc>
      </w:tr>
      <w:tr w:rsidR="0072615D" w14:paraId="68384AF5" w14:textId="77777777">
        <w:tblPrEx>
          <w:tblCellMar>
            <w:top w:w="0" w:type="dxa"/>
            <w:bottom w:w="0" w:type="dxa"/>
          </w:tblCellMar>
        </w:tblPrEx>
        <w:trPr>
          <w:trHeight w:hRule="exact" w:val="413"/>
          <w:jc w:val="center"/>
        </w:trPr>
        <w:tc>
          <w:tcPr>
            <w:tcW w:w="1512" w:type="dxa"/>
            <w:shd w:val="clear" w:color="auto" w:fill="FFFFFF"/>
          </w:tcPr>
          <w:p w14:paraId="791457A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Ácido nalidíxico</w:t>
            </w:r>
          </w:p>
        </w:tc>
        <w:tc>
          <w:tcPr>
            <w:tcW w:w="3072" w:type="dxa"/>
            <w:shd w:val="clear" w:color="auto" w:fill="FFFFFF"/>
          </w:tcPr>
          <w:p w14:paraId="1C7360AF" w14:textId="77777777" w:rsidR="0072615D" w:rsidRDefault="0072615D">
            <w:pPr>
              <w:pStyle w:val="Other0"/>
              <w:spacing w:line="283" w:lineRule="auto"/>
              <w:ind w:left="660" w:hanging="100"/>
              <w:rPr>
                <w:sz w:val="16"/>
                <w:szCs w:val="16"/>
              </w:rPr>
            </w:pPr>
            <w:r>
              <w:rPr>
                <w:rFonts w:ascii="Times New Roman" w:eastAsia="Times New Roman" w:hAnsi="Times New Roman" w:cs="Times New Roman"/>
                <w:sz w:val="16"/>
                <w:szCs w:val="16"/>
              </w:rPr>
              <w:t>Hemólisis en el pequeño con deficiencia G6PD</w:t>
            </w:r>
          </w:p>
        </w:tc>
        <w:tc>
          <w:tcPr>
            <w:tcW w:w="2338" w:type="dxa"/>
            <w:shd w:val="clear" w:color="auto" w:fill="FFFFFF"/>
          </w:tcPr>
          <w:p w14:paraId="1150EA46" w14:textId="77777777" w:rsidR="0072615D" w:rsidRDefault="0072615D">
            <w:pPr>
              <w:pStyle w:val="Other0"/>
              <w:spacing w:line="283" w:lineRule="auto"/>
              <w:ind w:left="140" w:hanging="140"/>
              <w:rPr>
                <w:sz w:val="16"/>
                <w:szCs w:val="16"/>
              </w:rPr>
            </w:pPr>
            <w:r>
              <w:rPr>
                <w:rFonts w:ascii="Times New Roman" w:eastAsia="Times New Roman" w:hAnsi="Times New Roman" w:cs="Times New Roman"/>
                <w:sz w:val="16"/>
                <w:szCs w:val="16"/>
              </w:rPr>
              <w:t>Por lo común compatible con el amamantamiento</w:t>
            </w:r>
          </w:p>
        </w:tc>
      </w:tr>
      <w:tr w:rsidR="0072615D" w14:paraId="335F43A1" w14:textId="77777777">
        <w:tblPrEx>
          <w:tblCellMar>
            <w:top w:w="0" w:type="dxa"/>
            <w:bottom w:w="0" w:type="dxa"/>
          </w:tblCellMar>
        </w:tblPrEx>
        <w:trPr>
          <w:trHeight w:hRule="exact" w:val="432"/>
          <w:jc w:val="center"/>
        </w:trPr>
        <w:tc>
          <w:tcPr>
            <w:tcW w:w="1512" w:type="dxa"/>
            <w:shd w:val="clear" w:color="auto" w:fill="FFFFFF"/>
          </w:tcPr>
          <w:p w14:paraId="52A0767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Nitrofurantoína</w:t>
            </w:r>
          </w:p>
        </w:tc>
        <w:tc>
          <w:tcPr>
            <w:tcW w:w="3072" w:type="dxa"/>
            <w:shd w:val="clear" w:color="auto" w:fill="FFFFFF"/>
            <w:vAlign w:val="bottom"/>
          </w:tcPr>
          <w:p w14:paraId="70EC93EE" w14:textId="77777777" w:rsidR="0072615D" w:rsidRDefault="0072615D">
            <w:pPr>
              <w:pStyle w:val="Other0"/>
              <w:spacing w:line="283" w:lineRule="auto"/>
              <w:ind w:left="660" w:hanging="100"/>
              <w:rPr>
                <w:sz w:val="16"/>
                <w:szCs w:val="16"/>
              </w:rPr>
            </w:pPr>
            <w:r>
              <w:rPr>
                <w:rFonts w:ascii="Times New Roman" w:eastAsia="Times New Roman" w:hAnsi="Times New Roman" w:cs="Times New Roman"/>
                <w:sz w:val="16"/>
                <w:szCs w:val="16"/>
              </w:rPr>
              <w:t>Hemólisis en el pequeño con deficiencia G6PD</w:t>
            </w:r>
          </w:p>
        </w:tc>
        <w:tc>
          <w:tcPr>
            <w:tcW w:w="2338" w:type="dxa"/>
            <w:shd w:val="clear" w:color="auto" w:fill="FFFFFF"/>
            <w:vAlign w:val="bottom"/>
          </w:tcPr>
          <w:p w14:paraId="3EF40B38" w14:textId="77777777" w:rsidR="0072615D" w:rsidRDefault="0072615D">
            <w:pPr>
              <w:pStyle w:val="Other0"/>
              <w:spacing w:line="283" w:lineRule="auto"/>
              <w:ind w:left="140" w:hanging="140"/>
              <w:rPr>
                <w:sz w:val="16"/>
                <w:szCs w:val="16"/>
              </w:rPr>
            </w:pPr>
            <w:r>
              <w:rPr>
                <w:rFonts w:ascii="Times New Roman" w:eastAsia="Times New Roman" w:hAnsi="Times New Roman" w:cs="Times New Roman"/>
                <w:sz w:val="16"/>
                <w:szCs w:val="16"/>
              </w:rPr>
              <w:t>Por lo común compatible con el amamantamiento</w:t>
            </w:r>
          </w:p>
        </w:tc>
      </w:tr>
      <w:tr w:rsidR="0072615D" w14:paraId="421B84CE" w14:textId="77777777">
        <w:tblPrEx>
          <w:tblCellMar>
            <w:top w:w="0" w:type="dxa"/>
            <w:bottom w:w="0" w:type="dxa"/>
          </w:tblCellMar>
        </w:tblPrEx>
        <w:trPr>
          <w:trHeight w:hRule="exact" w:val="888"/>
          <w:jc w:val="center"/>
        </w:trPr>
        <w:tc>
          <w:tcPr>
            <w:tcW w:w="1512" w:type="dxa"/>
            <w:shd w:val="clear" w:color="auto" w:fill="FFFFFF"/>
          </w:tcPr>
          <w:p w14:paraId="68B23A9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Sulfonamidas</w:t>
            </w:r>
          </w:p>
        </w:tc>
        <w:tc>
          <w:tcPr>
            <w:tcW w:w="3072" w:type="dxa"/>
            <w:shd w:val="clear" w:color="auto" w:fill="FFFFFF"/>
            <w:vAlign w:val="bottom"/>
          </w:tcPr>
          <w:p w14:paraId="187FDC60" w14:textId="77777777" w:rsidR="0072615D" w:rsidRDefault="0072615D">
            <w:pPr>
              <w:pStyle w:val="Other0"/>
              <w:spacing w:line="283" w:lineRule="auto"/>
              <w:ind w:left="660" w:hanging="100"/>
              <w:rPr>
                <w:sz w:val="16"/>
                <w:szCs w:val="16"/>
              </w:rPr>
            </w:pPr>
            <w:r>
              <w:rPr>
                <w:rFonts w:ascii="Times New Roman" w:eastAsia="Times New Roman" w:hAnsi="Times New Roman" w:cs="Times New Roman"/>
                <w:sz w:val="16"/>
                <w:szCs w:val="16"/>
              </w:rPr>
              <w:t>Cautela en el pequeño con ictericia o deficiencia de G6PD y también en el niño enfermo, con hipoxia o prematuro</w:t>
            </w:r>
          </w:p>
        </w:tc>
        <w:tc>
          <w:tcPr>
            <w:tcW w:w="2338" w:type="dxa"/>
            <w:shd w:val="clear" w:color="auto" w:fill="FFFFFF"/>
          </w:tcPr>
          <w:p w14:paraId="7C3616F4" w14:textId="77777777" w:rsidR="0072615D" w:rsidRDefault="0072615D">
            <w:pPr>
              <w:pStyle w:val="Other0"/>
              <w:spacing w:line="283" w:lineRule="auto"/>
              <w:ind w:left="140" w:hanging="140"/>
              <w:rPr>
                <w:sz w:val="16"/>
                <w:szCs w:val="16"/>
              </w:rPr>
            </w:pPr>
            <w:r>
              <w:rPr>
                <w:rFonts w:ascii="Times New Roman" w:eastAsia="Times New Roman" w:hAnsi="Times New Roman" w:cs="Times New Roman"/>
                <w:sz w:val="16"/>
                <w:szCs w:val="16"/>
              </w:rPr>
              <w:t>Por lo común compatible con el amamantamiento</w:t>
            </w:r>
          </w:p>
        </w:tc>
      </w:tr>
      <w:tr w:rsidR="0072615D" w14:paraId="416869CD" w14:textId="77777777">
        <w:tblPrEx>
          <w:tblCellMar>
            <w:top w:w="0" w:type="dxa"/>
            <w:bottom w:w="0" w:type="dxa"/>
          </w:tblCellMar>
        </w:tblPrEx>
        <w:trPr>
          <w:trHeight w:hRule="exact" w:val="523"/>
          <w:jc w:val="center"/>
        </w:trPr>
        <w:tc>
          <w:tcPr>
            <w:tcW w:w="1512" w:type="dxa"/>
            <w:tcBorders>
              <w:bottom w:val="single" w:sz="4" w:space="0" w:color="auto"/>
            </w:tcBorders>
            <w:shd w:val="clear" w:color="auto" w:fill="FFFFFF"/>
          </w:tcPr>
          <w:p w14:paraId="34C2978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Tinidazol</w:t>
            </w:r>
          </w:p>
        </w:tc>
        <w:tc>
          <w:tcPr>
            <w:tcW w:w="3072" w:type="dxa"/>
            <w:tcBorders>
              <w:bottom w:val="single" w:sz="4" w:space="0" w:color="auto"/>
            </w:tcBorders>
            <w:shd w:val="clear" w:color="auto" w:fill="FFFFFF"/>
          </w:tcPr>
          <w:p w14:paraId="283C9EFE" w14:textId="77777777" w:rsidR="0072615D" w:rsidRDefault="0072615D">
            <w:pPr>
              <w:pStyle w:val="Other0"/>
              <w:spacing w:line="283" w:lineRule="auto"/>
              <w:ind w:left="660" w:hanging="100"/>
              <w:rPr>
                <w:sz w:val="16"/>
                <w:szCs w:val="16"/>
              </w:rPr>
            </w:pPr>
            <w:r>
              <w:rPr>
                <w:rFonts w:ascii="Times New Roman" w:eastAsia="Times New Roman" w:hAnsi="Times New Roman" w:cs="Times New Roman"/>
                <w:sz w:val="16"/>
                <w:szCs w:val="16"/>
              </w:rPr>
              <w:t>Consultar lo referente a metronidazol</w:t>
            </w:r>
          </w:p>
        </w:tc>
        <w:tc>
          <w:tcPr>
            <w:tcW w:w="2338" w:type="dxa"/>
            <w:tcBorders>
              <w:bottom w:val="single" w:sz="4" w:space="0" w:color="auto"/>
            </w:tcBorders>
            <w:shd w:val="clear" w:color="auto" w:fill="FFFFFF"/>
          </w:tcPr>
          <w:p w14:paraId="38AC348A" w14:textId="77777777" w:rsidR="0072615D" w:rsidRDefault="0072615D">
            <w:pPr>
              <w:pStyle w:val="Other0"/>
              <w:spacing w:line="283" w:lineRule="auto"/>
              <w:ind w:left="140" w:hanging="140"/>
              <w:rPr>
                <w:sz w:val="16"/>
                <w:szCs w:val="16"/>
              </w:rPr>
            </w:pPr>
            <w:r>
              <w:rPr>
                <w:rFonts w:ascii="Times New Roman" w:eastAsia="Times New Roman" w:hAnsi="Times New Roman" w:cs="Times New Roman"/>
                <w:sz w:val="16"/>
                <w:szCs w:val="16"/>
              </w:rPr>
              <w:t>No ha sido aprobado por la FDA en Estados Unidos</w:t>
            </w:r>
          </w:p>
        </w:tc>
      </w:tr>
    </w:tbl>
    <w:p w14:paraId="5DAFA4E1" w14:textId="77777777" w:rsidR="0072615D" w:rsidRDefault="0072615D">
      <w:pPr>
        <w:pStyle w:val="Tablecaption0"/>
        <w:spacing w:line="240" w:lineRule="auto"/>
        <w:ind w:left="240"/>
      </w:pPr>
      <w:r>
        <w:t xml:space="preserve">AAP, </w:t>
      </w:r>
      <w:r>
        <w:rPr>
          <w:i/>
          <w:iCs/>
        </w:rPr>
        <w:t>American Academy of Pediatrics;</w:t>
      </w:r>
      <w:r>
        <w:t xml:space="preserve"> G6PD, deshidrogenasa de glucosa-6-fosfato </w:t>
      </w:r>
      <w:r>
        <w:rPr>
          <w:i/>
          <w:iCs/>
        </w:rPr>
        <w:t>(glucose-6-phosphate dehydrogenase);</w:t>
      </w:r>
      <w:r>
        <w:t xml:space="preserve"> FDA, </w:t>
      </w:r>
      <w:r>
        <w:rPr>
          <w:i/>
          <w:iCs/>
        </w:rPr>
        <w:t>Food and Drug Administration.</w:t>
      </w:r>
    </w:p>
    <w:p w14:paraId="3655298D" w14:textId="77777777" w:rsidR="0072615D" w:rsidRDefault="0072615D">
      <w:pPr>
        <w:spacing w:after="519" w:line="1" w:lineRule="exact"/>
      </w:pPr>
    </w:p>
    <w:p w14:paraId="7C27C994" w14:textId="77777777" w:rsidR="0072615D" w:rsidRDefault="0072615D">
      <w:pPr>
        <w:pStyle w:val="BodyText"/>
        <w:ind w:left="260" w:firstLine="400"/>
      </w:pPr>
      <w:r>
        <w:t>El consumo de doxiciclina u otras tetraciclinas por la mujer pudiera ser compatible con el amamantamiento porque es insignificante la absorción de los medicamentos por parte del niño amamantado. Algunos expertos recomiendan que sería mejor que las mujeres lactantes no consumieran uno u otro fármacos, en la medida de lo posible, ante la posibilidad de que surjan manchas en los dientes del pequeño aún sin salir.</w:t>
      </w:r>
    </w:p>
    <w:p w14:paraId="1D6D3E49" w14:textId="77777777" w:rsidR="0072615D" w:rsidRDefault="0072615D">
      <w:pPr>
        <w:pStyle w:val="BodyText"/>
        <w:ind w:left="260" w:firstLine="400"/>
        <w:sectPr w:rsidR="0072615D" w:rsidSect="0072615D">
          <w:headerReference w:type="even" r:id="rId306"/>
          <w:headerReference w:type="default" r:id="rId307"/>
          <w:footerReference w:type="even" r:id="rId308"/>
          <w:footerReference w:type="default" r:id="rId309"/>
          <w:footnotePr>
            <w:numFmt w:val="chicago"/>
          </w:footnotePr>
          <w:pgSz w:w="8501" w:h="13022"/>
          <w:pgMar w:top="698" w:right="714" w:bottom="436" w:left="519" w:header="0" w:footer="3" w:gutter="0"/>
          <w:pgNumType w:start="129"/>
          <w:cols w:space="720"/>
          <w:noEndnote/>
          <w:docGrid w:linePitch="360"/>
          <w15:footnoteColumns w:val="1"/>
        </w:sectPr>
      </w:pPr>
      <w:r>
        <w:t>La cantidad de fármaco que recibe el niño de su madre que lo amamanta depende de diversos factores, incluida la dosis que ella recibe, la frecuencia y duración de la administración, la absorción y características de distribución del medicamento. Cuando una mujer en fase de lactancia recibe dosis apropiadas de un antimicrobiano, la concentración de él en la leche por lo común es menor que el equivalente de una dosis terapéutica para el pequeño. En lactante amamantado que necesita antimicrobianos debe recibir las dosis recomendadas, incluso si se administra el mismo agente a su madre.</w:t>
      </w:r>
    </w:p>
    <w:p w14:paraId="02FB3264" w14:textId="77777777" w:rsidR="0072615D" w:rsidRDefault="0072615D">
      <w:pPr>
        <w:pStyle w:val="BodyText"/>
        <w:ind w:left="300" w:firstLine="340"/>
      </w:pPr>
      <w:r>
        <w:t>Es importante considerar las características del lactante amamantado cuando se evalúa el posible efecto de antimicrobianos específicos que ha recibido su madre. Factores como la madurez del producto al nacer, la edad posparto y el estado clínico, así como las características del amamantamiento, modificarán posibles riesgos al pequeño. Si él tiene una deficiencia de glucosa-6-fosfato deshidrogenasa, es mejor que su madre no reciba ácido nalidíxico, nitrofurantoína ni sulfonamidas (cuadro 2-6). En el caso de un niño prematuro, con ictericia, deficiencia de oxigenación o enfermo, es mejor no administrar compuestos sulfonamídicos a su madre. Además, las propiedades farmacocinéticas del antimicrobiano permiten valorar la inocuidad de un agente nuevo, del cual se desconoce si aparecerá en la leche. Si el producto no muestra biodisponibilidad después de ingerido (es decir, debe administrarse por vía parenteral), no será absorbido por el lactante de la leche.</w:t>
      </w:r>
    </w:p>
    <w:p w14:paraId="79C8DED2" w14:textId="77777777" w:rsidR="0072615D" w:rsidRDefault="0072615D">
      <w:pPr>
        <w:pStyle w:val="BodyText"/>
        <w:spacing w:after="560"/>
        <w:ind w:left="300" w:firstLine="340"/>
      </w:pPr>
      <w:r>
        <w:t>Otro aspecto por considerar es la posibilidad de que interactúen fármacos que la madre recibe y también otros que recibe su pequeño. Por tal razón, los médicos que atienden a lactantes amamantados deben conocer en detalle los fármacos que recibe la madre y la posibilidad de interacciones adversas con los administrados al pequeño. Cuando se decide el uso de algún antimicrobiano para una madre lactante, el médico debe ponderar los beneficios del amamantamiento y compararlos con el posible riesgo que el pequeño tiene con la exposición a un fármaco. En casi todos los casos, los beneficios exceden los riesgos. Será muy raro el caso en el cual estaría contraindicado el único medicamento eficaz para tratar alguna infección en la mujer porque impone riesgos a su hijo lactante.</w:t>
      </w:r>
    </w:p>
    <w:p w14:paraId="2A191CD9" w14:textId="77777777" w:rsidR="0072615D" w:rsidRDefault="0072615D">
      <w:pPr>
        <w:pStyle w:val="Bodytext100"/>
        <w:spacing w:after="0" w:line="338" w:lineRule="auto"/>
      </w:pPr>
      <w:r>
        <w:rPr>
          <w:sz w:val="34"/>
          <w:szCs w:val="34"/>
          <w:shd w:val="clear" w:color="auto" w:fill="FFFFFF"/>
        </w:rPr>
        <w:t>N</w:t>
      </w:r>
      <w:r>
        <w:rPr>
          <w:shd w:val="clear" w:color="auto" w:fill="FFFFFF"/>
        </w:rPr>
        <w:t>iños en el sistema asistencial</w:t>
      </w:r>
    </w:p>
    <w:p w14:paraId="2074734C" w14:textId="77777777" w:rsidR="0072615D" w:rsidRDefault="0072615D">
      <w:pPr>
        <w:pStyle w:val="Other0"/>
        <w:spacing w:after="120" w:line="338" w:lineRule="auto"/>
        <w:ind w:firstLine="0"/>
        <w:jc w:val="center"/>
        <w:rPr>
          <w:sz w:val="32"/>
          <w:szCs w:val="32"/>
        </w:rPr>
      </w:pPr>
      <w:r>
        <w:rPr>
          <w:rFonts w:ascii="Times New Roman" w:eastAsia="Times New Roman" w:hAnsi="Times New Roman" w:cs="Times New Roman"/>
          <w:sz w:val="26"/>
          <w:szCs w:val="26"/>
        </w:rPr>
        <w:t>EXTRAHOGAREÑO</w:t>
      </w:r>
      <w:r>
        <w:rPr>
          <w:rFonts w:ascii="Times New Roman" w:eastAsia="Times New Roman" w:hAnsi="Times New Roman" w:cs="Times New Roman"/>
          <w:sz w:val="32"/>
          <w:szCs w:val="32"/>
        </w:rPr>
        <w:footnoteReference w:id="43"/>
      </w:r>
    </w:p>
    <w:p w14:paraId="2E77E282" w14:textId="77777777" w:rsidR="0072615D" w:rsidRDefault="0072615D">
      <w:pPr>
        <w:pStyle w:val="BodyText"/>
        <w:ind w:left="300" w:firstLine="0"/>
      </w:pPr>
      <w:r>
        <w:rPr>
          <w:shd w:val="clear" w:color="auto" w:fill="FFFFFF"/>
        </w:rPr>
        <w:t>Los lactantes y niños de corta edad que son atendidos dentro de grupos tienen una mayor cifra de algunas enfermedades infecciosas y un mayor peligro de adquirir microorganismos resistentes a antimicrobianos. En la prevención y erradicación de infecciones en los niños del sistema asistencial extrahogareño influyen algunos factores como: 1) las prácticas de higiene personal y estado de inmunización de los cuidadores;</w:t>
      </w:r>
    </w:p>
    <w:p w14:paraId="48395C09" w14:textId="77777777" w:rsidR="0072615D" w:rsidRDefault="0072615D">
      <w:pPr>
        <w:pStyle w:val="BodyText"/>
        <w:numPr>
          <w:ilvl w:val="0"/>
          <w:numId w:val="40"/>
        </w:numPr>
        <w:tabs>
          <w:tab w:val="left" w:pos="584"/>
        </w:tabs>
        <w:spacing w:after="340"/>
        <w:ind w:left="300" w:firstLine="0"/>
        <w:sectPr w:rsidR="0072615D" w:rsidSect="0072615D">
          <w:headerReference w:type="even" r:id="rId310"/>
          <w:headerReference w:type="default" r:id="rId311"/>
          <w:footerReference w:type="even" r:id="rId312"/>
          <w:footerReference w:type="default" r:id="rId313"/>
          <w:footnotePr>
            <w:numFmt w:val="chicago"/>
          </w:footnotePr>
          <w:type w:val="continuous"/>
          <w:pgSz w:w="8501" w:h="13022"/>
          <w:pgMar w:top="698" w:right="714" w:bottom="436" w:left="519" w:header="0" w:footer="8" w:gutter="0"/>
          <w:cols w:space="720"/>
          <w:noEndnote/>
          <w:docGrid w:linePitch="360"/>
          <w15:footnoteColumns w:val="1"/>
        </w:sectPr>
      </w:pPr>
      <w:bookmarkStart w:id="417" w:name="bookmark417"/>
      <w:bookmarkEnd w:id="417"/>
      <w:r>
        <w:t>la sanidad ambiental; 3) los métodos de manipulación de alimentos; 4) la edad y el estado de inmunización de los menores; 5) la proporción numérica entre niños y cuidadores; 6) el espacio físico y la calidad de las instalaciones; y 7) la frecuencia de uso de antimicrobianos en niños en el sistema asistencial. Para abordar adecuadamente los problemas de erradicación de infecciones en niños en los grupos mencionados se necesita la colaboración de funcionarios de salud pública, organismos de acreditación, profesionales en la asistencia infantil, médicos, enfermeras, padres, patrones y otros miembros de la comunidad.</w:t>
      </w:r>
    </w:p>
    <w:p w14:paraId="5B8C91B2" w14:textId="77777777" w:rsidR="0072615D" w:rsidRDefault="0072615D">
      <w:pPr>
        <w:pStyle w:val="BodyText"/>
        <w:ind w:left="300" w:firstLine="340"/>
      </w:pPr>
      <w:r>
        <w:t>Es importante considerar las características del lactante amamantado cuando se evalúa el posible efecto de antimicrobianos específicos que ha recibido su madre. Factores como la madurez del producto al nacer, la edad posparto y el estado clínico, así como las características del amamantamiento, modificarán posibles riesgos al pequeño. Si él tiene una deficiencia de glucosa-6-fosfato deshidrogenasa, es mejor que su madre no reciba ácido nalidíxico, nitrofurantoína ni sulfonamidas (cuadro 2-6). En el caso de un niño prematuro, con ictericia, deficiencia de oxigenación o enfermo, es mejor no administrar compuestos sulfonamídicos a su madre. Además, las propiedades farmacocinéticas del antimicrobiano permiten valorar la inocuidad de un agente nuevo, del cual se desconoce si aparecerá en la leche. Si el producto no muestra biodisponibilidad después de ingerido (es decir, debe administrarse por vía parenteral), no será absorbido por el lactante de la leche.</w:t>
      </w:r>
    </w:p>
    <w:p w14:paraId="3ABE3DFE" w14:textId="77777777" w:rsidR="0072615D" w:rsidRDefault="0072615D">
      <w:pPr>
        <w:pStyle w:val="BodyText"/>
        <w:spacing w:after="560"/>
        <w:ind w:left="300" w:firstLine="340"/>
      </w:pPr>
      <w:r>
        <w:t>Otro aspecto por considerar es la posibilidad de que interactúen fármacos que la madre recibe y también otros que recibe su pequeño. Por tal razón, los médicos que atienden a lactantes amamantados deben conocer en detalle los fármacos que recibe la madre y la posibilidad de interacciones adversas con los administrados al pequeño. Cuando se decide el uso de algún antimicrobiano para una madre lactante, el médico debe ponderar los beneficios del amamantamiento y compararlos con el posible riesgo que el pequeño tiene con la exposición a un fármaco. En casi todos los casos, los beneficios exceden los riesgos. Será muy raro el caso en el cual estaría contraindicado el único medicamento eficaz para tratar alguna infección en la mujer porque impone riesgos a su hijo lactante.</w:t>
      </w:r>
    </w:p>
    <w:p w14:paraId="2F5D1B6E" w14:textId="77777777" w:rsidR="0072615D" w:rsidRDefault="0072615D">
      <w:pPr>
        <w:pStyle w:val="Bodytext100"/>
        <w:spacing w:after="0" w:line="338" w:lineRule="auto"/>
      </w:pPr>
      <w:r>
        <w:rPr>
          <w:sz w:val="34"/>
          <w:szCs w:val="34"/>
          <w:shd w:val="clear" w:color="auto" w:fill="FFFFFF"/>
        </w:rPr>
        <w:t>N</w:t>
      </w:r>
      <w:r>
        <w:rPr>
          <w:shd w:val="clear" w:color="auto" w:fill="FFFFFF"/>
        </w:rPr>
        <w:t>iños en el sistema asistencial</w:t>
      </w:r>
    </w:p>
    <w:p w14:paraId="21F222DB" w14:textId="77777777" w:rsidR="0072615D" w:rsidRDefault="0072615D">
      <w:pPr>
        <w:pStyle w:val="Other0"/>
        <w:spacing w:after="120" w:line="338" w:lineRule="auto"/>
        <w:ind w:firstLine="0"/>
        <w:jc w:val="center"/>
        <w:rPr>
          <w:sz w:val="32"/>
          <w:szCs w:val="32"/>
        </w:rPr>
      </w:pPr>
      <w:r>
        <w:rPr>
          <w:rFonts w:ascii="Times New Roman" w:eastAsia="Times New Roman" w:hAnsi="Times New Roman" w:cs="Times New Roman"/>
          <w:sz w:val="26"/>
          <w:szCs w:val="26"/>
        </w:rPr>
        <w:t>EXTRAHOGAREÑO</w:t>
      </w:r>
      <w:r>
        <w:rPr>
          <w:rFonts w:ascii="Times New Roman" w:eastAsia="Times New Roman" w:hAnsi="Times New Roman" w:cs="Times New Roman"/>
          <w:sz w:val="32"/>
          <w:szCs w:val="32"/>
        </w:rPr>
        <w:footnoteReference w:id="44"/>
      </w:r>
    </w:p>
    <w:p w14:paraId="612FE181" w14:textId="77777777" w:rsidR="0072615D" w:rsidRDefault="0072615D">
      <w:pPr>
        <w:pStyle w:val="BodyText"/>
        <w:spacing w:after="340"/>
        <w:ind w:left="300" w:firstLine="0"/>
      </w:pPr>
      <w:r>
        <w:t>Los lactantes y niños de corta edad que son atendidos dentro de grupos tienen una mayor cifra de algunas enfermedades infecciosas y un mayor peligro de adquirir microorganismos resistentes a antimicrobianos. En la prevención y erradicación de infecciones en los niños del sistema asistencial extrahogareño influyen algunos factores como: 1) las prácticas de higiene personal y estado de inmunización de los cuidadores; 2) la sanidad ambiental; 3) los métodos de manipulación de alimentos; 4) la edad y el estado de inmunización de los menores; 5) la proporción numérica entre niños y cuidadores; 6) el espacio físico y la calidad de las instalaciones; y 7) la frecuencia de uso de antimicrobianos en niños en el sistema asistencial. Para abordar adecuadamente los problemas de erradicación de infecciones en niños en los grupos mencionados se necesita la colaboración de funcionarios de salud pública, organismos de acreditación, profesionales en la asistencia infantil, médicos, enfermeras, padres, patrones y otros miembros de la comunidad.</w:t>
      </w:r>
    </w:p>
    <w:p w14:paraId="04EB09AD" w14:textId="77777777" w:rsidR="0072615D" w:rsidRDefault="0072615D">
      <w:pPr>
        <w:pStyle w:val="BodyText"/>
        <w:spacing w:after="100"/>
        <w:ind w:left="300" w:firstLine="340"/>
      </w:pPr>
      <w:r>
        <w:t>Los programas de asistencia infantil deben exigir que todos los niños y miembros del personal reciban vacunas conforme a su edad, así como asistencia regular. Además, con estos programas los padres jóvenes inexpertos tienen la oportunidad de recibir orientación diaria sobre el desarrollo, la higiene, la nutrición apropiada de su hijo y el tratamiento de enfermedades de poca monta.</w:t>
      </w:r>
    </w:p>
    <w:p w14:paraId="47DEF655" w14:textId="77777777" w:rsidR="0072615D" w:rsidRDefault="0072615D">
      <w:pPr>
        <w:pStyle w:val="Bodytext70"/>
        <w:ind w:firstLine="300"/>
      </w:pPr>
      <w:r>
        <w:t>Clasificación de servicios</w:t>
      </w:r>
    </w:p>
    <w:p w14:paraId="4F9CF577" w14:textId="77777777" w:rsidR="0072615D" w:rsidRDefault="0072615D">
      <w:pPr>
        <w:pStyle w:val="BodyText"/>
        <w:ind w:left="300" w:firstLine="0"/>
      </w:pPr>
      <w:r>
        <w:t xml:space="preserve">Los servicios asistenciales de niños suelen clasificarse según el tipo de entorno, el número de niños en los grupos así como el estado de salud y la edad de los pequeños. </w:t>
      </w:r>
      <w:r>
        <w:rPr>
          <w:b/>
          <w:bCs/>
        </w:rPr>
        <w:t xml:space="preserve">Los hogares de asistencia infantil pequeños </w:t>
      </w:r>
      <w:r>
        <w:t xml:space="preserve">brindan atención y enseñanza incluso a seis niños simultáneamente, incluidos los preescolares del prestador de servicios, en una residencia que por lo común es el hogar de dicha persona. </w:t>
      </w:r>
      <w:r>
        <w:rPr>
          <w:b/>
          <w:bCs/>
        </w:rPr>
        <w:t xml:space="preserve">Los hogares de asistencia infantil grandes </w:t>
      </w:r>
      <w:r>
        <w:t xml:space="preserve">brindan atención y enseñanza de siete a 12 niños cada vez, incluidos los preescolares del prestador de servicios en una residencia que por lo común es el hogar de alguna de estas personas. </w:t>
      </w:r>
      <w:r>
        <w:rPr>
          <w:b/>
          <w:bCs/>
        </w:rPr>
        <w:t xml:space="preserve">El centro de atención infantil </w:t>
      </w:r>
      <w:r>
        <w:t>es una institución que se encarga de dar atención y enseñanza a cualquier número de niños en un medio no residencial, o 13 o más niños en cualquier lugar si la instalación abre sus puertas en horarios regulares. La institución para niños enfermos brinda atención a uno o más niños que son segregados temporalmente de su entorno regular asistencial. En Estados Unidos, los 50 estados autorizan la atención extrahogareña; sin embargo, la acreditación se orienta a la atención brindada en centros; pocos estados o municipios autorizan el funcionamiento de hogares para atender niños de familias pequeñas o grandes.</w:t>
      </w:r>
    </w:p>
    <w:p w14:paraId="5381C739" w14:textId="77777777" w:rsidR="0072615D" w:rsidRDefault="0072615D">
      <w:pPr>
        <w:pStyle w:val="BodyText"/>
        <w:ind w:left="300" w:firstLine="340"/>
      </w:pPr>
      <w:r>
        <w:t xml:space="preserve">El agrupamiento de los menores según sus edades varía, pero en los centros de atención infantil, los grupos corrientes comprenden </w:t>
      </w:r>
      <w:r>
        <w:rPr>
          <w:b/>
          <w:bCs/>
        </w:rPr>
        <w:t xml:space="preserve">lactantes </w:t>
      </w:r>
      <w:r>
        <w:t xml:space="preserve">(desde el nacimiento hasta los 12 meses de edad), </w:t>
      </w:r>
      <w:r>
        <w:rPr>
          <w:b/>
          <w:bCs/>
        </w:rPr>
        <w:t xml:space="preserve">niños </w:t>
      </w:r>
      <w:r>
        <w:t xml:space="preserve">que comienzan la ambulación (13 a 35 meses de vida); </w:t>
      </w:r>
      <w:r>
        <w:rPr>
          <w:b/>
          <w:bCs/>
        </w:rPr>
        <w:t xml:space="preserve">preescolares </w:t>
      </w:r>
      <w:r>
        <w:t xml:space="preserve">(36 a 59 meses de vida) y </w:t>
      </w:r>
      <w:r>
        <w:rPr>
          <w:b/>
          <w:bCs/>
        </w:rPr>
        <w:t xml:space="preserve">escolares </w:t>
      </w:r>
      <w:r>
        <w:t>(cinco a 12 años de vida).</w:t>
      </w:r>
    </w:p>
    <w:p w14:paraId="34C4AC40" w14:textId="77777777" w:rsidR="0072615D" w:rsidRDefault="0072615D">
      <w:pPr>
        <w:pStyle w:val="BodyText"/>
        <w:spacing w:after="100"/>
        <w:ind w:left="300" w:firstLine="340"/>
      </w:pPr>
      <w:r>
        <w:t>Los lactantes y niños en fase inicial de la ambulación necesitan cambio de pañales o auxilio al utilizar el retrete, explorar el entorno con la boca, tienen poco control de sus secreciones y excreta, son inmunes a pocos patógenos y necesitan contacto manual con quienes los cuidan. Además, los niños que comienzan la ambulación muestran contacto directo con sus coetáneos. Por tal razón, los programas de asistencia que se ocupan de atender a lactantes y niños en el inicio de la ambulación necesitan prestar atención especial a medidas de erradicación de infecciones.</w:t>
      </w:r>
    </w:p>
    <w:p w14:paraId="7810E538" w14:textId="77777777" w:rsidR="0072615D" w:rsidRDefault="0072615D">
      <w:pPr>
        <w:pStyle w:val="Bodytext70"/>
        <w:ind w:firstLine="300"/>
      </w:pPr>
      <w:r>
        <w:t>Medidas de control y prevención de enfermedades</w:t>
      </w:r>
    </w:p>
    <w:p w14:paraId="3B368A9B" w14:textId="77777777" w:rsidR="0072615D" w:rsidRDefault="0072615D">
      <w:pPr>
        <w:pStyle w:val="BodyText"/>
        <w:spacing w:after="160"/>
        <w:ind w:left="300" w:firstLine="0"/>
        <w:sectPr w:rsidR="0072615D" w:rsidSect="0072615D">
          <w:headerReference w:type="even" r:id="rId314"/>
          <w:headerReference w:type="default" r:id="rId315"/>
          <w:footerReference w:type="even" r:id="rId316"/>
          <w:footerReference w:type="default" r:id="rId317"/>
          <w:headerReference w:type="first" r:id="rId318"/>
          <w:footerReference w:type="first" r:id="rId319"/>
          <w:footnotePr>
            <w:numFmt w:val="chicago"/>
          </w:footnotePr>
          <w:pgSz w:w="8501" w:h="13022"/>
          <w:pgMar w:top="698" w:right="714" w:bottom="436" w:left="519" w:header="0" w:footer="3" w:gutter="0"/>
          <w:pgNumType w:start="136"/>
          <w:cols w:space="720"/>
          <w:noEndnote/>
          <w:titlePg/>
          <w:docGrid w:linePitch="360"/>
          <w15:footnoteColumns w:val="1"/>
        </w:sectPr>
      </w:pPr>
      <w:r>
        <w:t>Los mecanismos de transmisión de bacterias, virus, parásitos y hongos en grupos de atención infantil se incluyen en el cuadro 2-7. En casi todos los casos el riesgo de introducir un agente infeccioso en dicho grupo guarda relación directa con la prevalencia del germen en la población y con el número de niños susceptibles en ese grupo. La transmisión de un agente en el interior del grupo depende de: 1) características del microorganismo, como su mecanismo de propagación, dosis infectante y supervivencia en el entorno; 2) frecuencia de infección o de estado de portador asintomático, y 3)inmunidad al patógeno respectivo. La transmisión también puede ser influida por el comportamiento de los cuidadores de los niños, en particular los aspectos higiénicos de la manipulación de los menores, prácticas de sanidad</w:t>
      </w:r>
    </w:p>
    <w:p w14:paraId="3670407D" w14:textId="77777777" w:rsidR="0072615D" w:rsidRDefault="0072615D">
      <w:pPr>
        <w:pStyle w:val="Heading31"/>
        <w:keepNext/>
        <w:keepLines/>
        <w:framePr w:w="9264" w:h="317" w:wrap="none" w:hAnchor="page" w:x="1719" w:y="1"/>
      </w:pPr>
      <w:bookmarkStart w:id="418" w:name="bookmark418"/>
      <w:bookmarkStart w:id="419" w:name="bookmark419"/>
      <w:bookmarkStart w:id="420" w:name="bookmark420"/>
      <w:r>
        <w:rPr>
          <w:b w:val="0"/>
          <w:bCs w:val="0"/>
        </w:rPr>
        <w:t xml:space="preserve">Cuadro 2 - 7. </w:t>
      </w:r>
      <w:r>
        <w:t>Mecanismos de transmisión de microorganismos en instituciones asistenciales de niños</w:t>
      </w:r>
      <w:bookmarkEnd w:id="418"/>
      <w:bookmarkEnd w:id="419"/>
      <w:bookmarkEnd w:id="420"/>
    </w:p>
    <w:tbl>
      <w:tblPr>
        <w:tblOverlap w:val="never"/>
        <w:tblW w:w="0" w:type="auto"/>
        <w:tblLayout w:type="fixed"/>
        <w:tblCellMar>
          <w:left w:w="10" w:type="dxa"/>
          <w:right w:w="10" w:type="dxa"/>
        </w:tblCellMar>
        <w:tblLook w:val="04A0" w:firstRow="1" w:lastRow="0" w:firstColumn="1" w:lastColumn="0" w:noHBand="0" w:noVBand="1"/>
      </w:tblPr>
      <w:tblGrid>
        <w:gridCol w:w="2650"/>
        <w:gridCol w:w="2957"/>
        <w:gridCol w:w="2861"/>
        <w:gridCol w:w="2957"/>
      </w:tblGrid>
      <w:tr w:rsidR="0072615D" w14:paraId="25F62647" w14:textId="77777777">
        <w:tblPrEx>
          <w:tblCellMar>
            <w:top w:w="0" w:type="dxa"/>
            <w:bottom w:w="0" w:type="dxa"/>
          </w:tblCellMar>
        </w:tblPrEx>
        <w:trPr>
          <w:trHeight w:hRule="exact" w:val="274"/>
        </w:trPr>
        <w:tc>
          <w:tcPr>
            <w:tcW w:w="2650" w:type="dxa"/>
            <w:shd w:val="clear" w:color="auto" w:fill="231F20"/>
          </w:tcPr>
          <w:p w14:paraId="0B66CFA2" w14:textId="77777777" w:rsidR="0072615D" w:rsidRDefault="0072615D">
            <w:pPr>
              <w:pStyle w:val="Other0"/>
              <w:framePr w:w="11424" w:h="3466" w:vSpace="672"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Vía usual de transmisión</w:t>
            </w:r>
            <w:r>
              <w:rPr>
                <w:rFonts w:ascii="Times New Roman" w:eastAsia="Times New Roman" w:hAnsi="Times New Roman" w:cs="Times New Roman"/>
                <w:color w:val="FFFFFF"/>
                <w:sz w:val="8"/>
                <w:szCs w:val="8"/>
                <w:vertAlign w:val="superscript"/>
              </w:rPr>
              <w:t>1</w:t>
            </w:r>
          </w:p>
        </w:tc>
        <w:tc>
          <w:tcPr>
            <w:tcW w:w="2957" w:type="dxa"/>
            <w:shd w:val="clear" w:color="auto" w:fill="231F20"/>
          </w:tcPr>
          <w:p w14:paraId="023833A0" w14:textId="77777777" w:rsidR="0072615D" w:rsidRDefault="0072615D">
            <w:pPr>
              <w:pStyle w:val="Other0"/>
              <w:framePr w:w="11424" w:h="3466" w:vSpace="672"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220"/>
              <w:rPr>
                <w:sz w:val="24"/>
                <w:szCs w:val="24"/>
              </w:rPr>
            </w:pPr>
            <w:r>
              <w:rPr>
                <w:rFonts w:ascii="Arial" w:eastAsia="Arial" w:hAnsi="Arial" w:cs="Arial"/>
                <w:b/>
                <w:bCs/>
                <w:color w:val="FFFFFF"/>
                <w:w w:val="70"/>
                <w:sz w:val="24"/>
                <w:szCs w:val="24"/>
              </w:rPr>
              <w:t>Bacterias</w:t>
            </w:r>
          </w:p>
        </w:tc>
        <w:tc>
          <w:tcPr>
            <w:tcW w:w="2861" w:type="dxa"/>
            <w:shd w:val="clear" w:color="auto" w:fill="231F20"/>
          </w:tcPr>
          <w:p w14:paraId="41213653" w14:textId="77777777" w:rsidR="0072615D" w:rsidRDefault="0072615D">
            <w:pPr>
              <w:pStyle w:val="Other0"/>
              <w:framePr w:w="11424" w:h="3466" w:vSpace="672"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Virus</w:t>
            </w:r>
          </w:p>
        </w:tc>
        <w:tc>
          <w:tcPr>
            <w:tcW w:w="2957" w:type="dxa"/>
            <w:shd w:val="clear" w:color="auto" w:fill="231F20"/>
          </w:tcPr>
          <w:p w14:paraId="322DE6A5" w14:textId="77777777" w:rsidR="0072615D" w:rsidRDefault="0072615D">
            <w:pPr>
              <w:pStyle w:val="Other0"/>
              <w:framePr w:w="11424" w:h="3466" w:vSpace="672"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Otros</w:t>
            </w:r>
            <w:r>
              <w:rPr>
                <w:rFonts w:ascii="Times New Roman" w:eastAsia="Times New Roman" w:hAnsi="Times New Roman" w:cs="Times New Roman"/>
                <w:color w:val="FFFFFF"/>
                <w:sz w:val="8"/>
                <w:szCs w:val="8"/>
                <w:vertAlign w:val="superscript"/>
              </w:rPr>
              <w:t>2</w:t>
            </w:r>
          </w:p>
        </w:tc>
      </w:tr>
      <w:tr w:rsidR="0072615D" w14:paraId="67363370" w14:textId="77777777">
        <w:tblPrEx>
          <w:tblCellMar>
            <w:top w:w="0" w:type="dxa"/>
            <w:bottom w:w="0" w:type="dxa"/>
          </w:tblCellMar>
        </w:tblPrEx>
        <w:trPr>
          <w:trHeight w:hRule="exact" w:val="293"/>
        </w:trPr>
        <w:tc>
          <w:tcPr>
            <w:tcW w:w="2650" w:type="dxa"/>
            <w:shd w:val="clear" w:color="auto" w:fill="FFFFFF"/>
            <w:vAlign w:val="bottom"/>
          </w:tcPr>
          <w:p w14:paraId="6F273F91"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sz w:val="16"/>
                <w:szCs w:val="16"/>
              </w:rPr>
              <w:t>Fecal-bucal</w:t>
            </w:r>
          </w:p>
        </w:tc>
        <w:tc>
          <w:tcPr>
            <w:tcW w:w="2957" w:type="dxa"/>
            <w:shd w:val="clear" w:color="auto" w:fill="FFFFFF"/>
            <w:vAlign w:val="bottom"/>
          </w:tcPr>
          <w:p w14:paraId="4FBE8C58" w14:textId="77777777" w:rsidR="0072615D" w:rsidRDefault="0072615D">
            <w:pPr>
              <w:pStyle w:val="Other0"/>
              <w:framePr w:w="11424" w:h="3466" w:vSpace="672" w:wrap="none" w:hAnchor="page" w:x="635" w:y="361"/>
              <w:spacing w:line="240" w:lineRule="auto"/>
              <w:ind w:firstLine="220"/>
              <w:rPr>
                <w:sz w:val="16"/>
                <w:szCs w:val="16"/>
              </w:rPr>
            </w:pPr>
            <w:r>
              <w:rPr>
                <w:rFonts w:ascii="Times New Roman" w:eastAsia="Times New Roman" w:hAnsi="Times New Roman" w:cs="Times New Roman"/>
                <w:sz w:val="16"/>
                <w:szCs w:val="16"/>
              </w:rPr>
              <w:t>Microorganismos del tipo de</w:t>
            </w:r>
          </w:p>
        </w:tc>
        <w:tc>
          <w:tcPr>
            <w:tcW w:w="2861" w:type="dxa"/>
            <w:shd w:val="clear" w:color="auto" w:fill="FFFFFF"/>
            <w:vAlign w:val="bottom"/>
          </w:tcPr>
          <w:p w14:paraId="5C1AF0BF"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sz w:val="16"/>
                <w:szCs w:val="16"/>
              </w:rPr>
              <w:t>Astrovirus, calicivirus, adenovirus</w:t>
            </w:r>
          </w:p>
        </w:tc>
        <w:tc>
          <w:tcPr>
            <w:tcW w:w="2957" w:type="dxa"/>
            <w:shd w:val="clear" w:color="auto" w:fill="FFFFFF"/>
            <w:vAlign w:val="bottom"/>
          </w:tcPr>
          <w:p w14:paraId="1092B4FE"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i/>
                <w:iCs/>
                <w:sz w:val="16"/>
                <w:szCs w:val="16"/>
              </w:rPr>
              <w:t>Cryptosporidium parvum, Enterobius</w:t>
            </w:r>
          </w:p>
        </w:tc>
      </w:tr>
      <w:tr w:rsidR="0072615D" w14:paraId="1280873D" w14:textId="77777777">
        <w:tblPrEx>
          <w:tblCellMar>
            <w:top w:w="0" w:type="dxa"/>
            <w:bottom w:w="0" w:type="dxa"/>
          </w:tblCellMar>
        </w:tblPrEx>
        <w:trPr>
          <w:trHeight w:hRule="exact" w:val="648"/>
        </w:trPr>
        <w:tc>
          <w:tcPr>
            <w:tcW w:w="2650" w:type="dxa"/>
            <w:shd w:val="clear" w:color="auto" w:fill="FFFFFF"/>
          </w:tcPr>
          <w:p w14:paraId="25602E40" w14:textId="77777777" w:rsidR="0072615D" w:rsidRDefault="0072615D">
            <w:pPr>
              <w:framePr w:w="11424" w:h="3466" w:vSpace="672" w:wrap="none" w:hAnchor="page" w:x="635" w:y="361"/>
              <w:rPr>
                <w:sz w:val="10"/>
                <w:szCs w:val="10"/>
              </w:rPr>
            </w:pPr>
          </w:p>
        </w:tc>
        <w:tc>
          <w:tcPr>
            <w:tcW w:w="2957" w:type="dxa"/>
            <w:shd w:val="clear" w:color="auto" w:fill="FFFFFF"/>
            <w:vAlign w:val="bottom"/>
          </w:tcPr>
          <w:p w14:paraId="75DB0990" w14:textId="77777777" w:rsidR="0072615D" w:rsidRDefault="0072615D">
            <w:pPr>
              <w:pStyle w:val="Other0"/>
              <w:framePr w:w="11424" w:h="3466" w:vSpace="672" w:wrap="none" w:hAnchor="page" w:x="635" w:y="361"/>
              <w:spacing w:line="283" w:lineRule="auto"/>
              <w:ind w:left="320"/>
              <w:rPr>
                <w:sz w:val="16"/>
                <w:szCs w:val="16"/>
              </w:rPr>
            </w:pPr>
            <w:r>
              <w:rPr>
                <w:rFonts w:ascii="Times New Roman" w:eastAsia="Times New Roman" w:hAnsi="Times New Roman" w:cs="Times New Roman"/>
                <w:i/>
                <w:iCs/>
                <w:sz w:val="16"/>
                <w:szCs w:val="16"/>
              </w:rPr>
              <w:t>Campylobacter, Clostridium difficile</w:t>
            </w:r>
            <w:r>
              <w:rPr>
                <w:rFonts w:ascii="Times New Roman" w:eastAsia="Times New Roman" w:hAnsi="Times New Roman" w:cs="Times New Roman"/>
                <w:i/>
                <w:iCs/>
                <w:sz w:val="15"/>
                <w:szCs w:val="15"/>
              </w:rPr>
              <w:t xml:space="preserve">, </w:t>
            </w:r>
            <w:r>
              <w:rPr>
                <w:rFonts w:ascii="Times New Roman" w:eastAsia="Times New Roman" w:hAnsi="Times New Roman" w:cs="Times New Roman"/>
                <w:i/>
                <w:iCs/>
                <w:sz w:val="16"/>
                <w:szCs w:val="16"/>
              </w:rPr>
              <w:t>Escherichia coli</w:t>
            </w:r>
            <w:r>
              <w:rPr>
                <w:rFonts w:ascii="Times New Roman" w:eastAsia="Times New Roman" w:hAnsi="Times New Roman" w:cs="Times New Roman"/>
                <w:sz w:val="16"/>
                <w:szCs w:val="16"/>
              </w:rPr>
              <w:t xml:space="preserve"> O157:H7, miembros de las cepas de </w:t>
            </w:r>
            <w:r>
              <w:rPr>
                <w:rFonts w:ascii="Times New Roman" w:eastAsia="Times New Roman" w:hAnsi="Times New Roman" w:cs="Times New Roman"/>
                <w:i/>
                <w:iCs/>
                <w:sz w:val="16"/>
                <w:szCs w:val="16"/>
              </w:rPr>
              <w:t>Salmonella</w:t>
            </w:r>
            <w:r>
              <w:rPr>
                <w:rFonts w:ascii="Times New Roman" w:eastAsia="Times New Roman" w:hAnsi="Times New Roman" w:cs="Times New Roman"/>
                <w:sz w:val="16"/>
                <w:szCs w:val="16"/>
              </w:rPr>
              <w:t xml:space="preserve"> o </w:t>
            </w:r>
            <w:r>
              <w:rPr>
                <w:rFonts w:ascii="Times New Roman" w:eastAsia="Times New Roman" w:hAnsi="Times New Roman" w:cs="Times New Roman"/>
                <w:i/>
                <w:iCs/>
                <w:sz w:val="16"/>
                <w:szCs w:val="16"/>
              </w:rPr>
              <w:t>Shigella</w:t>
            </w:r>
          </w:p>
        </w:tc>
        <w:tc>
          <w:tcPr>
            <w:tcW w:w="2861" w:type="dxa"/>
            <w:shd w:val="clear" w:color="auto" w:fill="FFFFFF"/>
          </w:tcPr>
          <w:p w14:paraId="6F0AE1FB" w14:textId="77777777" w:rsidR="0072615D" w:rsidRDefault="0072615D">
            <w:pPr>
              <w:pStyle w:val="Other0"/>
              <w:framePr w:w="11424" w:h="3466" w:vSpace="672" w:wrap="none" w:hAnchor="page" w:x="635" w:y="361"/>
              <w:spacing w:line="283" w:lineRule="auto"/>
              <w:ind w:left="180" w:firstLine="0"/>
              <w:rPr>
                <w:sz w:val="16"/>
                <w:szCs w:val="16"/>
              </w:rPr>
            </w:pPr>
            <w:r>
              <w:rPr>
                <w:rFonts w:ascii="Times New Roman" w:eastAsia="Times New Roman" w:hAnsi="Times New Roman" w:cs="Times New Roman"/>
                <w:sz w:val="16"/>
                <w:szCs w:val="16"/>
              </w:rPr>
              <w:t>entéricos, enterovirus, virus de hepatitis A, rotavirus</w:t>
            </w:r>
          </w:p>
        </w:tc>
        <w:tc>
          <w:tcPr>
            <w:tcW w:w="2957" w:type="dxa"/>
            <w:shd w:val="clear" w:color="auto" w:fill="FFFFFF"/>
          </w:tcPr>
          <w:p w14:paraId="0F8C4004" w14:textId="77777777" w:rsidR="0072615D" w:rsidRDefault="0072615D">
            <w:pPr>
              <w:pStyle w:val="Other0"/>
              <w:framePr w:w="11424" w:h="3466" w:vSpace="672" w:wrap="none" w:hAnchor="page" w:x="635" w:y="361"/>
              <w:spacing w:line="240" w:lineRule="auto"/>
              <w:ind w:firstLine="160"/>
              <w:rPr>
                <w:sz w:val="16"/>
                <w:szCs w:val="16"/>
              </w:rPr>
            </w:pPr>
            <w:r>
              <w:rPr>
                <w:rFonts w:ascii="Times New Roman" w:eastAsia="Times New Roman" w:hAnsi="Times New Roman" w:cs="Times New Roman"/>
                <w:i/>
                <w:iCs/>
                <w:sz w:val="16"/>
                <w:szCs w:val="16"/>
              </w:rPr>
              <w:t>vermicularis, Giardia lamblia</w:t>
            </w:r>
          </w:p>
        </w:tc>
      </w:tr>
      <w:tr w:rsidR="0072615D" w14:paraId="1F455887" w14:textId="77777777">
        <w:tblPrEx>
          <w:tblCellMar>
            <w:top w:w="0" w:type="dxa"/>
            <w:bottom w:w="0" w:type="dxa"/>
          </w:tblCellMar>
        </w:tblPrEx>
        <w:trPr>
          <w:trHeight w:hRule="exact" w:val="1085"/>
        </w:trPr>
        <w:tc>
          <w:tcPr>
            <w:tcW w:w="2650" w:type="dxa"/>
            <w:shd w:val="clear" w:color="auto" w:fill="FFFFFF"/>
          </w:tcPr>
          <w:p w14:paraId="67D0E1F6"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sz w:val="16"/>
                <w:szCs w:val="16"/>
              </w:rPr>
              <w:t>Vías respiratorias</w:t>
            </w:r>
          </w:p>
        </w:tc>
        <w:tc>
          <w:tcPr>
            <w:tcW w:w="2957" w:type="dxa"/>
            <w:shd w:val="clear" w:color="auto" w:fill="FFFFFF"/>
            <w:vAlign w:val="bottom"/>
          </w:tcPr>
          <w:p w14:paraId="53797A0D" w14:textId="77777777" w:rsidR="0072615D" w:rsidRDefault="0072615D">
            <w:pPr>
              <w:pStyle w:val="Other0"/>
              <w:framePr w:w="11424" w:h="3466" w:vSpace="672" w:wrap="none" w:hAnchor="page" w:x="635" w:y="361"/>
              <w:spacing w:line="283" w:lineRule="auto"/>
              <w:ind w:left="320" w:hanging="100"/>
              <w:rPr>
                <w:sz w:val="16"/>
                <w:szCs w:val="16"/>
              </w:rPr>
            </w:pPr>
            <w:r>
              <w:rPr>
                <w:rFonts w:ascii="Times New Roman" w:eastAsia="Times New Roman" w:hAnsi="Times New Roman" w:cs="Times New Roman"/>
                <w:i/>
                <w:iCs/>
                <w:sz w:val="16"/>
                <w:szCs w:val="16"/>
              </w:rPr>
              <w:t>Bordetella pertussis</w:t>
            </w:r>
            <w:r>
              <w:rPr>
                <w:rFonts w:ascii="Times New Roman" w:eastAsia="Times New Roman" w:hAnsi="Times New Roman" w:cs="Times New Roman"/>
                <w:i/>
                <w:iCs/>
                <w:sz w:val="15"/>
                <w:szCs w:val="15"/>
              </w:rPr>
              <w:t xml:space="preserve">, </w:t>
            </w:r>
            <w:r>
              <w:rPr>
                <w:rFonts w:ascii="Times New Roman" w:eastAsia="Times New Roman" w:hAnsi="Times New Roman" w:cs="Times New Roman"/>
                <w:i/>
                <w:iCs/>
                <w:sz w:val="16"/>
                <w:szCs w:val="16"/>
              </w:rPr>
              <w:t xml:space="preserve">Haemophilus </w:t>
            </w:r>
            <w:r>
              <w:rPr>
                <w:rFonts w:ascii="Times New Roman" w:eastAsia="Times New Roman" w:hAnsi="Times New Roman" w:cs="Times New Roman"/>
                <w:sz w:val="16"/>
                <w:szCs w:val="16"/>
              </w:rPr>
              <w:t xml:space="preserve">influenzae tipo b, </w:t>
            </w:r>
            <w:r>
              <w:rPr>
                <w:rFonts w:ascii="Times New Roman" w:eastAsia="Times New Roman" w:hAnsi="Times New Roman" w:cs="Times New Roman"/>
                <w:i/>
                <w:iCs/>
                <w:sz w:val="16"/>
                <w:szCs w:val="16"/>
              </w:rPr>
              <w:t>Mycobacterium tuberculosis</w:t>
            </w:r>
            <w:r>
              <w:rPr>
                <w:rFonts w:ascii="Times New Roman" w:eastAsia="Times New Roman" w:hAnsi="Times New Roman" w:cs="Times New Roman"/>
                <w:i/>
                <w:iCs/>
                <w:sz w:val="15"/>
                <w:szCs w:val="15"/>
              </w:rPr>
              <w:t xml:space="preserve">, </w:t>
            </w:r>
            <w:r>
              <w:rPr>
                <w:rFonts w:ascii="Times New Roman" w:eastAsia="Times New Roman" w:hAnsi="Times New Roman" w:cs="Times New Roman"/>
                <w:i/>
                <w:iCs/>
                <w:sz w:val="16"/>
                <w:szCs w:val="16"/>
              </w:rPr>
              <w:t>Neisseria meningitidis</w:t>
            </w:r>
            <w:r>
              <w:rPr>
                <w:rFonts w:ascii="Times New Roman" w:eastAsia="Times New Roman" w:hAnsi="Times New Roman" w:cs="Times New Roman"/>
                <w:i/>
                <w:iCs/>
                <w:sz w:val="15"/>
                <w:szCs w:val="15"/>
              </w:rPr>
              <w:t xml:space="preserve">, </w:t>
            </w:r>
            <w:r>
              <w:rPr>
                <w:rFonts w:ascii="Times New Roman" w:eastAsia="Times New Roman" w:hAnsi="Times New Roman" w:cs="Times New Roman"/>
                <w:i/>
                <w:iCs/>
                <w:sz w:val="16"/>
                <w:szCs w:val="16"/>
              </w:rPr>
              <w:t>Streptococcus pneumoniae, estreptococos</w:t>
            </w:r>
            <w:r>
              <w:rPr>
                <w:rFonts w:ascii="Times New Roman" w:eastAsia="Times New Roman" w:hAnsi="Times New Roman" w:cs="Times New Roman"/>
                <w:sz w:val="16"/>
                <w:szCs w:val="16"/>
              </w:rPr>
              <w:t xml:space="preserve"> del grupo A</w:t>
            </w:r>
          </w:p>
        </w:tc>
        <w:tc>
          <w:tcPr>
            <w:tcW w:w="2861" w:type="dxa"/>
            <w:shd w:val="clear" w:color="auto" w:fill="FFFFFF"/>
            <w:vAlign w:val="bottom"/>
          </w:tcPr>
          <w:p w14:paraId="764C1CD6" w14:textId="77777777" w:rsidR="0072615D" w:rsidRDefault="0072615D">
            <w:pPr>
              <w:pStyle w:val="Other0"/>
              <w:framePr w:w="11424" w:h="3466" w:vSpace="672" w:wrap="none" w:hAnchor="page" w:x="635" w:y="361"/>
              <w:spacing w:line="283" w:lineRule="auto"/>
              <w:ind w:left="180" w:hanging="180"/>
              <w:rPr>
                <w:sz w:val="16"/>
                <w:szCs w:val="16"/>
              </w:rPr>
            </w:pPr>
            <w:r>
              <w:rPr>
                <w:rFonts w:ascii="Times New Roman" w:eastAsia="Times New Roman" w:hAnsi="Times New Roman" w:cs="Times New Roman"/>
                <w:sz w:val="16"/>
                <w:szCs w:val="16"/>
              </w:rPr>
              <w:t>Adenovirus, virus de influenza, de sarampión, de parotiditis y parainfluenza, parvovirus B19, virus sincitial respiratorio, rhinovirus, virus de rubéola y de varicela-zoster</w:t>
            </w:r>
          </w:p>
        </w:tc>
        <w:tc>
          <w:tcPr>
            <w:tcW w:w="2957" w:type="dxa"/>
            <w:shd w:val="clear" w:color="auto" w:fill="FFFFFF"/>
          </w:tcPr>
          <w:p w14:paraId="60FB2EF5" w14:textId="77777777" w:rsidR="0072615D" w:rsidRDefault="0072615D">
            <w:pPr>
              <w:framePr w:w="11424" w:h="3466" w:vSpace="672" w:wrap="none" w:hAnchor="page" w:x="635" w:y="361"/>
              <w:rPr>
                <w:sz w:val="10"/>
                <w:szCs w:val="10"/>
              </w:rPr>
            </w:pPr>
          </w:p>
        </w:tc>
      </w:tr>
      <w:tr w:rsidR="0072615D" w14:paraId="6D9AD8E4" w14:textId="77777777">
        <w:tblPrEx>
          <w:tblCellMar>
            <w:top w:w="0" w:type="dxa"/>
            <w:bottom w:w="0" w:type="dxa"/>
          </w:tblCellMar>
        </w:tblPrEx>
        <w:trPr>
          <w:trHeight w:hRule="exact" w:val="216"/>
        </w:trPr>
        <w:tc>
          <w:tcPr>
            <w:tcW w:w="2650" w:type="dxa"/>
            <w:shd w:val="clear" w:color="auto" w:fill="FFFFFF"/>
          </w:tcPr>
          <w:p w14:paraId="4261FF9F"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sz w:val="16"/>
                <w:szCs w:val="16"/>
              </w:rPr>
              <w:t>Contacto de persona a persona</w:t>
            </w:r>
          </w:p>
        </w:tc>
        <w:tc>
          <w:tcPr>
            <w:tcW w:w="2957" w:type="dxa"/>
            <w:shd w:val="clear" w:color="auto" w:fill="FFFFFF"/>
          </w:tcPr>
          <w:p w14:paraId="449842AA" w14:textId="77777777" w:rsidR="0072615D" w:rsidRDefault="0072615D">
            <w:pPr>
              <w:pStyle w:val="Other0"/>
              <w:framePr w:w="11424" w:h="3466" w:vSpace="672" w:wrap="none" w:hAnchor="page" w:x="635" w:y="361"/>
              <w:spacing w:line="240" w:lineRule="auto"/>
              <w:ind w:firstLine="220"/>
              <w:rPr>
                <w:sz w:val="16"/>
                <w:szCs w:val="16"/>
              </w:rPr>
            </w:pPr>
            <w:r>
              <w:rPr>
                <w:rFonts w:ascii="Times New Roman" w:eastAsia="Times New Roman" w:hAnsi="Times New Roman" w:cs="Times New Roman"/>
                <w:i/>
                <w:iCs/>
                <w:sz w:val="16"/>
                <w:szCs w:val="16"/>
              </w:rPr>
              <w:t>Estreptococos</w:t>
            </w:r>
            <w:r>
              <w:rPr>
                <w:rFonts w:ascii="Times New Roman" w:eastAsia="Times New Roman" w:hAnsi="Times New Roman" w:cs="Times New Roman"/>
                <w:sz w:val="16"/>
                <w:szCs w:val="16"/>
              </w:rPr>
              <w:t xml:space="preserve"> del grupo A,</w:t>
            </w:r>
          </w:p>
        </w:tc>
        <w:tc>
          <w:tcPr>
            <w:tcW w:w="2861" w:type="dxa"/>
            <w:shd w:val="clear" w:color="auto" w:fill="FFFFFF"/>
          </w:tcPr>
          <w:p w14:paraId="20424DAD"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sz w:val="16"/>
                <w:szCs w:val="16"/>
              </w:rPr>
              <w:t>Virus de herpes simple y de</w:t>
            </w:r>
          </w:p>
        </w:tc>
        <w:tc>
          <w:tcPr>
            <w:tcW w:w="2957" w:type="dxa"/>
            <w:shd w:val="clear" w:color="auto" w:fill="FFFFFF"/>
          </w:tcPr>
          <w:p w14:paraId="2AAA9820"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sz w:val="16"/>
                <w:szCs w:val="16"/>
              </w:rPr>
              <w:t>Agentes que originan pediculosis,</w:t>
            </w:r>
          </w:p>
        </w:tc>
      </w:tr>
      <w:tr w:rsidR="0072615D" w14:paraId="112ED617" w14:textId="77777777">
        <w:tblPrEx>
          <w:tblCellMar>
            <w:top w:w="0" w:type="dxa"/>
            <w:bottom w:w="0" w:type="dxa"/>
          </w:tblCellMar>
        </w:tblPrEx>
        <w:trPr>
          <w:trHeight w:hRule="exact" w:val="197"/>
        </w:trPr>
        <w:tc>
          <w:tcPr>
            <w:tcW w:w="2650" w:type="dxa"/>
            <w:shd w:val="clear" w:color="auto" w:fill="FFFFFF"/>
          </w:tcPr>
          <w:p w14:paraId="687F97CA" w14:textId="77777777" w:rsidR="0072615D" w:rsidRDefault="0072615D">
            <w:pPr>
              <w:framePr w:w="11424" w:h="3466" w:vSpace="672" w:wrap="none" w:hAnchor="page" w:x="635" w:y="361"/>
              <w:rPr>
                <w:sz w:val="10"/>
                <w:szCs w:val="10"/>
              </w:rPr>
            </w:pPr>
          </w:p>
        </w:tc>
        <w:tc>
          <w:tcPr>
            <w:tcW w:w="2957" w:type="dxa"/>
            <w:shd w:val="clear" w:color="auto" w:fill="FFFFFF"/>
          </w:tcPr>
          <w:p w14:paraId="01EF0F0E" w14:textId="77777777" w:rsidR="0072615D" w:rsidRDefault="0072615D">
            <w:pPr>
              <w:pStyle w:val="Other0"/>
              <w:framePr w:w="11424" w:h="3466" w:vSpace="672" w:wrap="none" w:hAnchor="page" w:x="635" w:y="361"/>
              <w:spacing w:line="240" w:lineRule="auto"/>
              <w:ind w:firstLine="320"/>
              <w:rPr>
                <w:sz w:val="16"/>
                <w:szCs w:val="16"/>
              </w:rPr>
            </w:pPr>
            <w:r>
              <w:rPr>
                <w:rFonts w:ascii="Times New Roman" w:eastAsia="Times New Roman" w:hAnsi="Times New Roman" w:cs="Times New Roman"/>
                <w:i/>
                <w:iCs/>
                <w:sz w:val="16"/>
                <w:szCs w:val="16"/>
              </w:rPr>
              <w:t>Staphylococcus aureus</w:t>
            </w:r>
          </w:p>
        </w:tc>
        <w:tc>
          <w:tcPr>
            <w:tcW w:w="2861" w:type="dxa"/>
            <w:shd w:val="clear" w:color="auto" w:fill="FFFFFF"/>
          </w:tcPr>
          <w:p w14:paraId="4B214A6D" w14:textId="77777777" w:rsidR="0072615D" w:rsidRDefault="0072615D">
            <w:pPr>
              <w:pStyle w:val="Other0"/>
              <w:framePr w:w="11424" w:h="3466" w:vSpace="672" w:wrap="none" w:hAnchor="page" w:x="635" w:y="361"/>
              <w:spacing w:line="240" w:lineRule="auto"/>
              <w:ind w:firstLine="180"/>
              <w:rPr>
                <w:sz w:val="16"/>
                <w:szCs w:val="16"/>
              </w:rPr>
            </w:pPr>
            <w:r>
              <w:rPr>
                <w:rFonts w:ascii="Times New Roman" w:eastAsia="Times New Roman" w:hAnsi="Times New Roman" w:cs="Times New Roman"/>
                <w:sz w:val="16"/>
                <w:szCs w:val="16"/>
              </w:rPr>
              <w:t>varicela-zoster</w:t>
            </w:r>
          </w:p>
        </w:tc>
        <w:tc>
          <w:tcPr>
            <w:tcW w:w="2957" w:type="dxa"/>
            <w:shd w:val="clear" w:color="auto" w:fill="FFFFFF"/>
          </w:tcPr>
          <w:p w14:paraId="5731163C" w14:textId="77777777" w:rsidR="0072615D" w:rsidRDefault="0072615D">
            <w:pPr>
              <w:pStyle w:val="Other0"/>
              <w:framePr w:w="11424" w:h="3466" w:vSpace="672" w:wrap="none" w:hAnchor="page" w:x="635" w:y="361"/>
              <w:spacing w:line="240" w:lineRule="auto"/>
              <w:ind w:firstLine="160"/>
              <w:rPr>
                <w:sz w:val="16"/>
                <w:szCs w:val="16"/>
              </w:rPr>
            </w:pPr>
            <w:r>
              <w:rPr>
                <w:rFonts w:ascii="Times New Roman" w:eastAsia="Times New Roman" w:hAnsi="Times New Roman" w:cs="Times New Roman"/>
                <w:sz w:val="16"/>
                <w:szCs w:val="16"/>
              </w:rPr>
              <w:t>escabiosis y tiñas</w:t>
            </w:r>
          </w:p>
        </w:tc>
      </w:tr>
      <w:tr w:rsidR="0072615D" w14:paraId="74CB0258" w14:textId="77777777">
        <w:tblPrEx>
          <w:tblCellMar>
            <w:top w:w="0" w:type="dxa"/>
            <w:bottom w:w="0" w:type="dxa"/>
          </w:tblCellMar>
        </w:tblPrEx>
        <w:trPr>
          <w:trHeight w:hRule="exact" w:val="446"/>
        </w:trPr>
        <w:tc>
          <w:tcPr>
            <w:tcW w:w="2650" w:type="dxa"/>
            <w:shd w:val="clear" w:color="auto" w:fill="FFFFFF"/>
            <w:vAlign w:val="bottom"/>
          </w:tcPr>
          <w:p w14:paraId="4CD7DF1C" w14:textId="77777777" w:rsidR="0072615D" w:rsidRDefault="0072615D">
            <w:pPr>
              <w:pStyle w:val="Other0"/>
              <w:framePr w:w="11424" w:h="3466" w:vSpace="672" w:wrap="none" w:hAnchor="page" w:x="635" w:y="361"/>
              <w:spacing w:line="283" w:lineRule="auto"/>
              <w:ind w:left="160" w:hanging="160"/>
              <w:rPr>
                <w:sz w:val="16"/>
                <w:szCs w:val="16"/>
              </w:rPr>
            </w:pPr>
            <w:r>
              <w:rPr>
                <w:rFonts w:ascii="Times New Roman" w:eastAsia="Times New Roman" w:hAnsi="Times New Roman" w:cs="Times New Roman"/>
                <w:sz w:val="16"/>
                <w:szCs w:val="16"/>
              </w:rPr>
              <w:t>Contacto con sangre, orina, saliva o ambos líquidos</w:t>
            </w:r>
          </w:p>
        </w:tc>
        <w:tc>
          <w:tcPr>
            <w:tcW w:w="2957" w:type="dxa"/>
            <w:shd w:val="clear" w:color="auto" w:fill="FFFFFF"/>
          </w:tcPr>
          <w:p w14:paraId="10971C34" w14:textId="77777777" w:rsidR="0072615D" w:rsidRDefault="0072615D">
            <w:pPr>
              <w:framePr w:w="11424" w:h="3466" w:vSpace="672" w:wrap="none" w:hAnchor="page" w:x="635" w:y="361"/>
              <w:rPr>
                <w:sz w:val="10"/>
                <w:szCs w:val="10"/>
              </w:rPr>
            </w:pPr>
          </w:p>
        </w:tc>
        <w:tc>
          <w:tcPr>
            <w:tcW w:w="2861" w:type="dxa"/>
            <w:shd w:val="clear" w:color="auto" w:fill="FFFFFF"/>
          </w:tcPr>
          <w:p w14:paraId="1021A101"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sz w:val="16"/>
                <w:szCs w:val="16"/>
              </w:rPr>
              <w:t>Virus citomegálico y herpes simple</w:t>
            </w:r>
          </w:p>
        </w:tc>
        <w:tc>
          <w:tcPr>
            <w:tcW w:w="2957" w:type="dxa"/>
            <w:shd w:val="clear" w:color="auto" w:fill="FFFFFF"/>
          </w:tcPr>
          <w:p w14:paraId="752A59FC" w14:textId="77777777" w:rsidR="0072615D" w:rsidRDefault="0072615D">
            <w:pPr>
              <w:framePr w:w="11424" w:h="3466" w:vSpace="672" w:wrap="none" w:hAnchor="page" w:x="635" w:y="361"/>
              <w:rPr>
                <w:sz w:val="10"/>
                <w:szCs w:val="10"/>
              </w:rPr>
            </w:pPr>
          </w:p>
        </w:tc>
      </w:tr>
      <w:tr w:rsidR="0072615D" w14:paraId="29EB09EF" w14:textId="77777777">
        <w:tblPrEx>
          <w:tblCellMar>
            <w:top w:w="0" w:type="dxa"/>
            <w:bottom w:w="0" w:type="dxa"/>
          </w:tblCellMar>
        </w:tblPrEx>
        <w:trPr>
          <w:trHeight w:hRule="exact" w:val="307"/>
        </w:trPr>
        <w:tc>
          <w:tcPr>
            <w:tcW w:w="2650" w:type="dxa"/>
            <w:tcBorders>
              <w:bottom w:val="single" w:sz="4" w:space="0" w:color="auto"/>
            </w:tcBorders>
            <w:shd w:val="clear" w:color="auto" w:fill="FFFFFF"/>
          </w:tcPr>
          <w:p w14:paraId="2B25D618"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sz w:val="16"/>
                <w:szCs w:val="16"/>
              </w:rPr>
              <w:t>Vía hematógena</w:t>
            </w:r>
          </w:p>
        </w:tc>
        <w:tc>
          <w:tcPr>
            <w:tcW w:w="2957" w:type="dxa"/>
            <w:tcBorders>
              <w:bottom w:val="single" w:sz="4" w:space="0" w:color="auto"/>
            </w:tcBorders>
            <w:shd w:val="clear" w:color="auto" w:fill="FFFFFF"/>
          </w:tcPr>
          <w:p w14:paraId="65930E63" w14:textId="77777777" w:rsidR="0072615D" w:rsidRDefault="0072615D">
            <w:pPr>
              <w:framePr w:w="11424" w:h="3466" w:vSpace="672" w:wrap="none" w:hAnchor="page" w:x="635" w:y="361"/>
              <w:rPr>
                <w:sz w:val="10"/>
                <w:szCs w:val="10"/>
              </w:rPr>
            </w:pPr>
          </w:p>
        </w:tc>
        <w:tc>
          <w:tcPr>
            <w:tcW w:w="2861" w:type="dxa"/>
            <w:tcBorders>
              <w:bottom w:val="single" w:sz="4" w:space="0" w:color="auto"/>
            </w:tcBorders>
            <w:shd w:val="clear" w:color="auto" w:fill="FFFFFF"/>
          </w:tcPr>
          <w:p w14:paraId="559BEA98" w14:textId="77777777" w:rsidR="0072615D" w:rsidRDefault="0072615D">
            <w:pPr>
              <w:pStyle w:val="Other0"/>
              <w:framePr w:w="11424" w:h="3466" w:vSpace="672" w:wrap="none" w:hAnchor="page" w:x="635" w:y="361"/>
              <w:spacing w:line="240" w:lineRule="auto"/>
              <w:ind w:firstLine="0"/>
              <w:rPr>
                <w:sz w:val="16"/>
                <w:szCs w:val="16"/>
              </w:rPr>
            </w:pPr>
            <w:r>
              <w:rPr>
                <w:rFonts w:ascii="Times New Roman" w:eastAsia="Times New Roman" w:hAnsi="Times New Roman" w:cs="Times New Roman"/>
                <w:sz w:val="16"/>
                <w:szCs w:val="16"/>
              </w:rPr>
              <w:t>Virus de hepatitis B</w:t>
            </w:r>
          </w:p>
        </w:tc>
        <w:tc>
          <w:tcPr>
            <w:tcW w:w="2957" w:type="dxa"/>
            <w:tcBorders>
              <w:bottom w:val="single" w:sz="4" w:space="0" w:color="auto"/>
            </w:tcBorders>
            <w:shd w:val="clear" w:color="auto" w:fill="FFFFFF"/>
          </w:tcPr>
          <w:p w14:paraId="5983A202" w14:textId="77777777" w:rsidR="0072615D" w:rsidRDefault="0072615D">
            <w:pPr>
              <w:framePr w:w="11424" w:h="3466" w:vSpace="672" w:wrap="none" w:hAnchor="page" w:x="635" w:y="361"/>
              <w:rPr>
                <w:sz w:val="10"/>
                <w:szCs w:val="10"/>
              </w:rPr>
            </w:pPr>
          </w:p>
        </w:tc>
      </w:tr>
    </w:tbl>
    <w:p w14:paraId="38E8DC2F" w14:textId="77777777" w:rsidR="0072615D" w:rsidRDefault="0072615D">
      <w:pPr>
        <w:framePr w:w="11424" w:h="3466" w:vSpace="672" w:wrap="none" w:hAnchor="page" w:x="635" w:y="361"/>
        <w:spacing w:line="1" w:lineRule="exact"/>
      </w:pPr>
    </w:p>
    <w:p w14:paraId="5853C00E" w14:textId="77777777" w:rsidR="0072615D" w:rsidRDefault="0072615D">
      <w:pPr>
        <w:pStyle w:val="Tablecaption0"/>
        <w:framePr w:w="11155" w:h="576" w:wrap="none" w:hAnchor="page" w:x="678" w:y="3923"/>
        <w:numPr>
          <w:ilvl w:val="0"/>
          <w:numId w:val="41"/>
        </w:numPr>
        <w:tabs>
          <w:tab w:val="left" w:pos="158"/>
        </w:tabs>
        <w:spacing w:line="254" w:lineRule="auto"/>
        <w:ind w:left="180" w:hanging="180"/>
        <w:jc w:val="both"/>
      </w:pPr>
      <w:r>
        <w:t>También existe la posibilidad de transmisión de microorganismos por alimentos y animales en el medio asistencial infantil (véase el apéndice VI, “Síndromes clínicos que surgen en enfermedades de origen alimentario”, y el apéndice VIII, “Enfermedades transmitidas por animales”).</w:t>
      </w:r>
    </w:p>
    <w:p w14:paraId="1FFBAFC8" w14:textId="77777777" w:rsidR="0072615D" w:rsidRDefault="0072615D">
      <w:pPr>
        <w:pStyle w:val="Tablecaption0"/>
        <w:framePr w:w="11155" w:h="576" w:wrap="none" w:hAnchor="page" w:x="678" w:y="3923"/>
        <w:numPr>
          <w:ilvl w:val="0"/>
          <w:numId w:val="41"/>
        </w:numPr>
        <w:tabs>
          <w:tab w:val="left" w:pos="173"/>
        </w:tabs>
        <w:spacing w:line="254" w:lineRule="auto"/>
        <w:ind w:left="0"/>
      </w:pPr>
      <w:r>
        <w:t>Parásitos, hongos, ácaros y piojos.</w:t>
      </w:r>
    </w:p>
    <w:p w14:paraId="15934534" w14:textId="77777777" w:rsidR="0072615D" w:rsidRDefault="0072615D">
      <w:pPr>
        <w:pStyle w:val="Bodytext80"/>
        <w:framePr w:w="192" w:h="5362" w:hRule="exact" w:wrap="none" w:hAnchor="page" w:x="12390" w:y="68"/>
        <w:tabs>
          <w:tab w:val="left" w:pos="1483"/>
        </w:tabs>
        <w:textDirection w:val="tbRl"/>
      </w:pPr>
      <w:r>
        <w:rPr>
          <w:sz w:val="16"/>
          <w:szCs w:val="16"/>
        </w:rPr>
        <w:t>138</w:t>
      </w:r>
      <w:r>
        <w:rPr>
          <w:sz w:val="16"/>
          <w:szCs w:val="16"/>
        </w:rPr>
        <w:tab/>
      </w:r>
      <w:r>
        <w:t>NIÑOS EN EL SISTEMA ASISTENCIAL EXTRAHOGAREÑO</w:t>
      </w:r>
    </w:p>
    <w:p w14:paraId="4DD2A28C" w14:textId="77777777" w:rsidR="0072615D" w:rsidRDefault="0072615D">
      <w:pPr>
        <w:spacing w:line="360" w:lineRule="exact"/>
      </w:pPr>
    </w:p>
    <w:p w14:paraId="24B2B9B7" w14:textId="77777777" w:rsidR="0072615D" w:rsidRDefault="0072615D">
      <w:pPr>
        <w:spacing w:line="360" w:lineRule="exact"/>
      </w:pPr>
    </w:p>
    <w:p w14:paraId="778B67AF" w14:textId="77777777" w:rsidR="0072615D" w:rsidRDefault="0072615D">
      <w:pPr>
        <w:spacing w:line="360" w:lineRule="exact"/>
      </w:pPr>
    </w:p>
    <w:p w14:paraId="3A15AC58" w14:textId="77777777" w:rsidR="0072615D" w:rsidRDefault="0072615D">
      <w:pPr>
        <w:spacing w:line="360" w:lineRule="exact"/>
      </w:pPr>
    </w:p>
    <w:p w14:paraId="6C818AE7" w14:textId="77777777" w:rsidR="0072615D" w:rsidRDefault="0072615D">
      <w:pPr>
        <w:spacing w:line="360" w:lineRule="exact"/>
      </w:pPr>
    </w:p>
    <w:p w14:paraId="40BA9F14" w14:textId="77777777" w:rsidR="0072615D" w:rsidRDefault="0072615D">
      <w:pPr>
        <w:spacing w:line="360" w:lineRule="exact"/>
      </w:pPr>
    </w:p>
    <w:p w14:paraId="5275901E" w14:textId="77777777" w:rsidR="0072615D" w:rsidRDefault="0072615D">
      <w:pPr>
        <w:spacing w:line="360" w:lineRule="exact"/>
      </w:pPr>
    </w:p>
    <w:p w14:paraId="03269E2D" w14:textId="77777777" w:rsidR="0072615D" w:rsidRDefault="0072615D">
      <w:pPr>
        <w:spacing w:line="360" w:lineRule="exact"/>
      </w:pPr>
    </w:p>
    <w:p w14:paraId="7B8EDE90" w14:textId="77777777" w:rsidR="0072615D" w:rsidRDefault="0072615D">
      <w:pPr>
        <w:spacing w:line="360" w:lineRule="exact"/>
      </w:pPr>
    </w:p>
    <w:p w14:paraId="32FD3FB0" w14:textId="77777777" w:rsidR="0072615D" w:rsidRDefault="0072615D">
      <w:pPr>
        <w:spacing w:line="360" w:lineRule="exact"/>
      </w:pPr>
    </w:p>
    <w:p w14:paraId="388119C8" w14:textId="77777777" w:rsidR="0072615D" w:rsidRDefault="0072615D">
      <w:pPr>
        <w:spacing w:line="360" w:lineRule="exact"/>
      </w:pPr>
    </w:p>
    <w:p w14:paraId="4BC6D523" w14:textId="77777777" w:rsidR="0072615D" w:rsidRDefault="0072615D">
      <w:pPr>
        <w:spacing w:line="360" w:lineRule="exact"/>
      </w:pPr>
    </w:p>
    <w:p w14:paraId="25EB847F" w14:textId="77777777" w:rsidR="0072615D" w:rsidRDefault="0072615D">
      <w:pPr>
        <w:spacing w:line="360" w:lineRule="exact"/>
      </w:pPr>
    </w:p>
    <w:p w14:paraId="5746BB60" w14:textId="77777777" w:rsidR="0072615D" w:rsidRDefault="0072615D">
      <w:pPr>
        <w:spacing w:line="360" w:lineRule="exact"/>
      </w:pPr>
    </w:p>
    <w:p w14:paraId="4F8F3767" w14:textId="77777777" w:rsidR="0072615D" w:rsidRDefault="0072615D">
      <w:pPr>
        <w:spacing w:after="388" w:line="1" w:lineRule="exact"/>
      </w:pPr>
    </w:p>
    <w:p w14:paraId="444D48FA" w14:textId="77777777" w:rsidR="0072615D" w:rsidRDefault="0072615D">
      <w:pPr>
        <w:spacing w:line="1" w:lineRule="exact"/>
        <w:sectPr w:rsidR="0072615D" w:rsidSect="0072615D">
          <w:headerReference w:type="even" r:id="rId320"/>
          <w:headerReference w:type="default" r:id="rId321"/>
          <w:footerReference w:type="even" r:id="rId322"/>
          <w:footerReference w:type="default" r:id="rId323"/>
          <w:footnotePr>
            <w:numFmt w:val="chicago"/>
          </w:footnotePr>
          <w:pgSz w:w="13022" w:h="8501" w:orient="landscape"/>
          <w:pgMar w:top="451" w:right="442" w:bottom="451" w:left="634" w:header="23" w:footer="23" w:gutter="0"/>
          <w:pgNumType w:start="174"/>
          <w:cols w:space="720"/>
          <w:noEndnote/>
          <w:docGrid w:linePitch="360"/>
          <w15:footnoteColumns w:val="1"/>
        </w:sectPr>
      </w:pPr>
    </w:p>
    <w:p w14:paraId="63F58180" w14:textId="77777777" w:rsidR="0072615D" w:rsidRDefault="0072615D">
      <w:pPr>
        <w:pStyle w:val="BodyText"/>
        <w:spacing w:before="240"/>
        <w:ind w:firstLine="0"/>
      </w:pPr>
      <w:r>
        <w:t>ambiental, y edades y estado de inmunización de los niños participantes. El factor más importante para disminuir la transmisión de enfermedades en el entorno de asistencia infantil es la higiene adecuada de las manos. Los niños que se infectan dentro de un grupo asistencial más tarde transmiten los organismos no sólo a sus compañeros, sino también al núcleo familiar y a la comunidad.</w:t>
      </w:r>
    </w:p>
    <w:p w14:paraId="5C75EDCE" w14:textId="77777777" w:rsidR="0072615D" w:rsidRDefault="0072615D">
      <w:pPr>
        <w:pStyle w:val="BodyText"/>
        <w:ind w:firstLine="360"/>
      </w:pPr>
      <w:r>
        <w:t>Las opciones más importantes para tratar a niños enfermos o infectados en instituciones asistenciales y para controlar la propagación de la infección incluyen: 1) tratamiento o profilaxia antimicrobiana; 2) vacunación cuando así convenga;</w:t>
      </w:r>
    </w:p>
    <w:p w14:paraId="3330DDAA" w14:textId="77777777" w:rsidR="0072615D" w:rsidRDefault="0072615D">
      <w:pPr>
        <w:pStyle w:val="BodyText"/>
        <w:numPr>
          <w:ilvl w:val="0"/>
          <w:numId w:val="40"/>
        </w:numPr>
        <w:tabs>
          <w:tab w:val="left" w:pos="279"/>
        </w:tabs>
        <w:ind w:firstLine="0"/>
      </w:pPr>
      <w:bookmarkStart w:id="421" w:name="bookmark421"/>
      <w:bookmarkEnd w:id="421"/>
      <w:r>
        <w:t>exclusión y apartamiento de los niños enfermos o infectados, de la institución;</w:t>
      </w:r>
    </w:p>
    <w:p w14:paraId="74B496D3" w14:textId="77777777" w:rsidR="0072615D" w:rsidRDefault="0072615D">
      <w:pPr>
        <w:pStyle w:val="BodyText"/>
        <w:numPr>
          <w:ilvl w:val="0"/>
          <w:numId w:val="40"/>
        </w:numPr>
        <w:tabs>
          <w:tab w:val="left" w:pos="289"/>
        </w:tabs>
        <w:ind w:firstLine="0"/>
      </w:pPr>
      <w:bookmarkStart w:id="422" w:name="bookmark422"/>
      <w:bookmarkEnd w:id="422"/>
      <w:r>
        <w:t>posibilidades de atención en un sitio independiente; 5) cohortes para brindar atención (p. ej., segregar a los niños infectados y formar un grupo que cuente con personal y medios separados); 6) restricción de nuevas admisiones; y 7) cierre de la institución (opción a la que raras veces se recurre). Las recomendaciones para controlar la propagación de agentes infecciosos específicos difiere con las características epidemiológicas de cada patógeno (consultar la sección 3, los resúmenes con enfermedades específicas) y la naturaleza del entorno.</w:t>
      </w:r>
    </w:p>
    <w:p w14:paraId="4F0B1536" w14:textId="77777777" w:rsidR="0072615D" w:rsidRDefault="0072615D">
      <w:pPr>
        <w:pStyle w:val="BodyText"/>
        <w:spacing w:after="100"/>
        <w:ind w:firstLine="360"/>
      </w:pPr>
      <w:r>
        <w:t>Algunos métodos generales y específicos de control de infecciones en programas de asistencia infantil disminuyen el contagio y la transmisión de enfermedades transmisibles en el interior y exterior de los programas. Entre los métodos en cuestión están: 1) revisión periódica de los registros que guarda el centro de atención de las enfermedades de los niños y los empleados, incluidos los estados de vacunación actuales; 2) métodos higiénicos y sanitarios para el uso del retrete y control de esfínteres (vesical y anal); 3) revisión e insistencia en métodos de higiene manual; 4) sanidad ambiental; 5) higiene personal de niños y personal asistencial; 6) preparación y manipulación higiénicas de alimentos; 7) vigilancia y notificación de enfermedades transmisibles; y 8) tratamiento y control de mascotas. También son útiles en la erradicación de enfermedades infecciosas normas específicas para el personal, que incluyen métodos de entrenamiento de empleados de tiempo completo y parcial, y normas de exclusión en caso de enfermedades, de dichas personas. Los departamentos de salud deben contar con planes para controlar enfermedades transmisibles notificables y no notificables en los programas de atención infantil, y deben brindar entrenamiento, información escrita y consulta técnica a los programas de este tipo si se los solicita. Un miembro experto y entrenado del personal valuará el estado de salud de cada niño conforme el menor se incorpore al sitio de atención y lo hará durante todo el día. Habrá que pedir a los progenitores que compartan información con el personal asistencial en cuanto a enfermedades agudas y crónicas de su hijo y consumo de medicamentos. También se solicitará a los padres que señalen el estado de las vacunaciones de su hijo, de una manera constante.</w:t>
      </w:r>
    </w:p>
    <w:p w14:paraId="77399C7E" w14:textId="77777777" w:rsidR="0072615D" w:rsidRDefault="0072615D">
      <w:pPr>
        <w:pStyle w:val="Bodytext70"/>
      </w:pPr>
      <w:r>
        <w:t>Recomendaciones para inclusión o exclusión</w:t>
      </w:r>
    </w:p>
    <w:p w14:paraId="783592D8" w14:textId="77777777" w:rsidR="0072615D" w:rsidRDefault="0072615D">
      <w:pPr>
        <w:pStyle w:val="BodyText"/>
        <w:spacing w:after="160"/>
        <w:ind w:firstLine="0"/>
      </w:pPr>
      <w:r>
        <w:t>Es frecuente que surjan entre los niños enfermedades leves. Casi ningún menor necesita quedar excluido de su fuente común de atención, si tiene enfermedades benignas o leves de vías respiratorias, porque es posible que se haya producido ya la transmisión antes de que surgieran los síntomas en él. La enfermedad puede surgir como resultado de contacto con niños con infecciones asintomáticas. El peligro de sufrir una enfermedad puede disminuir si se siguen prácticas higiénicas basadas en el sentido común.</w:t>
      </w:r>
    </w:p>
    <w:p w14:paraId="3A4F5916" w14:textId="77777777" w:rsidR="0072615D" w:rsidRDefault="0072615D">
      <w:pPr>
        <w:pStyle w:val="BodyText"/>
        <w:ind w:firstLine="360"/>
      </w:pPr>
      <w:r>
        <w:t>Se ha recomendado excluir a niños y adultos enfermos de instituciones asistenciales extrahogareñas, cuando tal medida podría disminuir la posibilidad de los llamados casos secundarios. En muchas ocasiones, la experiencia del consultor médico del programa y la de las autoridades de salud pública locales y estatales, a cargo de la situación, ayudan a identificar los beneficios y los riesgos de excluir niños de su programa común de asistencia. En Estados Unidos, casi todos los estados han emitido leyes sobre la forma de aislar a personas con enfermedades transmisible específicas. Es importante que el personal y las partes interesadas establezcan contacto con los departamentos de salud locales o estatales para conocer tales leyes, y las autoridades en el terreno deben recibir notificación de los casos de enfermedades transmisibles notificables y de los brotes poco comunes de otros padecimientos que afectan a niños o adultos en el entorno de asistencia infantil (véase el Apéndice IX, “Enfermedades infecciosas de notificación nacional en Estados Unidos”).</w:t>
      </w:r>
    </w:p>
    <w:p w14:paraId="11197B22" w14:textId="77777777" w:rsidR="0072615D" w:rsidRDefault="0072615D">
      <w:pPr>
        <w:pStyle w:val="BodyText"/>
        <w:ind w:firstLine="360"/>
      </w:pPr>
      <w:r>
        <w:t>Es necesario segregar a los niños en el entorno asistencial, en los casos siguientes:</w:t>
      </w:r>
    </w:p>
    <w:p w14:paraId="19958E89" w14:textId="77777777" w:rsidR="0072615D" w:rsidRDefault="0072615D">
      <w:pPr>
        <w:pStyle w:val="BodyText"/>
        <w:numPr>
          <w:ilvl w:val="0"/>
          <w:numId w:val="42"/>
        </w:numPr>
        <w:tabs>
          <w:tab w:val="left" w:pos="338"/>
        </w:tabs>
        <w:ind w:left="360" w:hanging="360"/>
      </w:pPr>
      <w:bookmarkStart w:id="423" w:name="bookmark423"/>
      <w:bookmarkEnd w:id="423"/>
      <w:r>
        <w:t>Enfermedades que impidan que el niño participe cómodamente en actividades de los programas de la institución.</w:t>
      </w:r>
    </w:p>
    <w:p w14:paraId="1989E6AD" w14:textId="77777777" w:rsidR="0072615D" w:rsidRDefault="0072615D">
      <w:pPr>
        <w:pStyle w:val="BodyText"/>
        <w:numPr>
          <w:ilvl w:val="0"/>
          <w:numId w:val="42"/>
        </w:numPr>
        <w:tabs>
          <w:tab w:val="left" w:pos="338"/>
        </w:tabs>
        <w:ind w:left="360" w:hanging="360"/>
      </w:pPr>
      <w:bookmarkStart w:id="424" w:name="bookmark424"/>
      <w:bookmarkEnd w:id="424"/>
      <w:r>
        <w:t>Enfermedades que originan la necesidad de una atención mayor que la que puede brindar el personal idóneo sin poner en peligro la salud y la seguridad de los demás niños.</w:t>
      </w:r>
    </w:p>
    <w:p w14:paraId="5A634A92" w14:textId="77777777" w:rsidR="0072615D" w:rsidRDefault="0072615D">
      <w:pPr>
        <w:pStyle w:val="BodyText"/>
        <w:numPr>
          <w:ilvl w:val="0"/>
          <w:numId w:val="42"/>
        </w:numPr>
        <w:tabs>
          <w:tab w:val="left" w:pos="338"/>
        </w:tabs>
        <w:ind w:left="360" w:hanging="360"/>
      </w:pPr>
      <w:bookmarkStart w:id="425" w:name="bookmark425"/>
      <w:bookmarkEnd w:id="425"/>
      <w:r>
        <w:t>Cualquiera de las manifestaciones siguientes que sugiera la presencia de una posible enfermedad grave: fiebre, letargia, irritabilidad, llanto persistente, disnea o dificultad para respirar u otras manifestaciones de posible enfermedad grave.</w:t>
      </w:r>
    </w:p>
    <w:p w14:paraId="2E30A712" w14:textId="77777777" w:rsidR="0072615D" w:rsidRDefault="0072615D">
      <w:pPr>
        <w:pStyle w:val="BodyText"/>
        <w:numPr>
          <w:ilvl w:val="0"/>
          <w:numId w:val="42"/>
        </w:numPr>
        <w:tabs>
          <w:tab w:val="left" w:pos="338"/>
        </w:tabs>
        <w:ind w:firstLine="0"/>
      </w:pPr>
      <w:bookmarkStart w:id="426" w:name="bookmark426"/>
      <w:bookmarkEnd w:id="426"/>
      <w:r>
        <w:t>Diarrea o excrementos con sangre o moco.</w:t>
      </w:r>
    </w:p>
    <w:p w14:paraId="1B8623D3" w14:textId="77777777" w:rsidR="0072615D" w:rsidRDefault="0072615D">
      <w:pPr>
        <w:pStyle w:val="BodyText"/>
        <w:numPr>
          <w:ilvl w:val="0"/>
          <w:numId w:val="42"/>
        </w:numPr>
        <w:tabs>
          <w:tab w:val="left" w:pos="338"/>
        </w:tabs>
        <w:ind w:left="360" w:hanging="360"/>
      </w:pPr>
      <w:bookmarkStart w:id="427" w:name="bookmark427"/>
      <w:bookmarkEnd w:id="427"/>
      <w:r>
        <w:t xml:space="preserve">Infección por </w:t>
      </w:r>
      <w:r>
        <w:rPr>
          <w:rFonts w:ascii="Times New Roman" w:eastAsia="Times New Roman" w:hAnsi="Times New Roman" w:cs="Times New Roman"/>
          <w:i/>
          <w:iCs/>
          <w:sz w:val="16"/>
          <w:szCs w:val="16"/>
        </w:rPr>
        <w:t>Escherichia coli</w:t>
      </w:r>
      <w:r>
        <w:t xml:space="preserve"> productora de toxina de shiga que incluyan las variantes </w:t>
      </w:r>
      <w:r>
        <w:rPr>
          <w:rFonts w:ascii="Times New Roman" w:eastAsia="Times New Roman" w:hAnsi="Times New Roman" w:cs="Times New Roman"/>
          <w:i/>
          <w:iCs/>
          <w:sz w:val="16"/>
          <w:szCs w:val="16"/>
        </w:rPr>
        <w:t>E. coli</w:t>
      </w:r>
      <w:r>
        <w:t xml:space="preserve"> O157:H7, o </w:t>
      </w:r>
      <w:r>
        <w:rPr>
          <w:rFonts w:ascii="Times New Roman" w:eastAsia="Times New Roman" w:hAnsi="Times New Roman" w:cs="Times New Roman"/>
          <w:i/>
          <w:iCs/>
          <w:sz w:val="16"/>
          <w:szCs w:val="16"/>
        </w:rPr>
        <w:t>Shigella</w:t>
      </w:r>
      <w:r>
        <w:rPr>
          <w:i/>
          <w:iCs/>
        </w:rPr>
        <w:t>,</w:t>
      </w:r>
      <w:r>
        <w:t xml:space="preserve"> hasta que desaparezca la diarrea y dos cultivos de excrementos denoten la ausencia de tales microorganismos.</w:t>
      </w:r>
    </w:p>
    <w:p w14:paraId="041917AB" w14:textId="77777777" w:rsidR="0072615D" w:rsidRDefault="0072615D">
      <w:pPr>
        <w:pStyle w:val="BodyText"/>
        <w:numPr>
          <w:ilvl w:val="0"/>
          <w:numId w:val="42"/>
        </w:numPr>
        <w:tabs>
          <w:tab w:val="left" w:pos="338"/>
        </w:tabs>
        <w:ind w:left="360" w:hanging="360"/>
      </w:pPr>
      <w:bookmarkStart w:id="428" w:name="bookmark428"/>
      <w:bookmarkEnd w:id="428"/>
      <w:r>
        <w:t>Vomitar dos veces o más durante las 24 h anteriores, salvo que se advirtió que el vómito es causado por un cuadro no transmisible y el niño no está en peligro de deshidratación.</w:t>
      </w:r>
    </w:p>
    <w:p w14:paraId="51ADAF92" w14:textId="77777777" w:rsidR="0072615D" w:rsidRDefault="0072615D">
      <w:pPr>
        <w:pStyle w:val="BodyText"/>
        <w:numPr>
          <w:ilvl w:val="0"/>
          <w:numId w:val="42"/>
        </w:numPr>
        <w:tabs>
          <w:tab w:val="left" w:pos="338"/>
        </w:tabs>
        <w:ind w:left="360" w:hanging="360"/>
      </w:pPr>
      <w:bookmarkStart w:id="429" w:name="bookmark429"/>
      <w:bookmarkEnd w:id="429"/>
      <w:r>
        <w:t>Úlceras bucales acompañadas de babeo, salvo que el médico del pequeño o la autoridad del departamento de salud local afirme que el niño no tiene un cuadro infeccioso.</w:t>
      </w:r>
    </w:p>
    <w:p w14:paraId="0F355393" w14:textId="77777777" w:rsidR="0072615D" w:rsidRDefault="0072615D">
      <w:pPr>
        <w:pStyle w:val="BodyText"/>
        <w:numPr>
          <w:ilvl w:val="0"/>
          <w:numId w:val="42"/>
        </w:numPr>
        <w:tabs>
          <w:tab w:val="left" w:pos="338"/>
        </w:tabs>
        <w:ind w:left="360" w:hanging="360"/>
      </w:pPr>
      <w:bookmarkStart w:id="430" w:name="bookmark430"/>
      <w:bookmarkEnd w:id="430"/>
      <w:r>
        <w:t>Erupción con fiebre o cambios conductuales hasta que el médico haya juzgado que la enfermedad no es transmisible.</w:t>
      </w:r>
    </w:p>
    <w:p w14:paraId="0BD3F896" w14:textId="77777777" w:rsidR="0072615D" w:rsidRDefault="0072615D">
      <w:pPr>
        <w:pStyle w:val="BodyText"/>
        <w:numPr>
          <w:ilvl w:val="0"/>
          <w:numId w:val="42"/>
        </w:numPr>
        <w:tabs>
          <w:tab w:val="left" w:pos="338"/>
        </w:tabs>
        <w:ind w:left="360" w:hanging="360"/>
      </w:pPr>
      <w:bookmarkStart w:id="431" w:name="bookmark431"/>
      <w:bookmarkEnd w:id="431"/>
      <w:r>
        <w:t>Conjuntivitis purulenta (definida como enrojecimiento de la conjuntiva con secreción de material blanquecino o amarillento, a menudo con adherencias de párpados después del sueño y dolor de los ojos o enrojecimiento de los párpados</w:t>
      </w:r>
    </w:p>
    <w:p w14:paraId="5DF43F39" w14:textId="77777777" w:rsidR="0072615D" w:rsidRDefault="0072615D">
      <w:pPr>
        <w:pStyle w:val="BodyText"/>
        <w:ind w:left="360" w:firstLine="0"/>
      </w:pPr>
      <w:r>
        <w:t>o la piel periocular) hasta que el menor sea explorado por un médico y apruebe su readmisión.</w:t>
      </w:r>
    </w:p>
    <w:p w14:paraId="7E2A5867" w14:textId="77777777" w:rsidR="0072615D" w:rsidRDefault="0072615D">
      <w:pPr>
        <w:pStyle w:val="BodyText"/>
        <w:numPr>
          <w:ilvl w:val="0"/>
          <w:numId w:val="42"/>
        </w:numPr>
        <w:tabs>
          <w:tab w:val="left" w:pos="338"/>
        </w:tabs>
        <w:ind w:left="360" w:hanging="360"/>
      </w:pPr>
      <w:bookmarkStart w:id="432" w:name="bookmark432"/>
      <w:bookmarkEnd w:id="432"/>
      <w:r>
        <w:t>Tuberculosis, hasta que el médico del niño o la autoridad de salud local afirme que se trata de un cuadro no infeccioso.</w:t>
      </w:r>
    </w:p>
    <w:p w14:paraId="398E5A6F" w14:textId="77777777" w:rsidR="0072615D" w:rsidRDefault="0072615D">
      <w:pPr>
        <w:pStyle w:val="BodyText"/>
        <w:numPr>
          <w:ilvl w:val="0"/>
          <w:numId w:val="42"/>
        </w:numPr>
        <w:tabs>
          <w:tab w:val="left" w:pos="338"/>
        </w:tabs>
        <w:ind w:firstLine="0"/>
      </w:pPr>
      <w:bookmarkStart w:id="433" w:name="bookmark433"/>
      <w:bookmarkEnd w:id="433"/>
      <w:r>
        <w:t>Impétigo, hasta 24 h después de emprender el tratamiento.</w:t>
      </w:r>
    </w:p>
    <w:p w14:paraId="25302746" w14:textId="77777777" w:rsidR="0072615D" w:rsidRDefault="0072615D">
      <w:pPr>
        <w:pStyle w:val="BodyText"/>
        <w:numPr>
          <w:ilvl w:val="0"/>
          <w:numId w:val="42"/>
        </w:numPr>
        <w:tabs>
          <w:tab w:val="left" w:pos="338"/>
        </w:tabs>
        <w:ind w:firstLine="0"/>
      </w:pPr>
      <w:bookmarkStart w:id="434" w:name="bookmark434"/>
      <w:bookmarkEnd w:id="434"/>
      <w:r>
        <w:t>Faringitis estreptocócica, hasta 24 h después de emprender el tratamiento.</w:t>
      </w:r>
    </w:p>
    <w:p w14:paraId="435F5ED4" w14:textId="77777777" w:rsidR="0072615D" w:rsidRDefault="0072615D">
      <w:pPr>
        <w:pStyle w:val="BodyText"/>
        <w:numPr>
          <w:ilvl w:val="0"/>
          <w:numId w:val="42"/>
        </w:numPr>
        <w:tabs>
          <w:tab w:val="left" w:pos="338"/>
        </w:tabs>
        <w:ind w:firstLine="0"/>
      </w:pPr>
      <w:bookmarkStart w:id="435" w:name="bookmark435"/>
      <w:bookmarkEnd w:id="435"/>
      <w:r>
        <w:t>Pediculosis (piojos en la cabeza), hasta después del primer tratamiento.</w:t>
      </w:r>
    </w:p>
    <w:p w14:paraId="3CC5BFE9" w14:textId="77777777" w:rsidR="0072615D" w:rsidRDefault="0072615D">
      <w:pPr>
        <w:pStyle w:val="BodyText"/>
        <w:numPr>
          <w:ilvl w:val="0"/>
          <w:numId w:val="42"/>
        </w:numPr>
        <w:tabs>
          <w:tab w:val="left" w:pos="338"/>
        </w:tabs>
        <w:ind w:firstLine="0"/>
      </w:pPr>
      <w:bookmarkStart w:id="436" w:name="bookmark436"/>
      <w:bookmarkEnd w:id="436"/>
      <w:r>
        <w:t>Escabiosis, hasta después de aplicado el tratamiento.</w:t>
      </w:r>
    </w:p>
    <w:p w14:paraId="09601FC5" w14:textId="77777777" w:rsidR="0072615D" w:rsidRDefault="0072615D">
      <w:pPr>
        <w:pStyle w:val="BodyText"/>
        <w:numPr>
          <w:ilvl w:val="0"/>
          <w:numId w:val="42"/>
        </w:numPr>
        <w:tabs>
          <w:tab w:val="left" w:pos="338"/>
        </w:tabs>
        <w:ind w:left="360" w:hanging="360"/>
      </w:pPr>
      <w:bookmarkStart w:id="437" w:name="bookmark437"/>
      <w:bookmarkEnd w:id="437"/>
      <w:r>
        <w:t>Varicela hasta que todas las lesiones se hayan secado y encostrado (por lo común seis días después de comenzar la erupción; véase “Varicela-zoster, infecciones por el virus”, sección 3).</w:t>
      </w:r>
    </w:p>
    <w:p w14:paraId="47AF7F0A" w14:textId="77777777" w:rsidR="0072615D" w:rsidRDefault="0072615D">
      <w:pPr>
        <w:pStyle w:val="BodyText"/>
        <w:numPr>
          <w:ilvl w:val="0"/>
          <w:numId w:val="42"/>
        </w:numPr>
        <w:tabs>
          <w:tab w:val="left" w:pos="340"/>
        </w:tabs>
        <w:ind w:left="360" w:hanging="360"/>
      </w:pPr>
      <w:bookmarkStart w:id="438" w:name="bookmark438"/>
      <w:bookmarkEnd w:id="438"/>
      <w:r>
        <w:t>Tos ferina en un lapso de cinco días de haberse completado el tratamiento antimicrobiano apropiado (que se hace por un total de 14 días) (véase “Tos ferina”, sección 3).</w:t>
      </w:r>
    </w:p>
    <w:p w14:paraId="32A97E7F" w14:textId="77777777" w:rsidR="0072615D" w:rsidRDefault="0072615D">
      <w:pPr>
        <w:pStyle w:val="BodyText"/>
        <w:numPr>
          <w:ilvl w:val="0"/>
          <w:numId w:val="42"/>
        </w:numPr>
        <w:tabs>
          <w:tab w:val="left" w:pos="340"/>
        </w:tabs>
        <w:ind w:left="360" w:hanging="360"/>
      </w:pPr>
      <w:bookmarkStart w:id="439" w:name="bookmark439"/>
      <w:bookmarkEnd w:id="439"/>
      <w:r>
        <w:t>Parotiditis, en un lapso de nueve días después de haber comenzado la hinchazón de las parótidas.</w:t>
      </w:r>
    </w:p>
    <w:p w14:paraId="2B669C23" w14:textId="77777777" w:rsidR="0072615D" w:rsidRDefault="0072615D">
      <w:pPr>
        <w:pStyle w:val="BodyText"/>
        <w:numPr>
          <w:ilvl w:val="0"/>
          <w:numId w:val="42"/>
        </w:numPr>
        <w:tabs>
          <w:tab w:val="left" w:pos="340"/>
        </w:tabs>
        <w:ind w:firstLine="0"/>
      </w:pPr>
      <w:bookmarkStart w:id="440" w:name="bookmark440"/>
      <w:bookmarkEnd w:id="440"/>
      <w:r>
        <w:t>Sarampión, en un lapso incluso de cuatro días después de comenzar la erupción.</w:t>
      </w:r>
    </w:p>
    <w:p w14:paraId="1A80C7EE" w14:textId="77777777" w:rsidR="0072615D" w:rsidRDefault="0072615D">
      <w:pPr>
        <w:pStyle w:val="BodyText"/>
        <w:numPr>
          <w:ilvl w:val="0"/>
          <w:numId w:val="42"/>
        </w:numPr>
        <w:tabs>
          <w:tab w:val="left" w:pos="340"/>
        </w:tabs>
        <w:ind w:left="360" w:hanging="360"/>
      </w:pPr>
      <w:bookmarkStart w:id="441" w:name="bookmark441"/>
      <w:bookmarkEnd w:id="441"/>
      <w:r>
        <w:t>Infección por el virus de hepatitis A (HAV), incluso una semana después de comenzar la enfermedad o la ictericia (si los síntomas son de poca monta).</w:t>
      </w:r>
    </w:p>
    <w:p w14:paraId="5982A770" w14:textId="77777777" w:rsidR="0072615D" w:rsidRDefault="0072615D">
      <w:pPr>
        <w:pStyle w:val="BodyText"/>
        <w:ind w:firstLine="360"/>
      </w:pPr>
      <w:r>
        <w:t>Casi todas las enfermedades menores no constituyen una justificación para segregar y excluir a un niño de su asistencia. Ejemplos de enfermedades y trastornos que no necesitan exclusión incluyen:</w:t>
      </w:r>
    </w:p>
    <w:p w14:paraId="045E5373" w14:textId="77777777" w:rsidR="0072615D" w:rsidRDefault="0072615D">
      <w:pPr>
        <w:pStyle w:val="BodyText"/>
        <w:numPr>
          <w:ilvl w:val="0"/>
          <w:numId w:val="42"/>
        </w:numPr>
        <w:tabs>
          <w:tab w:val="left" w:pos="340"/>
        </w:tabs>
        <w:ind w:left="360" w:hanging="360"/>
      </w:pPr>
      <w:bookmarkStart w:id="442" w:name="bookmark442"/>
      <w:bookmarkEnd w:id="442"/>
      <w:r>
        <w:t>Conjuntivitis no purulenta (que se define por la conjuntiva de color rosa intenso con expulsión de material claro y acuoso por los ojos, sin fiebre, dolor ocular o enrojecimiento del párpado).</w:t>
      </w:r>
    </w:p>
    <w:p w14:paraId="31B41B80" w14:textId="77777777" w:rsidR="0072615D" w:rsidRDefault="0072615D">
      <w:pPr>
        <w:pStyle w:val="BodyText"/>
        <w:numPr>
          <w:ilvl w:val="0"/>
          <w:numId w:val="42"/>
        </w:numPr>
        <w:tabs>
          <w:tab w:val="left" w:pos="340"/>
        </w:tabs>
        <w:ind w:firstLine="0"/>
      </w:pPr>
      <w:bookmarkStart w:id="443" w:name="bookmark443"/>
      <w:bookmarkEnd w:id="443"/>
      <w:r>
        <w:t>Erupción sin fiebre ni cambios conductuales.</w:t>
      </w:r>
    </w:p>
    <w:p w14:paraId="658FC43B" w14:textId="77777777" w:rsidR="0072615D" w:rsidRDefault="0072615D">
      <w:pPr>
        <w:pStyle w:val="BodyText"/>
        <w:numPr>
          <w:ilvl w:val="0"/>
          <w:numId w:val="42"/>
        </w:numPr>
        <w:tabs>
          <w:tab w:val="left" w:pos="340"/>
        </w:tabs>
        <w:ind w:firstLine="0"/>
      </w:pPr>
      <w:bookmarkStart w:id="444" w:name="bookmark444"/>
      <w:bookmarkEnd w:id="444"/>
      <w:r>
        <w:t>Infección por parvovirus B19 en un sujeto inmunocompetente.</w:t>
      </w:r>
    </w:p>
    <w:p w14:paraId="5767F741" w14:textId="77777777" w:rsidR="0072615D" w:rsidRDefault="0072615D">
      <w:pPr>
        <w:pStyle w:val="BodyText"/>
        <w:numPr>
          <w:ilvl w:val="0"/>
          <w:numId w:val="42"/>
        </w:numPr>
        <w:tabs>
          <w:tab w:val="left" w:pos="340"/>
        </w:tabs>
        <w:ind w:firstLine="0"/>
      </w:pPr>
      <w:bookmarkStart w:id="445" w:name="bookmark445"/>
      <w:bookmarkEnd w:id="445"/>
      <w:r>
        <w:t xml:space="preserve">Infección citomegálica </w:t>
      </w:r>
      <w:r>
        <w:rPr>
          <w:i/>
          <w:iCs/>
        </w:rPr>
        <w:t>(</w:t>
      </w:r>
      <w:r>
        <w:rPr>
          <w:rFonts w:ascii="Times New Roman" w:eastAsia="Times New Roman" w:hAnsi="Times New Roman" w:cs="Times New Roman"/>
          <w:i/>
          <w:iCs/>
          <w:sz w:val="16"/>
          <w:szCs w:val="16"/>
        </w:rPr>
        <w:t>cytomegalovirus</w:t>
      </w:r>
      <w:r>
        <w:rPr>
          <w:i/>
          <w:iCs/>
        </w:rPr>
        <w:t>,</w:t>
      </w:r>
      <w:r>
        <w:t xml:space="preserve"> CMV).</w:t>
      </w:r>
    </w:p>
    <w:p w14:paraId="4A856110" w14:textId="77777777" w:rsidR="0072615D" w:rsidRDefault="0072615D">
      <w:pPr>
        <w:pStyle w:val="BodyText"/>
        <w:numPr>
          <w:ilvl w:val="0"/>
          <w:numId w:val="42"/>
        </w:numPr>
        <w:tabs>
          <w:tab w:val="left" w:pos="340"/>
        </w:tabs>
        <w:ind w:left="360" w:hanging="360"/>
      </w:pPr>
      <w:bookmarkStart w:id="446" w:name="bookmark446"/>
      <w:bookmarkEnd w:id="446"/>
      <w:r>
        <w:t>Infección crónica por virus de hepatitis B (HBV) (véase más adelante en esta sección “Virus de hepatitis B” en Aspectos epidemiológicos y control de enfermedades infecciosas, posibles excepciones).</w:t>
      </w:r>
    </w:p>
    <w:p w14:paraId="79E98497" w14:textId="77777777" w:rsidR="0072615D" w:rsidRDefault="0072615D">
      <w:pPr>
        <w:pStyle w:val="BodyText"/>
        <w:numPr>
          <w:ilvl w:val="0"/>
          <w:numId w:val="42"/>
        </w:numPr>
        <w:tabs>
          <w:tab w:val="left" w:pos="340"/>
        </w:tabs>
        <w:ind w:left="360" w:hanging="360"/>
      </w:pPr>
      <w:bookmarkStart w:id="447" w:name="bookmark447"/>
      <w:bookmarkEnd w:id="447"/>
      <w:r>
        <w:t>Infección por virus de inmunodeficiencia humana (VIH) (véase más adelante en esta sección “Infección por VIH” en Aspectos epidemiológicos y control de enfermedades infecciosas, posibles excepciones).</w:t>
      </w:r>
    </w:p>
    <w:p w14:paraId="0E9096A2" w14:textId="77777777" w:rsidR="0072615D" w:rsidRDefault="0072615D">
      <w:pPr>
        <w:pStyle w:val="BodyText"/>
        <w:spacing w:line="276" w:lineRule="auto"/>
        <w:ind w:firstLine="360"/>
      </w:pPr>
      <w:r>
        <w:t xml:space="preserve">Por lo común no se necesita segregar o excluir a niños asintomáticos que excretan un enteropatógeno, salvo cuando dentro del programa de asistencia infantil ha surgido una infección con </w:t>
      </w:r>
      <w:r>
        <w:rPr>
          <w:rFonts w:ascii="Times New Roman" w:eastAsia="Times New Roman" w:hAnsi="Times New Roman" w:cs="Times New Roman"/>
          <w:i/>
          <w:iCs/>
          <w:sz w:val="16"/>
          <w:szCs w:val="16"/>
        </w:rPr>
        <w:t>E. coli</w:t>
      </w:r>
      <w:r>
        <w:t xml:space="preserve"> productora de toxina de shiga o con algunas especies de </w:t>
      </w:r>
      <w:r>
        <w:rPr>
          <w:rFonts w:ascii="Times New Roman" w:eastAsia="Times New Roman" w:hAnsi="Times New Roman" w:cs="Times New Roman"/>
          <w:i/>
          <w:iCs/>
          <w:sz w:val="16"/>
          <w:szCs w:val="16"/>
        </w:rPr>
        <w:t>Shigella.</w:t>
      </w:r>
      <w:r>
        <w:t xml:space="preserve"> Las infecciones en cuestión se transmiten fácilmente y pueden ser graves, razones por las cuales está justificada la exclusión hasta que en dos cultivos de excremento no de detecta ya el microorganismo (véanse </w:t>
      </w:r>
      <w:r>
        <w:rPr>
          <w:i/>
          <w:iCs/>
        </w:rPr>
        <w:t>“</w:t>
      </w:r>
      <w:r>
        <w:rPr>
          <w:rFonts w:ascii="Times New Roman" w:eastAsia="Times New Roman" w:hAnsi="Times New Roman" w:cs="Times New Roman"/>
          <w:i/>
          <w:iCs/>
          <w:sz w:val="16"/>
          <w:szCs w:val="16"/>
        </w:rPr>
        <w:t>Escherichia coli</w:t>
      </w:r>
      <w:r>
        <w:rPr>
          <w:i/>
          <w:iCs/>
        </w:rPr>
        <w:t>,</w:t>
      </w:r>
      <w:r>
        <w:t xml:space="preserve"> diarrea” y </w:t>
      </w:r>
      <w:r>
        <w:rPr>
          <w:i/>
          <w:iCs/>
        </w:rPr>
        <w:t>“</w:t>
      </w:r>
      <w:r>
        <w:rPr>
          <w:rFonts w:ascii="Times New Roman" w:eastAsia="Times New Roman" w:hAnsi="Times New Roman" w:cs="Times New Roman"/>
          <w:i/>
          <w:iCs/>
          <w:sz w:val="16"/>
          <w:szCs w:val="16"/>
        </w:rPr>
        <w:t>Shigella</w:t>
      </w:r>
      <w:r>
        <w:rPr>
          <w:i/>
          <w:iCs/>
        </w:rPr>
        <w:t>,</w:t>
      </w:r>
      <w:r>
        <w:t xml:space="preserve"> infecciones”, sección 3). Las normas de salud local pueden ser más estrictas en lo que se refiere al número y fecha de obtención de muestras.</w:t>
      </w:r>
    </w:p>
    <w:p w14:paraId="5BEF8F67" w14:textId="77777777" w:rsidR="0072615D" w:rsidRDefault="0072615D">
      <w:pPr>
        <w:pStyle w:val="BodyText"/>
        <w:spacing w:after="220"/>
        <w:ind w:firstLine="360"/>
      </w:pPr>
      <w:r>
        <w:t>En el curso de un brote identificado de cualquier enfermedad transmisible en una institución de asistencia infantil, se podrá excluir a todo niño que a juicio de los expertos contribuye a transmitir la enfermedad dentro de ese programa. El menor puede ser readmitido cuando se considere que desapareció el peligro de transmisión.</w:t>
      </w:r>
    </w:p>
    <w:p w14:paraId="105D585C" w14:textId="77777777" w:rsidR="0072615D" w:rsidRDefault="0072615D">
      <w:pPr>
        <w:pStyle w:val="Bodytext70"/>
        <w:spacing w:after="80" w:line="206" w:lineRule="auto"/>
      </w:pPr>
      <w:r>
        <w:t>Aspectos epidemiológicos y control de enfermedades infecciosas</w:t>
      </w:r>
    </w:p>
    <w:p w14:paraId="68137126" w14:textId="77777777" w:rsidR="0072615D" w:rsidRDefault="0072615D">
      <w:pPr>
        <w:pStyle w:val="BodyText"/>
        <w:spacing w:after="220"/>
        <w:ind w:firstLine="0"/>
      </w:pPr>
      <w:r>
        <w:t>(Véanse también resúmenes de enfermedades específicas en la sección 3)</w:t>
      </w:r>
    </w:p>
    <w:p w14:paraId="4CE8B3B1" w14:textId="77777777" w:rsidR="0072615D" w:rsidRDefault="0072615D">
      <w:pPr>
        <w:pStyle w:val="BodyText"/>
        <w:spacing w:after="220"/>
        <w:ind w:firstLine="0"/>
      </w:pPr>
      <w:r>
        <w:t>ENFERMEDADES DE ORIGEN INTESTINAL</w:t>
      </w:r>
    </w:p>
    <w:p w14:paraId="164274EE" w14:textId="77777777" w:rsidR="0072615D" w:rsidRDefault="0072615D">
      <w:pPr>
        <w:pStyle w:val="BodyText"/>
        <w:ind w:firstLine="0"/>
      </w:pPr>
      <w:r>
        <w:t xml:space="preserve">El contacto personal íntimo y desaseo de niños de corta edad permiten la propagación fácil de bacterias, virus y parásitos intestinales en el entorno de la asistencia infantil. Los patógenos de origen intestinal transmitidos de una persona a otra como rotavirus, adenovirus intestinales, astrovirus, calicivirus, </w:t>
      </w:r>
      <w:r>
        <w:rPr>
          <w:rFonts w:ascii="Times New Roman" w:eastAsia="Times New Roman" w:hAnsi="Times New Roman" w:cs="Times New Roman"/>
          <w:i/>
          <w:iCs/>
          <w:sz w:val="16"/>
          <w:szCs w:val="16"/>
        </w:rPr>
        <w:t>Shigella</w:t>
      </w:r>
      <w:r>
        <w:rPr>
          <w:i/>
          <w:iCs/>
        </w:rPr>
        <w:t xml:space="preserve">, </w:t>
      </w:r>
      <w:r>
        <w:rPr>
          <w:rFonts w:ascii="Times New Roman" w:eastAsia="Times New Roman" w:hAnsi="Times New Roman" w:cs="Times New Roman"/>
          <w:i/>
          <w:iCs/>
          <w:sz w:val="16"/>
          <w:szCs w:val="16"/>
        </w:rPr>
        <w:t>E. coli</w:t>
      </w:r>
      <w:r>
        <w:t xml:space="preserve"> O157:H7, </w:t>
      </w:r>
      <w:r>
        <w:rPr>
          <w:rFonts w:ascii="Times New Roman" w:eastAsia="Times New Roman" w:hAnsi="Times New Roman" w:cs="Times New Roman"/>
          <w:i/>
          <w:iCs/>
          <w:sz w:val="16"/>
          <w:szCs w:val="16"/>
        </w:rPr>
        <w:t>Giardia lamblia, Cryptosporidium parvum</w:t>
      </w:r>
      <w:r>
        <w:t xml:space="preserve"> y HAV han sido los patógenos principales observados en brotes de enfermedades, según las autoridades. Pocas veces especies de </w:t>
      </w:r>
      <w:r>
        <w:rPr>
          <w:rFonts w:ascii="Times New Roman" w:eastAsia="Times New Roman" w:hAnsi="Times New Roman" w:cs="Times New Roman"/>
          <w:i/>
          <w:iCs/>
          <w:sz w:val="16"/>
          <w:szCs w:val="16"/>
        </w:rPr>
        <w:t>Salmonella</w:t>
      </w:r>
      <w:r>
        <w:rPr>
          <w:i/>
          <w:iCs/>
        </w:rPr>
        <w:t xml:space="preserve">, </w:t>
      </w:r>
      <w:r>
        <w:rPr>
          <w:rFonts w:ascii="Times New Roman" w:eastAsia="Times New Roman" w:hAnsi="Times New Roman" w:cs="Times New Roman"/>
          <w:i/>
          <w:iCs/>
          <w:sz w:val="16"/>
          <w:szCs w:val="16"/>
        </w:rPr>
        <w:t>Clostridium difficile</w:t>
      </w:r>
      <w:r>
        <w:t xml:space="preserve"> y </w:t>
      </w:r>
      <w:r>
        <w:rPr>
          <w:rFonts w:ascii="Times New Roman" w:eastAsia="Times New Roman" w:hAnsi="Times New Roman" w:cs="Times New Roman"/>
          <w:i/>
          <w:iCs/>
          <w:sz w:val="16"/>
          <w:szCs w:val="16"/>
        </w:rPr>
        <w:t>Campylobacter</w:t>
      </w:r>
      <w:r>
        <w:t xml:space="preserve"> han originado enfermedades en niños dentro de instituciones asistenciales. Casi todos los reptiles transportan </w:t>
      </w:r>
      <w:r>
        <w:rPr>
          <w:rFonts w:ascii="Times New Roman" w:eastAsia="Times New Roman" w:hAnsi="Times New Roman" w:cs="Times New Roman"/>
          <w:i/>
          <w:iCs/>
          <w:sz w:val="16"/>
          <w:szCs w:val="16"/>
        </w:rPr>
        <w:t>Salmonella</w:t>
      </w:r>
      <w:r>
        <w:rPr>
          <w:i/>
          <w:iCs/>
        </w:rPr>
        <w:t>,</w:t>
      </w:r>
      <w:r>
        <w:t xml:space="preserve"> y los pequeños (como las tortugas) que a veces son manipulados por niños transmiten </w:t>
      </w:r>
      <w:r>
        <w:rPr>
          <w:rFonts w:ascii="Times New Roman" w:eastAsia="Times New Roman" w:hAnsi="Times New Roman" w:cs="Times New Roman"/>
          <w:i/>
          <w:iCs/>
          <w:sz w:val="16"/>
          <w:szCs w:val="16"/>
        </w:rPr>
        <w:t>Salmonella</w:t>
      </w:r>
      <w:r>
        <w:t xml:space="preserve"> u otras bacterias a los menores.</w:t>
      </w:r>
    </w:p>
    <w:p w14:paraId="0E8C89F5" w14:textId="77777777" w:rsidR="0072615D" w:rsidRDefault="0072615D">
      <w:pPr>
        <w:pStyle w:val="BodyText"/>
        <w:ind w:firstLine="380"/>
      </w:pPr>
      <w:r>
        <w:t xml:space="preserve">Se advierte un incremento de la frecuencia de diarrea y de infección por HAV en niños de corta edad que no tienen control de esfínteres. La contaminación del entorno por excrementos es frecuente en los programas de asistencia infantil y alcanza su frecuencia máxima en zonas de lactantes y niños en el comienzo de la ambulación. Los patógenos intestinales son diseminados por la vía fecal-bucal, de manera directa de una persona a otra o indirecta por objetos inanimados, superficies del entorno y alimentos. La contaminación de alimentos aumenta si los miembros del personal que cambian el pañal a los niños también preparan o sirven alimentos. Algunos patógenos de origen intestinal como los rotavirus, HAV, quistes de </w:t>
      </w:r>
      <w:r>
        <w:rPr>
          <w:rFonts w:ascii="Times New Roman" w:eastAsia="Times New Roman" w:hAnsi="Times New Roman" w:cs="Times New Roman"/>
          <w:i/>
          <w:iCs/>
          <w:sz w:val="16"/>
          <w:szCs w:val="16"/>
        </w:rPr>
        <w:t>G. lamblia</w:t>
      </w:r>
      <w:r>
        <w:t xml:space="preserve"> y oocistos de </w:t>
      </w:r>
      <w:r>
        <w:rPr>
          <w:rFonts w:ascii="Times New Roman" w:eastAsia="Times New Roman" w:hAnsi="Times New Roman" w:cs="Times New Roman"/>
          <w:i/>
          <w:iCs/>
          <w:sz w:val="16"/>
          <w:szCs w:val="16"/>
        </w:rPr>
        <w:t xml:space="preserve">C. parvum, </w:t>
      </w:r>
      <w:r>
        <w:t>viven en superficies ambientales lapsos que van de horas a semanas.</w:t>
      </w:r>
    </w:p>
    <w:p w14:paraId="40953806" w14:textId="77777777" w:rsidR="0072615D" w:rsidRDefault="0072615D">
      <w:pPr>
        <w:pStyle w:val="BodyText"/>
        <w:ind w:firstLine="380"/>
      </w:pPr>
      <w:r>
        <w:t>Los programas de asistencia infantil pueden ser el medio más importante para la propagación de HAV en la comunidad. El virus de hepatitis A difiere de muchos otros patógenos en los centros asistenciales de niños porque los cuadros sintomáticos aparecen más bien en los contactos adultos de niños asintomáticos infectados. Para identificar brotes y emprender medidas adecuadas de erradicación, los profesionales asistenciales y los cuidadores de niños necesitan conocer dichas características epidemiológicas (véase “Hepatitis A”, sección 3). Hay que pensar en el uso de vacuna contra HAV para el personal que labora en los centros asistenciales de niños en que hay brotes en marcha o repetitivos y en comunidades en que los pacientes y niños atendidos en el centro asistencial constituyen una fuente importante de infección por virus de hepatitis A.</w:t>
      </w:r>
    </w:p>
    <w:p w14:paraId="3793049D" w14:textId="77777777" w:rsidR="0072615D" w:rsidRDefault="0072615D">
      <w:pPr>
        <w:pStyle w:val="BodyText"/>
        <w:spacing w:after="220"/>
        <w:ind w:firstLine="380"/>
      </w:pPr>
      <w:r>
        <w:t>El método más importante para llevar al mínimo la transmisión fecal-bucal son las medidas frecuentes de higiene de las manos, en combinación con la preparación del personal y la vigilancia de los métodos y técnicas que practican. Es importante llevar a un área separada a todo niño que muestre diarrea aguda o ictericia, y separarlo del contacto con otros coetáneos, hasta que él pueda ser excluido por un progenitor o un tutor. Los criterios de exclusión se incluyen en el apartado de “Recomendaciones para inclusión o exclusión” (véase antes en esta sección).</w:t>
      </w:r>
    </w:p>
    <w:p w14:paraId="1E24CAFC" w14:textId="77777777" w:rsidR="0072615D" w:rsidRDefault="0072615D">
      <w:pPr>
        <w:pStyle w:val="BodyText"/>
        <w:spacing w:after="220"/>
        <w:ind w:firstLine="0"/>
      </w:pPr>
      <w:r>
        <w:t>ENFERMEDADES DE VÍAS RESPIRATORIAS</w:t>
      </w:r>
    </w:p>
    <w:p w14:paraId="048BF81F" w14:textId="77777777" w:rsidR="0072615D" w:rsidRDefault="0072615D">
      <w:pPr>
        <w:pStyle w:val="BodyText"/>
        <w:spacing w:after="220" w:line="276" w:lineRule="auto"/>
        <w:ind w:firstLine="0"/>
      </w:pPr>
      <w:r>
        <w:t xml:space="preserve">Los microorganismos que se propagan por las vías respiratorias incluyen los que causan infecciones agudas en la zona superior de ellas o que se vinculan con enfermedades invasoras como </w:t>
      </w:r>
      <w:r>
        <w:rPr>
          <w:rFonts w:ascii="Times New Roman" w:eastAsia="Times New Roman" w:hAnsi="Times New Roman" w:cs="Times New Roman"/>
          <w:i/>
          <w:iCs/>
          <w:sz w:val="16"/>
          <w:szCs w:val="16"/>
        </w:rPr>
        <w:t>Haemophilus influenzae</w:t>
      </w:r>
      <w:r>
        <w:t xml:space="preserve"> tipo B (Hib), </w:t>
      </w:r>
      <w:r>
        <w:rPr>
          <w:rFonts w:ascii="Times New Roman" w:eastAsia="Times New Roman" w:hAnsi="Times New Roman" w:cs="Times New Roman"/>
          <w:i/>
          <w:iCs/>
          <w:sz w:val="16"/>
          <w:szCs w:val="16"/>
        </w:rPr>
        <w:t>Streptococcus pneumoniae, Neisseria meningitidis</w:t>
      </w:r>
      <w:r>
        <w:rPr>
          <w:i/>
          <w:iCs/>
        </w:rPr>
        <w:t xml:space="preserve">, </w:t>
      </w:r>
      <w:r>
        <w:rPr>
          <w:rFonts w:ascii="Times New Roman" w:eastAsia="Times New Roman" w:hAnsi="Times New Roman" w:cs="Times New Roman"/>
          <w:i/>
          <w:iCs/>
          <w:sz w:val="16"/>
          <w:szCs w:val="16"/>
        </w:rPr>
        <w:t>Bordetella pertussis</w:t>
      </w:r>
      <w:r>
        <w:t xml:space="preserve"> y </w:t>
      </w:r>
      <w:r>
        <w:rPr>
          <w:rFonts w:ascii="Times New Roman" w:eastAsia="Times New Roman" w:hAnsi="Times New Roman" w:cs="Times New Roman"/>
          <w:i/>
          <w:iCs/>
          <w:sz w:val="16"/>
          <w:szCs w:val="16"/>
        </w:rPr>
        <w:t>Mycobacterium tuberculosis</w:t>
      </w:r>
      <w:r>
        <w:rPr>
          <w:i/>
          <w:iCs/>
        </w:rPr>
        <w:t xml:space="preserve">. </w:t>
      </w:r>
      <w:r>
        <w:t xml:space="preserve">Entre los mecanismos posibles de diseminación de los virus de vías respiratorias están aerosoles, las gotículas de vías respiratorias (de </w:t>
      </w:r>
      <w:r>
        <w:rPr>
          <w:rFonts w:ascii="Times New Roman" w:eastAsia="Times New Roman" w:hAnsi="Times New Roman" w:cs="Times New Roman"/>
          <w:i/>
          <w:iCs/>
          <w:sz w:val="16"/>
          <w:szCs w:val="16"/>
        </w:rPr>
        <w:t>Pflügger</w:t>
      </w:r>
      <w:r>
        <w:rPr>
          <w:i/>
          <w:iCs/>
        </w:rPr>
        <w:t>),</w:t>
      </w:r>
      <w:r>
        <w:t xml:space="preserve"> y contacto manual directo con secreciones y objetos inanimados, ambos contaminados. Los virus patógenos que ocasionan enfermedades de vías respiratorias en medios asistenciales de niños son los que originan enfermedades en la comunidad, como los virus: sincitial respiratorio, de parainfluenza, de influenza, adenovirus y rhinovirus. La incidencia de infecciones víricas en el aparato respiratorio aumenta en instituciones asistenciales de niños.</w:t>
      </w:r>
    </w:p>
    <w:p w14:paraId="08BA772F" w14:textId="77777777" w:rsidR="0072615D" w:rsidRDefault="0072615D">
      <w:pPr>
        <w:pStyle w:val="BodyText"/>
        <w:ind w:firstLine="360"/>
      </w:pPr>
      <w:r>
        <w:t>La higiene de las manos es una medida que disminuye la incidencia de enfermedades agudas de vías respiratorias en niños en una institución asistencial. Sin embargo, la segregación de niños con síntomas de vías respiratorias como las que corresponden al resfriado común, laringotraqueítis, bronquitis, neumonía, sinusitis u otitis media, en el medio asistencial no disminuirá la propagación de la infección. Se necesita a veces separar a los niños con tales trastornos de otros dentro del programa, y a veces se necesita excluirlos y separarlos de la institución (véase antes en esta sección “Recomendaciones para inclusión y exclusión”).</w:t>
      </w:r>
    </w:p>
    <w:p w14:paraId="747B0935" w14:textId="77777777" w:rsidR="0072615D" w:rsidRDefault="0072615D">
      <w:pPr>
        <w:pStyle w:val="BodyText"/>
        <w:ind w:firstLine="360"/>
      </w:pPr>
      <w:r>
        <w:t xml:space="preserve">Las transmisión de </w:t>
      </w:r>
      <w:r>
        <w:rPr>
          <w:rFonts w:ascii="Times New Roman" w:eastAsia="Times New Roman" w:hAnsi="Times New Roman" w:cs="Times New Roman"/>
          <w:i/>
          <w:iCs/>
          <w:sz w:val="16"/>
          <w:szCs w:val="16"/>
        </w:rPr>
        <w:t>Haemophilus influenzae</w:t>
      </w:r>
      <w:r>
        <w:t xml:space="preserve"> tipo b (Hib) puede ocurrir en niños de corta edad no vacunados dentro de un grupo asistencial, especialmente en los que tienen menos de 24 meses de vida. La transmisión puede provenir de un portador asintomático o que tenga alguna infección de vías respiratorias. La vacunación adecuada de niños con una vacuna de conjugado Hib evita la aparición de la enfermedad y disminuye la frecuencia de los portadores, con lo cual aminora el peligro de transmisión a otras personas. En un brote de enfermedad invasora por Hib en un medio asistencial de niños pudiera convenir administrar rifampicina con fin profiláctico a los contactos (véase </w:t>
      </w:r>
      <w:r>
        <w:rPr>
          <w:i/>
          <w:iCs/>
        </w:rPr>
        <w:t>“</w:t>
      </w:r>
      <w:r>
        <w:rPr>
          <w:rFonts w:ascii="Times New Roman" w:eastAsia="Times New Roman" w:hAnsi="Times New Roman" w:cs="Times New Roman"/>
          <w:i/>
          <w:iCs/>
          <w:sz w:val="16"/>
          <w:szCs w:val="16"/>
        </w:rPr>
        <w:t>Haemophilus influenzae</w:t>
      </w:r>
      <w:r>
        <w:rPr>
          <w:i/>
          <w:iCs/>
        </w:rPr>
        <w:t>,</w:t>
      </w:r>
      <w:r>
        <w:t xml:space="preserve"> infecciones”, sección 3).</w:t>
      </w:r>
    </w:p>
    <w:p w14:paraId="2F1D2CDE" w14:textId="77777777" w:rsidR="0072615D" w:rsidRDefault="0072615D">
      <w:pPr>
        <w:pStyle w:val="BodyText"/>
        <w:ind w:firstLine="360"/>
      </w:pPr>
      <w:r>
        <w:t xml:space="preserve">Las infecciones causadas por </w:t>
      </w:r>
      <w:r>
        <w:rPr>
          <w:rFonts w:ascii="Times New Roman" w:eastAsia="Times New Roman" w:hAnsi="Times New Roman" w:cs="Times New Roman"/>
          <w:i/>
          <w:iCs/>
          <w:sz w:val="16"/>
          <w:szCs w:val="16"/>
        </w:rPr>
        <w:t>N. meningitidis</w:t>
      </w:r>
      <w:r>
        <w:t xml:space="preserve"> afectan todos los grupos de edad. La cifras de ataque máximo se localizan en niños menores de un año de vida. El contacto íntimo amplio entre los niños y el personal expuestos al “primer caso” de enfermedad meningocócica predispone a la transmisión secundaria. En instituciones asistenciales infantiles pueden surgir brotes y por esta razón está indicada la quimioprofilaxia en los contactos expuestos que atienden niños (véase “Meningocócicas, infecciones”, sección 3).</w:t>
      </w:r>
    </w:p>
    <w:p w14:paraId="0D4F08CF" w14:textId="77777777" w:rsidR="0072615D" w:rsidRDefault="0072615D">
      <w:pPr>
        <w:pStyle w:val="BodyText"/>
        <w:spacing w:line="276" w:lineRule="auto"/>
        <w:ind w:firstLine="360"/>
      </w:pPr>
      <w:r>
        <w:t xml:space="preserve">El peligro de enfermedad primaria invasora atribuible a </w:t>
      </w:r>
      <w:r>
        <w:rPr>
          <w:rFonts w:ascii="Times New Roman" w:eastAsia="Times New Roman" w:hAnsi="Times New Roman" w:cs="Times New Roman"/>
          <w:i/>
          <w:iCs/>
          <w:sz w:val="16"/>
          <w:szCs w:val="16"/>
        </w:rPr>
        <w:t>S’. pneumoniae</w:t>
      </w:r>
      <w:r>
        <w:t xml:space="preserve"> en niños en instituciones de asistencia infantil aumenta en comparación con lo observado en niños que no están en tales instalaciones. Se ha notificado casos de propagación secundaria de </w:t>
      </w:r>
      <w:r>
        <w:rPr>
          <w:rFonts w:ascii="Times New Roman" w:eastAsia="Times New Roman" w:hAnsi="Times New Roman" w:cs="Times New Roman"/>
          <w:i/>
          <w:iCs/>
          <w:sz w:val="16"/>
          <w:szCs w:val="16"/>
        </w:rPr>
        <w:t>S. pneumoniae</w:t>
      </w:r>
      <w:r>
        <w:t xml:space="preserve"> en centros de asistencia de niños, pero se desconoce la magnitud del riesgo de propagación secundaria en las instituciones que atienden menores. No se recomienda la profilaxia de contacto después de que han surgido uno o más casos de enfermedad invasora por </w:t>
      </w:r>
      <w:r>
        <w:rPr>
          <w:rFonts w:ascii="Times New Roman" w:eastAsia="Times New Roman" w:hAnsi="Times New Roman" w:cs="Times New Roman"/>
          <w:i/>
          <w:iCs/>
          <w:sz w:val="16"/>
          <w:szCs w:val="16"/>
        </w:rPr>
        <w:t>S. pneumoniae</w:t>
      </w:r>
      <w:r>
        <w:rPr>
          <w:i/>
          <w:iCs/>
        </w:rPr>
        <w:t>.</w:t>
      </w:r>
      <w:r>
        <w:t xml:space="preserve"> Con el uso de la vacuna a base de conjugado de </w:t>
      </w:r>
      <w:r>
        <w:rPr>
          <w:rFonts w:ascii="Times New Roman" w:eastAsia="Times New Roman" w:hAnsi="Times New Roman" w:cs="Times New Roman"/>
          <w:i/>
          <w:iCs/>
          <w:sz w:val="16"/>
          <w:szCs w:val="16"/>
        </w:rPr>
        <w:t>S. pneumoniae</w:t>
      </w:r>
      <w:r>
        <w:rPr>
          <w:i/>
          <w:iCs/>
        </w:rPr>
        <w:t>,</w:t>
      </w:r>
      <w:r>
        <w:t xml:space="preserve"> debe disminuir (al igual que el uso de la vacuna con conjugado Hib) la incidencia de enfermedad invasora y aminorar el estado de portador de serotipos de </w:t>
      </w:r>
      <w:r>
        <w:rPr>
          <w:rFonts w:ascii="Times New Roman" w:eastAsia="Times New Roman" w:hAnsi="Times New Roman" w:cs="Times New Roman"/>
          <w:i/>
          <w:iCs/>
          <w:sz w:val="16"/>
          <w:szCs w:val="16"/>
        </w:rPr>
        <w:t>S. pneumoniae</w:t>
      </w:r>
      <w:r>
        <w:t xml:space="preserve"> que está presente en la vacuna.</w:t>
      </w:r>
    </w:p>
    <w:p w14:paraId="2C119D9B" w14:textId="77777777" w:rsidR="0072615D" w:rsidRDefault="0072615D">
      <w:pPr>
        <w:pStyle w:val="BodyText"/>
        <w:ind w:firstLine="360"/>
      </w:pPr>
      <w:r>
        <w:t>No ha sido un problema frecuente la infección por estreptococos del grupo A en niños dentro de instituciones asistenciales. El menor con una infección probada por dicho microorganismo debe ser excluido de los contactos en el salón de clase hasta 24 h después de haber emprendido la terapia antimicrobiana. Se sabe de brotes de faringitis estreptocócica en tales entornos, pero es remoto el peligro de transmisión secundaria después de un solo caso de infección invasora leve o incluso grave por estreptococos del grupo A. Por lo común no se recomienda la quimioprofilaxia para contactos después de infección por el estreptococo mencionado en instituciones de asistencia infantil (véase “Estreptococos del grupo A, infecciones”, sección 3).</w:t>
      </w:r>
    </w:p>
    <w:p w14:paraId="3AD803D3" w14:textId="77777777" w:rsidR="0072615D" w:rsidRDefault="0072615D">
      <w:pPr>
        <w:pStyle w:val="BodyText"/>
        <w:spacing w:after="220"/>
        <w:ind w:firstLine="360"/>
      </w:pPr>
      <w:r>
        <w:t>Los niños de corta edad y los lactantes con tuberculosis no son tan contagiosos como los adultos porque existe menor probabilidad de que los pequeños tengan lesiones pulmonares cavitadas y no pueden expulsar de manera forzada gran número de microorganismos al aire. Si los funcionarios de salud lo aprueban, los niños tuberculosos pueden acudir al grupo de asistencia infantil después de comenzar su quimioterapia y cuando se considere que ya no infectan a los demás. A veces se necesita excluir de grupos de asistencia a lactantes y niños de corta edad que tienen infecciones por VIH y tuberculosis. El adulto tuberculoso impone peligros a los niños de un grupo asistencial, y por ello se recomienda practicar cutirreacciones tuberculínicas de todos los mayores que tienen contacto con niños en el medio asistencial, antes de emprender dicho contacto. Los adultos con infección por VIH y tuberculosis quizá no reaccionen a la cutirreacción tuberculínica (véase “Tuberculosis”, sección 3). Se valorará la necesidad de pruebas periódicas con tuberculina en personas sin reacciones clínicamente importantes, con base en su riesgo de adquirir una infección nueva y en las recomendaciones de los departamentos de salud local o estatal. El personal asistencial que tiene tuberculosis debe ser segregado del centro de atención y no se le permitirá atender a niños hasta que por medio de la quimioterapia se hayan tornado no infectantes (véase “Tuberculosis”, sección 3).</w:t>
      </w:r>
    </w:p>
    <w:p w14:paraId="0C177831" w14:textId="77777777" w:rsidR="0072615D" w:rsidRDefault="0072615D">
      <w:pPr>
        <w:pStyle w:val="BodyText"/>
        <w:spacing w:after="220"/>
        <w:ind w:firstLine="0"/>
      </w:pPr>
      <w:r>
        <w:t>OTROS TRASTORNOS</w:t>
      </w:r>
    </w:p>
    <w:p w14:paraId="7B6AAEAA" w14:textId="77777777" w:rsidR="0072615D" w:rsidRDefault="0072615D">
      <w:pPr>
        <w:pStyle w:val="BodyText"/>
        <w:spacing w:line="276" w:lineRule="auto"/>
        <w:ind w:firstLine="0"/>
      </w:pPr>
      <w:r>
        <w:rPr>
          <w:rFonts w:ascii="Times New Roman" w:eastAsia="Times New Roman" w:hAnsi="Times New Roman" w:cs="Times New Roman"/>
          <w:b/>
          <w:bCs/>
          <w:i/>
          <w:iCs/>
          <w:sz w:val="16"/>
          <w:szCs w:val="16"/>
        </w:rPr>
        <w:t>Parvovirus B19.</w:t>
      </w:r>
      <w:r>
        <w:t xml:space="preserve"> No están justificadas las medidas de aislamiento o exclusión de personas inmunocompetentes con infección por parvovirus B19 en el entorno asistencial infantil, porque en las secreciones de vías respiratorias hay pocos virus, o no los hay, para el momento en que aparece el eritema infeccioso. Además, dado que menos de 1% de las maestras embarazadas durante los brotes de eritema infeccioso experimentarían un resultado adverso, tampoco se recomienda excluir a ellas y a otras embarazadas de su entorno laboral en instituciones de asistencia o escolares (véase “Parvovirus B19”, sección 3).</w:t>
      </w:r>
    </w:p>
    <w:p w14:paraId="46BB98CF"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Virus de varicela-zoster.</w:t>
      </w:r>
      <w:r>
        <w:t xml:space="preserve"> Los niños con varicela que han sido excluidos del entorno asistencial pueden volver a él después de que se hayan secado y encostrado todas sus lesiones, lo que suele ocurrir en el sexto día después de haber comenzado la erupción. Habrá que notificar a todos los miembros del personal y los padres cuando surja un caso de varicela; también se les informará de la mayor posibilidad de una infección grave en adultos y adolescentes susceptibles y en personas inmunodeficientes susceptibles, además de la posibilidad de daño fetal si la infección afecta a la embarazada. Habrá que plantear la administración de vacuna contra la varicela a los adultos susceptibles, salvo que esté contraindicada. Habrá que enviar inmediatamente a todo miembro susceptible del personal asistencial, en particular mujeres embarazadas y expuestas a niños con varicela, a un médico calificado o a otro tipo de personal para la orientación y tratamiento, que incluyen el posible empleo del concentrado inmunoglobulínico de varicela-zoster. En Estados Unidos, los </w:t>
      </w:r>
      <w:r>
        <w:rPr>
          <w:rFonts w:ascii="Times New Roman" w:eastAsia="Times New Roman" w:hAnsi="Times New Roman" w:cs="Times New Roman"/>
          <w:i/>
          <w:iCs/>
          <w:sz w:val="16"/>
          <w:szCs w:val="16"/>
        </w:rPr>
        <w:t>Centers for Disease Control and Prevention (CDC) y la American Academy of Pediatrics</w:t>
      </w:r>
      <w:r>
        <w:t xml:space="preserve"> recomiendan utilizar la vacuna contra la varicela en mujeres no embarazadas inmunocompetentes susceptibles en término de 72 h de haberse expuesto a la enfermedad (véase “Varicela-zoster, infecciones por el virus”, sección 3).</w:t>
      </w:r>
    </w:p>
    <w:p w14:paraId="25E20A27" w14:textId="77777777" w:rsidR="0072615D" w:rsidRDefault="0072615D">
      <w:pPr>
        <w:pStyle w:val="BodyText"/>
        <w:ind w:firstLine="360"/>
      </w:pPr>
      <w:r>
        <w:t>La decisión de excluir a miembros del personal o niños con infecciones por herpes zoster (boqueras), en el caso que sea imposible cubrir tales lesiones, se hará con base en criterios semejantes a los seguidos en el caso de la varicela. Las lesiones herpéticas que pueden ser cubiertas entrañan poco riesgo para personas susceptibles, porque la transmisión del virus suele ser resultado de contactos directos con el líquido que emana de ellas.</w:t>
      </w:r>
    </w:p>
    <w:p w14:paraId="6BAC428C" w14:textId="77777777" w:rsidR="0072615D" w:rsidRDefault="0072615D">
      <w:pPr>
        <w:pStyle w:val="BodyText"/>
        <w:spacing w:line="290" w:lineRule="auto"/>
        <w:ind w:firstLine="360"/>
      </w:pPr>
      <w:r>
        <w:rPr>
          <w:rFonts w:ascii="Times New Roman" w:eastAsia="Times New Roman" w:hAnsi="Times New Roman" w:cs="Times New Roman"/>
          <w:b/>
          <w:bCs/>
          <w:i/>
          <w:iCs/>
          <w:sz w:val="16"/>
          <w:szCs w:val="16"/>
        </w:rPr>
        <w:t>Virus de herpes simple.</w:t>
      </w:r>
      <w:r>
        <w:t xml:space="preserve"> Los niños con gingivoestomatitis por virus de herpes simple (</w:t>
      </w:r>
      <w:r>
        <w:rPr>
          <w:rFonts w:ascii="Times New Roman" w:eastAsia="Times New Roman" w:hAnsi="Times New Roman" w:cs="Times New Roman"/>
          <w:i/>
          <w:iCs/>
          <w:sz w:val="16"/>
          <w:szCs w:val="16"/>
        </w:rPr>
        <w:t>herpes simplex virus</w:t>
      </w:r>
      <w:r>
        <w:t>, HSV) que no tienen control de las secreciones de su boca (babeo) deben ser excluidos de la institución asistencial si tienen lesiones activas. HSV puede ser transmitido de la madre al feto o al neonato, pero las infecciones por HSV en ella que constituyen una amenaza para su hijo por lo común son transmitidas al pequeño durante su paso por el conducto del parto, infectado; por tal motivo, la exposición de una embarazada a HSV en una institución de asistencia infantil conlleva poco riesgo para el feto. Los prestadores de servicios deben recibir orientación y enseñanza sobre la importancia de la higiene manual y otras medidas para limitar la transferencia de material infectado desde niños con virus de varicela-zoster o infección por HSV (como sería saliva, líquido tisular o el que emana de una lesión cutánea).</w:t>
      </w:r>
    </w:p>
    <w:p w14:paraId="4A81E088" w14:textId="77777777" w:rsidR="0072615D" w:rsidRDefault="0072615D">
      <w:pPr>
        <w:pStyle w:val="BodyText"/>
        <w:spacing w:line="271" w:lineRule="auto"/>
        <w:ind w:firstLine="360"/>
      </w:pPr>
      <w:r>
        <w:rPr>
          <w:rFonts w:ascii="Times New Roman" w:eastAsia="Times New Roman" w:hAnsi="Times New Roman" w:cs="Times New Roman"/>
          <w:b/>
          <w:bCs/>
          <w:i/>
          <w:iCs/>
          <w:sz w:val="16"/>
          <w:szCs w:val="16"/>
        </w:rPr>
        <w:t>Infección por virus citomegálico.</w:t>
      </w:r>
      <w:r>
        <w:t xml:space="preserve"> La propagación de citomegalovirus (CMV) desde niños asintomáticos infectados en una institución asistencial, a su madre o a sus cuidadores constituye la consecuencia más importante de una infección por CMV en dicho tipo de instituciones (véase “Virus citomegálico, infecciones”, sección 3). Existe mayor posibilidad de que los niños que participan en programas de cuidado infantil adquieran el virus que los niños que son atendidos predominantemente en su hogar. Las cifras máximas (70%) de excreción de virus se observan en niños de uno a tres años de vida y tal excreción persiste durante años. En estudios de seroconversión de CMV en prestadores de servicios a niños se ha advertido que las cifras de seroconversión anualizadas van de 8 a 20%. La exposición al virus junto con la mayor frecuencia de contagio que aparece en el personal asistencial muy a menudo origina una cifra mayor de infección gestacional por CMV en mujeres seronegativas miembros del personal y un mayor peligro de infección congénita por dicha partícula en sus hijos. Las mujeres seropositivas antes de embarazarse no están en peligro de exposición a niños, pero las seropositivas cuya infección por CMV se reactiva durante el embarazo, tienen un riesgo pequeño (de uno en 500) de procrear un producto con una infección congénita por CMV; en promedio, 5% de los pequeños infectados durante la exposición a la reactivación muestras secuelas, que son leves y que más bien consisten en hipoacusia moderada.</w:t>
      </w:r>
    </w:p>
    <w:p w14:paraId="738F9BFE" w14:textId="77777777" w:rsidR="0072615D" w:rsidRDefault="0072615D">
      <w:pPr>
        <w:pStyle w:val="BodyText"/>
        <w:spacing w:after="220"/>
        <w:ind w:firstLine="360"/>
      </w:pPr>
      <w:r>
        <w:t>La excreción de virus citomegálico es tan prevalente, que son imprácticos e inapropiados los intentos de aislar y segregar a los niños que excretan dicho virus. En forma semejante, tampoco es apropiado emprender pruebas a los niños para detectar la excreción, porque esta última suele ser intermitente y los resultados de las pruebas son desorientadores. Ante el peligro de infección por CMV en personal asistencial y las posibles consecuencias de infección gestacional por dicha partícula, es necesario orientar a los miembros del personal asistencial respecto de los riesgos; tal orientación puede incluir la práctica de métodos para identificar anticuerpos séricos contra CMV y así valorar la inmunidad de los prestadores de servicios contra el virus, pero no se recomienda la práctica sistemática de métodos serológicos para tal objetivo.</w:t>
      </w:r>
    </w:p>
    <w:p w14:paraId="67605043" w14:textId="77777777" w:rsidR="0072615D" w:rsidRDefault="0072615D">
      <w:pPr>
        <w:pStyle w:val="BodyText"/>
        <w:spacing w:after="220"/>
        <w:ind w:firstLine="0"/>
      </w:pPr>
      <w:r>
        <w:t>INFECCIONES POR VIRUS HEMATÓGENOS</w:t>
      </w:r>
    </w:p>
    <w:p w14:paraId="74F4173E" w14:textId="77777777" w:rsidR="0072615D" w:rsidRDefault="0072615D">
      <w:pPr>
        <w:pStyle w:val="BodyText"/>
        <w:ind w:firstLine="0"/>
      </w:pPr>
      <w:r>
        <w:t>Los virus de hepatitis B, VIH y hepatitis C (HCV) son hematógenos. El peligro de contacto con sangre que contenga algunas de las partículas mencionadas es pequeño en instituciones que atienden niños, pero por medio de las prácticas apropiadas de control de infecciones se evitará la transmisión de los patógenos hematógenos en caso de surgir exposición.</w:t>
      </w:r>
    </w:p>
    <w:p w14:paraId="532C9DDC" w14:textId="77777777" w:rsidR="0072615D" w:rsidRDefault="0072615D">
      <w:pPr>
        <w:pStyle w:val="BodyText"/>
        <w:spacing w:line="290" w:lineRule="auto"/>
        <w:ind w:firstLine="360"/>
      </w:pPr>
      <w:r>
        <w:rPr>
          <w:rFonts w:ascii="Times New Roman" w:eastAsia="Times New Roman" w:hAnsi="Times New Roman" w:cs="Times New Roman"/>
          <w:b/>
          <w:bCs/>
          <w:i/>
          <w:iCs/>
          <w:sz w:val="16"/>
          <w:szCs w:val="16"/>
        </w:rPr>
        <w:t>Virus de hepatitis B.</w:t>
      </w:r>
      <w:r>
        <w:t xml:space="preserve"> Se han descrito casos de transmisión de virus de hepatitis B (HBV) en instituciones que tienen niños, aunque son raros. Ante el peligro pequeño de transmisión, pueden acudir a instituciones de asistencia infantil, en casi todas las circunstancias, los niños que tienen infección crónica diagnosticada por HBV (presencia del antígeno de superficie de hepatitis B </w:t>
      </w:r>
      <w:r>
        <w:rPr>
          <w:i/>
          <w:iCs/>
        </w:rPr>
        <w:t>[</w:t>
      </w:r>
      <w:r>
        <w:rPr>
          <w:rFonts w:ascii="Times New Roman" w:eastAsia="Times New Roman" w:hAnsi="Times New Roman" w:cs="Times New Roman"/>
          <w:i/>
          <w:iCs/>
          <w:sz w:val="16"/>
          <w:szCs w:val="16"/>
        </w:rPr>
        <w:t>hepatitis B surface antigen</w:t>
      </w:r>
      <w:r>
        <w:rPr>
          <w:i/>
          <w:iCs/>
        </w:rPr>
        <w:t>,</w:t>
      </w:r>
      <w:r>
        <w:t xml:space="preserve"> HBsAg]).</w:t>
      </w:r>
    </w:p>
    <w:p w14:paraId="71B0CFF8" w14:textId="77777777" w:rsidR="0072615D" w:rsidRDefault="0072615D">
      <w:pPr>
        <w:pStyle w:val="BodyText"/>
        <w:ind w:firstLine="360"/>
      </w:pPr>
      <w:r>
        <w:t>La transmisión de HBV en una institución de atención infantil surge con mayor frecuencia por exposición directa a la sangre después de una lesión, o de mordeduras o excoriaciones en que hay solución de continuidad de la piel, y así se introducen sangre o secreciones corporales de un portador del virus, a otra persona. Es posible la transmisión indirecta por contaminación ambiental con sangre o saliva; este mecanismo no ha sido corroborado en instituciones que atienden niños en Estados Unidos. La saliva contiene un número mucho menor de virus que la sangre, razón por la cual es pequeña la capacidad infecciosa de aquel líquido. El carácter infeccioso de la saliva se ha demostrado sólo cuando se inocula a través de la piel de gibones y chimpancés.</w:t>
      </w:r>
    </w:p>
    <w:p w14:paraId="27274F23" w14:textId="77777777" w:rsidR="0072615D" w:rsidRDefault="0072615D">
      <w:pPr>
        <w:pStyle w:val="BodyText"/>
        <w:ind w:firstLine="360"/>
      </w:pPr>
      <w:r>
        <w:t>Con base en los escasos datos disponibles, es mínimo el riesgo de transmisión de una enfermedad de un niño o miembro del personal que tiene infección crónica por HBV pero que se comporta normalmente y no tiene lesión, dermatitis generalizada ni problemas hemorrágicos; este riesgo mínimo por lo común no justifica excluir del programa asistencial al niño que tiene infección crónica por tal partícula, o que haya necesidad de inmunizar contra HBV a los contactos del niño en el programa mencionado, de los cuales muchos ya han estado protegidos por la vacunación previa a HBV como parte de su calendario regular de vacunaciones.</w:t>
      </w:r>
    </w:p>
    <w:p w14:paraId="2A13B6E0" w14:textId="77777777" w:rsidR="0072615D" w:rsidRDefault="0072615D">
      <w:pPr>
        <w:pStyle w:val="BodyText"/>
        <w:ind w:firstLine="360"/>
      </w:pPr>
      <w:r>
        <w:t>No se justifica la detección sistemática de HBsAg en niños antes de ser admitidos a grupos asistenciales. La admisión de un menor en el cual se identificó una infección crónica por HBV, y que posee uno o más factores de riesgo de transmisión de patógenos hematógenos (como mordeduras, rascado frecuente, dermatitis generalizada o problemas hemorrágicos) debe ser decisión del médico del niño, del personal asistencial o del director del programa. Conviene consultar a la autoridad de salud pública a cargo de tal tarea cuando así convenga. Se necesita la evaluación regular de los factores conductuales de riesgo y enfermedades clínicas de niños incorporados al programa con infección crónica por HBV, y se necesita notificar al director de la institución y a quienes prestan servicios primarios en ella del internamiento de un niño que tiene infección crónica diagnosticada por virus de hepatitis B.</w:t>
      </w:r>
    </w:p>
    <w:p w14:paraId="515B7BF3" w14:textId="77777777" w:rsidR="0072615D" w:rsidRDefault="0072615D">
      <w:pPr>
        <w:pStyle w:val="BodyText"/>
        <w:ind w:firstLine="360"/>
      </w:pPr>
      <w:r>
        <w:t xml:space="preserve">Los niños que muerden originan otros problemas. Los datos existentes de seres humanos sugieren que surge un riesgo pequeño de transmisión de HBV de la mordedura de un niño con una infección crónica por tal partícula. En el caso de víctimas susceptibles de mordeduras de niños con la infección crónica mencionada, se recomienda como medida profiláctica aplicar concentrado inmunoglobulínico contra hepatitis B </w:t>
      </w:r>
      <w:r>
        <w:rPr>
          <w:i/>
          <w:iCs/>
        </w:rPr>
        <w:t>(</w:t>
      </w:r>
      <w:r>
        <w:rPr>
          <w:rFonts w:ascii="Times New Roman" w:eastAsia="Times New Roman" w:hAnsi="Times New Roman" w:cs="Times New Roman"/>
          <w:i/>
          <w:iCs/>
          <w:sz w:val="16"/>
          <w:szCs w:val="16"/>
        </w:rPr>
        <w:t>hepatitis B immune globulin</w:t>
      </w:r>
      <w:r>
        <w:rPr>
          <w:i/>
          <w:iCs/>
        </w:rPr>
        <w:t>,</w:t>
      </w:r>
      <w:r>
        <w:t xml:space="preserve"> HBIG) y vacunar contra dicha enfermedad (véase “Hepatitis B”, sección 3).</w:t>
      </w:r>
    </w:p>
    <w:p w14:paraId="3DAF0B8B" w14:textId="77777777" w:rsidR="0072615D" w:rsidRDefault="0072615D">
      <w:pPr>
        <w:pStyle w:val="BodyText"/>
        <w:ind w:firstLine="360"/>
      </w:pPr>
      <w:r>
        <w:t>Se desconoce el riesgo de contagio de HBV cuando un niño susceptible muerde a otro que tiene infección crónica por dicho virus. Existe el riesgo teórico si sangre que tiene el antígeno de superficie de hepatitis B penetra en la cavidad bucal del “mordedor”, pero no se ha señalado ningún caso de transmisión por tal vía. Casi todos los expertos estarían de acuerdo en emprender una serie de vacunas contra hepatitis B, pero no administrar HBIG a niños “mordedores” susceptibles que no tienen ataque de la mucosa de la boca si la cantidad de sangre transferida es pequeña.</w:t>
      </w:r>
    </w:p>
    <w:p w14:paraId="7F5AAD68" w14:textId="77777777" w:rsidR="0072615D" w:rsidRDefault="0072615D">
      <w:pPr>
        <w:pStyle w:val="BodyText"/>
        <w:ind w:firstLine="360"/>
      </w:pPr>
      <w:r>
        <w:t>En las circunstancias frecuentes en que se desconoce el estado del antígeno de superficie de hepatitis B en el niño que muerde y en su víctima, es muy reducido el peligro de transmisión de HBV, dada la bajísima seroprevalencia calculada de HBsAg en casi todos los grupos de preescolares, la poca eficiencia de transmisión de la enfermedad por las mordeduras y la vacunación sistemática contra HBV en preescolares. Por lo común no conviene practicar métodos serológicos en todo niño que muerde o que es mordido, pero cada situación debe ser evaluada individualmente.</w:t>
      </w:r>
    </w:p>
    <w:p w14:paraId="54BB6DC9" w14:textId="77777777" w:rsidR="0072615D" w:rsidRDefault="0072615D">
      <w:pPr>
        <w:pStyle w:val="BodyText"/>
        <w:ind w:firstLine="360"/>
      </w:pPr>
      <w:r>
        <w:t>Las medidas para disminuir el peligro de transmisión de enfermedades en entornos asistenciales de niños mediante la aplicación de normas higiénicas y ambientales deben orientarse más bien a precauciones en cuanto a exposición a sangre y limitar la posible contaminación con saliva del medio. Es indispensable que los niños no compartan cepillos de dientes. Los accidentes que originan hemorragia o contaminación con líquidos corporales sanguinolentos en cualquier niño deben ser abordados y resueltos de la manera siguiente: 1) se utilizarán guantes desechables cuando se limpie o elimine cualquier sangre o líquido corporal sanguinolento dispersos; 2) la zona debe ser desinfectada con una solución recién preparada de algún limpiador casero en dilución al 1:10, aplicada por lo menos durante 30 s y eliminada por frotación después del tiempo mínimo en contacto; 3) las personas que intervienen en la limpieza de superficies contaminadas no deben exponer a la sangre o líquidos corporales sanguinolentos ninguna lesión cutánea de la piel o de las membranas mucosas, ni a exudados de la herida o de tejidos; 4) es importante lavar perfectamente las manos después de la exposición a sangre o líquidos sanguinolentos, después que la persona se quita los guantes; 5) las toallitas o paños desechables deben utilizarse y descartarse de manera apropiada, y también se mojarán los trapeadores en desinfectante; 6) se colocará dentro de una bolsa de plástico todas las toallas de papel, pañales y otros materiales contaminados con sangre y se cerrará perfectamente para su eliminación; y 7) hay que enseñar a los miembros del personal las precauciones corrientes para manipular sangre o material sanguinolento.</w:t>
      </w:r>
    </w:p>
    <w:p w14:paraId="356F8D5D" w14:textId="77777777" w:rsidR="0072615D" w:rsidRDefault="0072615D">
      <w:pPr>
        <w:pStyle w:val="BodyText"/>
        <w:spacing w:line="276" w:lineRule="auto"/>
        <w:ind w:firstLine="360"/>
      </w:pPr>
      <w:r>
        <w:rPr>
          <w:rFonts w:ascii="Times New Roman" w:eastAsia="Times New Roman" w:hAnsi="Times New Roman" w:cs="Times New Roman"/>
          <w:b/>
          <w:bCs/>
          <w:i/>
          <w:iCs/>
          <w:sz w:val="16"/>
          <w:szCs w:val="16"/>
        </w:rPr>
        <w:t xml:space="preserve">Infección por VIH (véase “Humana, infección por virus de inmunodeficiencia </w:t>
      </w:r>
      <w:r>
        <w:t>[VIH]”, sección 3). No es necesario emprender pruebas para identificar VIH o conocer el estado, es decir, la presencia de dicho virus en niños que se incorporan a un centro de atención infantil. Tampoco es necesario restringir la incorporación de niños infectados por dicho virus, pero sin factores de peligro de transmisión de los patógenos hematógenos, en instituciones de asistencia infantil para proteger a otros niños o a miembros del personal. Niños infectados por VIH de los cuales se desconoce su estado inmunológico pueden acudir a instituciones de asistencia infantil, y por esta razón habrá que adaptar las precauciones corrientes para controlar y manipular gotas de sangre o líquidos sanguinolentos, así como exudados de heridas en todos los menores, como se describió en la sección anterior sobre el virus de hepatitis B.</w:t>
      </w:r>
    </w:p>
    <w:p w14:paraId="138EFE5B" w14:textId="77777777" w:rsidR="0072615D" w:rsidRDefault="0072615D">
      <w:pPr>
        <w:pStyle w:val="BodyText"/>
        <w:ind w:firstLine="360"/>
      </w:pPr>
      <w:r>
        <w:t>La decisión de incorporar a niños infectados por VIH a un centro infantil se toma mejor sobre bases individuales y es tarea de personas calificadas, que incluyen al médico que asiste al menor, y que tienen la capacidad de valorar si el pequeño recibirá atención óptima en el programa y si el niño infectado conlleva un peligro importante para los demás. De manera específica, el médico que atiende al niño y el director del programa serán los encargados de valorar la admisión de cada niño infectado por VIH con uno o más factores posibles de riesgo de transmisión de los patógenos hematógenos (como serían mordeduras, rascado frecuente, dermatitis generalizada y problemas hemorrágicos). Conviene consultar a una autoridad de salud pública responsable, si se considera conveniente. Si una mordedura origina exposición a la sangre en el agresor y en la víctima, el Servicio de Salud Pública de Estados Unidos recomienda vigilancia después de ocurrida la exposición, que incluye consideración de la profilaxia posexposición. Es importante que los prestadores de servicio cuenten con datos del niño que padece la inmunodeficiencia, sea cual sea su origen, pues necesitan saber la forma de protegerlo contra otras infecciones. Por ejemplo, los niños con inmunodeficiencia expuestos a sarampión o varicela deben recibir inmediatamente inmunoprofilaxia después de la exposición (véanse “Sarampión” y “Varicela-zoster, infecciones por el virus”, sección 3).</w:t>
      </w:r>
    </w:p>
    <w:p w14:paraId="6FC0AD2A" w14:textId="77777777" w:rsidR="0072615D" w:rsidRDefault="0072615D">
      <w:pPr>
        <w:pStyle w:val="BodyText"/>
        <w:ind w:firstLine="360"/>
      </w:pPr>
      <w:r>
        <w:t>Los datos publicados no justifican el respaldo de la afirmación de que los adultos afectados por VIH transmitirán dicho virus a niños en sus tareas y actividades normales. Por esa razón, los adultos infectados que no tienen lesiones cutáneas abiertas que no pueden cubrirse, otros trastornos que permitirían el contacto con sus líquidos corporales o una enfermedad infecciosa transmisible, pueden atender a niños en los programas asistenciales. Sin embargo, los adultos inmunodeprimidos con infección por VIH pueden estar expuestos a un mayor peligro de contagiarse de agentes infecciosos de los niños y deben consultar a su médico sobre la seguridad de seguir trabajando en la atención de menores.</w:t>
      </w:r>
    </w:p>
    <w:p w14:paraId="4DC028BB" w14:textId="77777777" w:rsidR="0072615D" w:rsidRDefault="0072615D">
      <w:pPr>
        <w:pStyle w:val="BodyText"/>
        <w:spacing w:after="220" w:line="276" w:lineRule="auto"/>
        <w:ind w:firstLine="360"/>
      </w:pPr>
      <w:r>
        <w:rPr>
          <w:rFonts w:ascii="Times New Roman" w:eastAsia="Times New Roman" w:hAnsi="Times New Roman" w:cs="Times New Roman"/>
          <w:b/>
          <w:bCs/>
          <w:i/>
          <w:iCs/>
          <w:sz w:val="16"/>
          <w:szCs w:val="16"/>
        </w:rPr>
        <w:t>Virus de hepatitis C.</w:t>
      </w:r>
      <w:r>
        <w:t xml:space="preserve"> Se desconocen los peligros de transmisión de la infección por HCV en instituciones de asistencia infantil. Se calcula que el riesgo general de infección por dicho virus después de exposición percutánea a sangre infectada es 10 veces mayor que la correspondiente a VIH, pero menor que la que es propia de HBV. Es probable que el riesgo de transmisión de HCV por contaminación de las mucosas o pérdida de continuidad de la piel se localice en un punto intermedio entre el riesgo de transmisión de VIH y el de HBV con sangre contaminada. Es importante cumplir con las precauciones regulares (véase “Hepatitis B”, sección 3) para evitar la infección con virus de hepatitis C.</w:t>
      </w:r>
    </w:p>
    <w:p w14:paraId="5FE76D2A" w14:textId="77777777" w:rsidR="0072615D" w:rsidRDefault="0072615D">
      <w:pPr>
        <w:pStyle w:val="BodyText"/>
        <w:spacing w:after="220"/>
        <w:ind w:firstLine="0"/>
      </w:pPr>
      <w:r>
        <w:t>VACUNACIONES</w:t>
      </w:r>
    </w:p>
    <w:p w14:paraId="4C53DF4A" w14:textId="77777777" w:rsidR="0072615D" w:rsidRDefault="0072615D">
      <w:pPr>
        <w:pStyle w:val="BodyText"/>
        <w:ind w:firstLine="0"/>
      </w:pPr>
      <w:r>
        <w:t xml:space="preserve">Una medida importante en la atención de niños es la vacunación corriente en las edades apropiadas, porque los preescolares pueden tener cifras de incidencia altas (específicas de edades) de sarampión, rubéola, enfermedad por Hib, cuadros invasores por </w:t>
      </w:r>
      <w:r>
        <w:rPr>
          <w:rFonts w:ascii="Times New Roman" w:eastAsia="Times New Roman" w:hAnsi="Times New Roman" w:cs="Times New Roman"/>
          <w:i/>
          <w:iCs/>
          <w:sz w:val="16"/>
          <w:szCs w:val="16"/>
        </w:rPr>
        <w:t>5. pneumoniae</w:t>
      </w:r>
      <w:r>
        <w:t xml:space="preserve"> atribuibles a serotipos contenidos en la vacuna, varicela y tos ferina.</w:t>
      </w:r>
    </w:p>
    <w:p w14:paraId="48A9FD76" w14:textId="77777777" w:rsidR="0072615D" w:rsidRDefault="0072615D">
      <w:pPr>
        <w:pStyle w:val="BodyText"/>
        <w:ind w:firstLine="360"/>
      </w:pPr>
      <w:r>
        <w:t>Es importante dar a padres o tutores de todos los niños que son atendidos en diversas instituciones documentación escrita de las vacunaciones adecuadas para cada grupo de edad. Salvo que surjan contraindicaciones o que haya habido exenciones o dispensas de tipo religioso o filosófico, los registros de vacunación deben demostrar tal maniobra como se incluye en el Calendario recomendado de vacunaciones de niños y adolescentes (fig. 1-1). También se puede conocer las normas de vacunación estatales para niños en instituciones o grupos de atención infantil (</w:t>
      </w:r>
      <w:hyperlink r:id="rId324" w:history="1">
        <w:r>
          <w:t>www.immunize.org/laws</w:t>
        </w:r>
      </w:hyperlink>
      <w:r>
        <w:t>).</w:t>
      </w:r>
    </w:p>
    <w:p w14:paraId="3C6D8111" w14:textId="77777777" w:rsidR="0072615D" w:rsidRDefault="0072615D">
      <w:pPr>
        <w:pStyle w:val="BodyText"/>
        <w:spacing w:after="220"/>
        <w:ind w:firstLine="360"/>
      </w:pPr>
      <w:r>
        <w:t>Es importante vacunar tan pronto sea posible a todo niño que no ha sido vacunado conforme a su edad, antes de ser internado en una institución, y habrá que completar la serie de vacunas según los datos de la figura 1-1 y el cuadro 1-6. En el lapso intermedio, se permitirá que los niños no vacunados o que han sido vacunados inadecuadamente acudan al programa de atención infantil, salvo que en dicho programa haya alguna enfermedad evitable por vacuna a la cual puedan ser susceptibles; tales enfermedades incluyen sarampión, parotiditis, rubéola, poliomielitis, varicela, difteria, tos ferina e infección por HAV. En dicha situación, habrá que excluir a todo niño subinmunizado en lo que dure la posible exposición o hasta que hayan completado su ciclo de vacunaciones.</w:t>
      </w:r>
    </w:p>
    <w:p w14:paraId="4FFD43EA" w14:textId="77777777" w:rsidR="0072615D" w:rsidRDefault="0072615D">
      <w:pPr>
        <w:pStyle w:val="BodyText"/>
        <w:spacing w:line="276" w:lineRule="auto"/>
        <w:ind w:firstLine="360"/>
      </w:pPr>
      <w:r>
        <w:t>Los prestadores de servicios a niños deben recibir todas las vacunaciones sistemáticamente recomendadas para los adultos.</w:t>
      </w:r>
      <w:r>
        <w:footnoteReference w:id="45"/>
      </w:r>
      <w:r>
        <w:t xml:space="preserve"> En todos los miembros del personal se habrá completado una serie primaria de vacuna contra tétanos y difteria (Td) y recibirán una dosis de refuerzo de la misma vacuna cada 10 años, y también habrán sido vacunados contra sarampión, parotiditis, rubéola y poliomielitis según las directrices para inmunización de adultos, planteadas por el </w:t>
      </w:r>
      <w:r>
        <w:rPr>
          <w:rFonts w:ascii="Times New Roman" w:eastAsia="Times New Roman" w:hAnsi="Times New Roman" w:cs="Times New Roman"/>
          <w:i/>
          <w:iCs/>
          <w:sz w:val="16"/>
          <w:szCs w:val="16"/>
        </w:rPr>
        <w:t>Advisory Committee on Immunization Practices</w:t>
      </w:r>
      <w:r>
        <w:t xml:space="preserve"> de los CDC y el </w:t>
      </w:r>
      <w:r>
        <w:rPr>
          <w:rFonts w:ascii="Times New Roman" w:eastAsia="Times New Roman" w:hAnsi="Times New Roman" w:cs="Times New Roman"/>
          <w:i/>
          <w:iCs/>
          <w:sz w:val="16"/>
          <w:szCs w:val="16"/>
        </w:rPr>
        <w:t>American College of Physicians</w:t>
      </w:r>
      <w:r>
        <w:rPr>
          <w:i/>
          <w:iCs/>
        </w:rPr>
        <w:t>.</w:t>
      </w:r>
      <w:r>
        <w:t xml:space="preserve"> El personal que atiende a niños debe ser vacunado cada año contra la influenza. También hay que pensar en la posibilidad de vacunar contra el virus de hepatitis B, en particular al personal que manipula sangre derramada. Todo el personal asistencial debe recibir información escrita sobre la hepatitis B y sus complicaciones y formas de evitarla.</w:t>
      </w:r>
    </w:p>
    <w:p w14:paraId="42234093" w14:textId="77777777" w:rsidR="0072615D" w:rsidRDefault="0072615D">
      <w:pPr>
        <w:pStyle w:val="BodyText"/>
        <w:ind w:firstLine="360"/>
      </w:pPr>
      <w:r>
        <w:t>Habrá que interrogar al personal asistencial sobre sus antecedentes de varicela. El personal (en particular las mujeres) con antecedentes negativos o inciertos de haber padecido la enfermedad deben ser vacunados o sometidos a pruebas serológicas para valorar su susceptibilidad; los que no están inmunes deben recibir la vacuna contra varicela salvo que por motivos médicos esté contraindicada. Todo el personal que atiende a niños debe recibir información escrita sobre la varicela, en particular las manifestaciones del trastorno en adultos, sus complicaciones y medios de prevención.</w:t>
      </w:r>
    </w:p>
    <w:p w14:paraId="5D7115B3" w14:textId="77777777" w:rsidR="0072615D" w:rsidRDefault="0072615D">
      <w:pPr>
        <w:pStyle w:val="BodyText"/>
        <w:spacing w:after="100"/>
        <w:ind w:firstLine="360"/>
      </w:pPr>
      <w:r>
        <w:t>El virus de hepatitis A puede originar cuadros sintomáticos en contactos adultos y los programas de atención de niños han sido fuente de infecciones en la comunidad; por ambas razones pudiera estar justificada la aplicación de la vacuna contra dicho virus en algunas circunstancias (véase “Hepatitis A”, sección 3). Sin embargo, dado que al parecer no aumenta significativamente la prevalencia de infección por HAV entre miembros del personal de centros asistenciales de niños, en comparación con la prevalencia en la población general, no se recomienda la vacunación “rutinaria” de los miembros de dicho personal. Durante brotes de HAV hay que pensar en la posibilidad de vacunar (véase “Hepatitis A”, sección 3).</w:t>
      </w:r>
    </w:p>
    <w:p w14:paraId="565A6D1C" w14:textId="77777777" w:rsidR="0072615D" w:rsidRDefault="0072615D">
      <w:pPr>
        <w:pStyle w:val="Bodytext70"/>
      </w:pPr>
      <w:r>
        <w:t>Prácticas generales</w:t>
      </w:r>
    </w:p>
    <w:p w14:paraId="6618B964" w14:textId="77777777" w:rsidR="0072615D" w:rsidRDefault="0072615D">
      <w:pPr>
        <w:pStyle w:val="BodyText"/>
        <w:ind w:firstLine="0"/>
      </w:pPr>
      <w:r>
        <w:t>Para disminuir la transmisión de agentes infectantes en una institución que atiende niños, son recomendables las prácticas siguientes:</w:t>
      </w:r>
    </w:p>
    <w:p w14:paraId="5D8D1295" w14:textId="77777777" w:rsidR="0072615D" w:rsidRDefault="0072615D">
      <w:pPr>
        <w:pStyle w:val="BodyText"/>
        <w:numPr>
          <w:ilvl w:val="0"/>
          <w:numId w:val="42"/>
        </w:numPr>
        <w:tabs>
          <w:tab w:val="left" w:pos="341"/>
        </w:tabs>
        <w:ind w:left="360" w:hanging="360"/>
      </w:pPr>
      <w:bookmarkStart w:id="448" w:name="bookmark448"/>
      <w:bookmarkEnd w:id="448"/>
      <w:r>
        <w:t xml:space="preserve">Cada institución de este tipo debe contar con normas </w:t>
      </w:r>
      <w:r>
        <w:rPr>
          <w:b/>
          <w:bCs/>
        </w:rPr>
        <w:t xml:space="preserve">escritas para tratar </w:t>
      </w:r>
      <w:r>
        <w:t>a niños y empleados enfermos, dentro de la institución.</w:t>
      </w:r>
    </w:p>
    <w:p w14:paraId="080ED57E" w14:textId="77777777" w:rsidR="0072615D" w:rsidRDefault="0072615D">
      <w:pPr>
        <w:pStyle w:val="BodyText"/>
        <w:numPr>
          <w:ilvl w:val="0"/>
          <w:numId w:val="42"/>
        </w:numPr>
        <w:tabs>
          <w:tab w:val="left" w:pos="341"/>
        </w:tabs>
        <w:ind w:left="360" w:hanging="360"/>
      </w:pPr>
      <w:bookmarkStart w:id="449" w:name="bookmark449"/>
      <w:bookmarkEnd w:id="449"/>
      <w:r>
        <w:t xml:space="preserve">Es importante conservar la </w:t>
      </w:r>
      <w:r>
        <w:rPr>
          <w:b/>
          <w:bCs/>
        </w:rPr>
        <w:t xml:space="preserve">higiene estricta en zonas de retretes y en el equipo </w:t>
      </w:r>
      <w:r>
        <w:t>con el cual se entrenará a los preescolares para que logren el control de esfínteres.</w:t>
      </w:r>
    </w:p>
    <w:p w14:paraId="3C2103D0" w14:textId="77777777" w:rsidR="0072615D" w:rsidRDefault="0072615D">
      <w:pPr>
        <w:pStyle w:val="BodyText"/>
        <w:numPr>
          <w:ilvl w:val="0"/>
          <w:numId w:val="42"/>
        </w:numPr>
        <w:tabs>
          <w:tab w:val="left" w:pos="341"/>
        </w:tabs>
        <w:ind w:left="360" w:hanging="360"/>
      </w:pPr>
      <w:bookmarkStart w:id="450" w:name="bookmark450"/>
      <w:bookmarkEnd w:id="450"/>
      <w:r>
        <w:t xml:space="preserve">Las </w:t>
      </w:r>
      <w:r>
        <w:rPr>
          <w:b/>
          <w:bCs/>
        </w:rPr>
        <w:t xml:space="preserve">superficies para cambiar pañales </w:t>
      </w:r>
      <w:r>
        <w:t>no deben ser porosas, y entre una y otras sesiones de uso habrá que desinfectarlas. Una alternativa es cubrir dicha superficie con hojas o cojincillos de papel desechable, que se eliminarán después de cada sesión. Si la superficie se moja o mancha habrá que limpiarla y desinfectarla.</w:t>
      </w:r>
    </w:p>
    <w:p w14:paraId="599C0F83" w14:textId="77777777" w:rsidR="0072615D" w:rsidRDefault="0072615D">
      <w:pPr>
        <w:pStyle w:val="BodyText"/>
        <w:numPr>
          <w:ilvl w:val="0"/>
          <w:numId w:val="42"/>
        </w:numPr>
        <w:tabs>
          <w:tab w:val="left" w:pos="341"/>
        </w:tabs>
        <w:ind w:left="360" w:hanging="360"/>
      </w:pPr>
      <w:bookmarkStart w:id="451" w:name="bookmark451"/>
      <w:bookmarkEnd w:id="451"/>
      <w:r>
        <w:t xml:space="preserve">Es importante colocar </w:t>
      </w:r>
      <w:r>
        <w:rPr>
          <w:b/>
          <w:bCs/>
        </w:rPr>
        <w:t xml:space="preserve">señales escritas en el área de cambio que incluya las técnicas de cambio de los pañales. </w:t>
      </w:r>
      <w:r>
        <w:t>Los pañales sucios y cualquier lienzo desechable sucio (usado para limpieza) deben desecharse dentro de un recipiente revestido de plástico, que cuente con un pedal y sea seguro. Los pañales deben contener toda la orina y los excrementos y así llevar al mínimo la contaminación fecal de los niños, el personal, las superficies ambientales y los objetos en el programa de atención de niños. Los dos tipos de pañales que deben utilizarse son los desechables de papel y modernos con material absorbente o carboximetilcelulosa y los sistemas no desechables unitarios con un recubrimiento interno de algodón unido a una cubierta externa impermeable que se cambian “en bloque”. Es importante utilizar ropa sobre los pañales mientras el niño está en la institución asistencial. Los pañales sucios no desechables deben ser colocados en una bolsa y enviados al hogar para su lavado y desinfección.</w:t>
      </w:r>
    </w:p>
    <w:p w14:paraId="530C0355" w14:textId="77777777" w:rsidR="0072615D" w:rsidRDefault="0072615D">
      <w:pPr>
        <w:pStyle w:val="BodyText"/>
        <w:ind w:firstLine="0"/>
      </w:pPr>
      <w:r>
        <w:rPr>
          <w:b/>
          <w:bCs/>
        </w:rPr>
        <w:t xml:space="preserve">Las zonas de cambio de pañales </w:t>
      </w:r>
      <w:r>
        <w:t>nunca estarán situadas en áreas de preparación de alimentos y tampoco se les utilizará para la colocación temporal de alimentos, bebidas y utensilios para comer.</w:t>
      </w:r>
    </w:p>
    <w:p w14:paraId="0EE8BF8E" w14:textId="77777777" w:rsidR="0072615D" w:rsidRDefault="0072615D">
      <w:pPr>
        <w:pStyle w:val="BodyText"/>
        <w:ind w:firstLine="0"/>
      </w:pPr>
      <w:r>
        <w:t xml:space="preserve">Es importante alentar dentro de los programas de atención a niños el uso de </w:t>
      </w:r>
      <w:r>
        <w:rPr>
          <w:b/>
          <w:bCs/>
        </w:rPr>
        <w:t xml:space="preserve">retretes de tamaño infantil </w:t>
      </w:r>
      <w:r>
        <w:t>o acceso a escabeles o asientos modificados para retrete que permitan el mantenimiento más fácil. Es mejor no usar sillas con bacinicas, pero en caso de utilizarlas, se vaciará el contenido de las bacinicas de un retrete, se las limpiará en un fregadero común y se desinfectará después de cada uso. Los miembros del personal deben desinfectar las sillas con bacinicas, dejar que corra el agua en los retretes y también desinfectar las zonas de cambio de pañales con una solución de preparación reciente, de un desinfectante o blanqueador casero en dilución al 1:64 (un cuarto de taza del blanqueador diluido en 3.75 L de agua) aplicado durante 2 min, enjuagado y secado.</w:t>
      </w:r>
    </w:p>
    <w:p w14:paraId="12095EBD" w14:textId="77777777" w:rsidR="0072615D" w:rsidRDefault="0072615D">
      <w:pPr>
        <w:pStyle w:val="BodyText"/>
        <w:ind w:firstLine="0"/>
      </w:pPr>
      <w:r>
        <w:t xml:space="preserve">Es importante definir y hacer que se cumplan los </w:t>
      </w:r>
      <w:r>
        <w:rPr>
          <w:b/>
          <w:bCs/>
        </w:rPr>
        <w:t>métodos para higiene manual escritos.</w:t>
      </w:r>
      <w:r>
        <w:footnoteReference w:id="46"/>
      </w:r>
      <w:r>
        <w:t xml:space="preserve"> Los fregaderos para lavar manos deben estar junto a todas las zonas de cambio de pañales y retretes. Tales fregaderos deben lavarse y desinfectarse cuando menos todos los días, y si están sucios no se utilizarán para preparación de alimentos. Estos fregaderos no deben utilizarse para enjuagar ropas sucias o limpiar sillas con bacinicas. Los niños deben tener accesos y lavabos apropiados a su talla, jaboneras automáticas y papel desechable de baño.</w:t>
      </w:r>
    </w:p>
    <w:p w14:paraId="0C843C53" w14:textId="77777777" w:rsidR="0072615D" w:rsidRDefault="0072615D">
      <w:pPr>
        <w:pStyle w:val="BodyText"/>
        <w:ind w:firstLine="0"/>
      </w:pPr>
      <w:r>
        <w:t xml:space="preserve">Se necesitan </w:t>
      </w:r>
      <w:r>
        <w:rPr>
          <w:b/>
          <w:bCs/>
        </w:rPr>
        <w:t xml:space="preserve">normas de higiene personal </w:t>
      </w:r>
      <w:r>
        <w:t>escritas, para el personal y los niños.</w:t>
      </w:r>
    </w:p>
    <w:p w14:paraId="480AF074" w14:textId="77777777" w:rsidR="0072615D" w:rsidRDefault="0072615D">
      <w:pPr>
        <w:pStyle w:val="BodyText"/>
        <w:ind w:firstLine="0"/>
      </w:pPr>
      <w:r>
        <w:t xml:space="preserve">Entre las </w:t>
      </w:r>
      <w:r>
        <w:rPr>
          <w:b/>
          <w:bCs/>
        </w:rPr>
        <w:t xml:space="preserve">normas y procedimientos de desinfección e higiene ambientales </w:t>
      </w:r>
      <w:r>
        <w:t xml:space="preserve">escritos estarán limpiar y desinfectar suelos, cubrir cajas de arena, limpiar y desinfectar mesas de juego y limpiar y desinfectar sangre o líquidos corporales desparramados y exudados de heridas o tejidos. En general, los métodos regulares de limpieza y saneamiento ambiental son satisfactorios para limpiar el vómito, la orina o las heces dispersas, y para ello se utilizará un limpiador comercial recién preparado (como detergentes, desinfectantes-detergentes o germicidas químicos), compatible con casi todas las superficies. En el caso de sangre o líquidos sanguinolentos derramados, así como exudados de heridas y tejidos, habrá que eliminar el material con guantes para no contaminarse las manos, y se desinfectará la zona con una solución reciente de un desinfectante o blanqueador casero en dilución al 1:10 aplicado durante 30 s y eliminado con un lienzo desechable después de un tiempo mínimo de contacto. Cada objeto del </w:t>
      </w:r>
      <w:r>
        <w:rPr>
          <w:b/>
          <w:bCs/>
        </w:rPr>
        <w:t xml:space="preserve">equipo para dormir </w:t>
      </w:r>
      <w:r>
        <w:t>debe ser utilizado por un niño y sólo se le limpiará y desinfectará antes de ser asignado a otro menor. Los colchones de la cuna se limpiarán y desinfectarán si están sucios o húmedos. Las colchonetas deben almacenarse de tal manera que no se produzca contacto entre las superficies sobre las que duermen. Las sábanas y mantas serán asignadas a cada niño y si están sucias o húmedas se les limpiará y desinfectará.</w:t>
      </w:r>
    </w:p>
    <w:p w14:paraId="66B763BC" w14:textId="77777777" w:rsidR="0072615D" w:rsidRDefault="0072615D">
      <w:pPr>
        <w:pStyle w:val="BodyText"/>
        <w:ind w:left="360" w:firstLine="0"/>
      </w:pPr>
      <w:r>
        <w:t xml:space="preserve">En forma óptima, es importante lavar con agua y detergente, desinfectar y enjuagar todos los </w:t>
      </w:r>
      <w:r>
        <w:rPr>
          <w:b/>
          <w:bCs/>
        </w:rPr>
        <w:t xml:space="preserve">juguetes </w:t>
      </w:r>
      <w:r>
        <w:t xml:space="preserve">que se lleven los niños a la boca o que estén contaminados con secreciones corporales antes que los manipule otro niño. Todos los juguetes que se manipulan con frecuencia en estancias donde se albergan niños y pequeños en etapa inicial de la ambulación deben ser limpiados y desinfectados todos los días. También se limpiará cuando menos cada semana y cuando estén sucios los juguetes en estancias para niños de mayor edad (que ya no usan pañales). No es conveniente utilizar juguetes blandos que no se puedan lavar en las áreas de lactantes y de niños en el comienzo de la ambulación, en los programas de asistencia infantil. Los </w:t>
      </w:r>
      <w:r>
        <w:rPr>
          <w:b/>
          <w:bCs/>
        </w:rPr>
        <w:t xml:space="preserve">alimentos </w:t>
      </w:r>
      <w:r>
        <w:t>deben ser manipulados apropiadamente y con las debidas precauciones para evitar la proliferación de bacterias y la contaminación por otros patógenos de origen intestinal, insectos o roedores.</w:t>
      </w:r>
      <w:r>
        <w:footnoteReference w:id="47"/>
      </w:r>
      <w:r>
        <w:t xml:space="preserve"> Habrá que limpiar y desinfectar las mesas y bandejas usadas para la preparación y el servicio de alimentos en el lapso medio entre sus usos, así como antes y después de que los niños coman. Ninguna persona que muestra signos o síntomas de enfermedades, vómitos, diarrea o lesiones infecciosas de la piel que no se pueden cubrir o que esté infectado con posibles patógenos de origen alimentario debe ocuparse de manipular alimentos. Antes de estas maniobras es indispensable lavar las manos con jabón y agua. Los miembros del personal que trabajan con niños que usan pañales, por la exposición frecuente a los excrementos y a niños con enfermedades intestinales no deben preparar alimento para los demás. El personal que prepara alimentos para lactantes debe tener una conciencia particular de la importancia de la higiene manual muy cuidadosa. Nunca se servirán leche o lácteos no pasteurizados (véase el apéndice VII, “Productos alimenticios potencialmente contaminados”).</w:t>
      </w:r>
    </w:p>
    <w:p w14:paraId="247A1C15" w14:textId="77777777" w:rsidR="0072615D" w:rsidRDefault="0072615D">
      <w:pPr>
        <w:pStyle w:val="BodyText"/>
        <w:ind w:left="360" w:firstLine="0"/>
      </w:pPr>
      <w:r>
        <w:t xml:space="preserve">Los sitios en que están </w:t>
      </w:r>
      <w:r>
        <w:rPr>
          <w:b/>
          <w:bCs/>
        </w:rPr>
        <w:t xml:space="preserve">mascotas </w:t>
      </w:r>
      <w:r>
        <w:t>deben estar aislados y limpios, para disminuir el peligro de contacto humano con las excreta y otros materiales de desecho. Después de manipular a los animales o sus desechos habrá que lavarse las manos. Perros y gatos deben estar sanos y vacunados adecuadamente para su edad y será mejor que estén lejos de la zona de juego de los niños y ellos puedan manipularlos sólo bajo supervisión del personal. Los animales en cuestión deben ser sometidos a programa de erradicación de pulgas, garrapatas y vermes. Será mejor que los niños no manipulen reptiles.</w:t>
      </w:r>
    </w:p>
    <w:p w14:paraId="7B9423F9" w14:textId="77777777" w:rsidR="0072615D" w:rsidRDefault="0072615D">
      <w:pPr>
        <w:pStyle w:val="BodyText"/>
        <w:ind w:left="360" w:firstLine="0"/>
      </w:pPr>
      <w:r>
        <w:t xml:space="preserve">Hay que observar las normas escritas para acatar las regulaciones locales y estatales relacionadas con la conservación y actualización regular de los </w:t>
      </w:r>
      <w:r>
        <w:rPr>
          <w:b/>
          <w:bCs/>
        </w:rPr>
        <w:t xml:space="preserve">registros de vacunación </w:t>
      </w:r>
      <w:r>
        <w:t>de cada niño.</w:t>
      </w:r>
    </w:p>
    <w:p w14:paraId="7D34F932" w14:textId="77777777" w:rsidR="0072615D" w:rsidRDefault="0072615D">
      <w:pPr>
        <w:pStyle w:val="BodyText"/>
        <w:ind w:left="360" w:firstLine="0"/>
        <w:sectPr w:rsidR="0072615D" w:rsidSect="0072615D">
          <w:headerReference w:type="even" r:id="rId325"/>
          <w:headerReference w:type="default" r:id="rId326"/>
          <w:footerReference w:type="even" r:id="rId327"/>
          <w:footerReference w:type="default" r:id="rId328"/>
          <w:footnotePr>
            <w:numFmt w:val="chicago"/>
          </w:footnotePr>
          <w:pgSz w:w="8501" w:h="13022"/>
          <w:pgMar w:top="699" w:right="614" w:bottom="429" w:left="518" w:header="0" w:footer="3" w:gutter="0"/>
          <w:pgNumType w:start="139"/>
          <w:cols w:space="720"/>
          <w:noEndnote/>
          <w:docGrid w:linePitch="360"/>
          <w15:footnoteColumns w:val="1"/>
        </w:sectPr>
      </w:pPr>
      <w:r>
        <w:t xml:space="preserve">Todos los programas de asistencia infantil deben utilizar los servicios de un </w:t>
      </w:r>
      <w:r>
        <w:rPr>
          <w:b/>
          <w:bCs/>
        </w:rPr>
        <w:t xml:space="preserve">consultor sanitario </w:t>
      </w:r>
      <w:r>
        <w:t>para auxiliar en la creación y práctica de normas escritas para evitar y erradicar enfermedades transmisibles y brindar enseñanza sanitaria a niños, personal y padres.</w:t>
      </w:r>
    </w:p>
    <w:p w14:paraId="7448E92C" w14:textId="77777777" w:rsidR="0072615D" w:rsidRDefault="0072615D">
      <w:pPr>
        <w:pStyle w:val="BodyText"/>
        <w:ind w:left="360" w:firstLine="0"/>
      </w:pPr>
      <w:r>
        <w:t xml:space="preserve">Al registrar a cada niño, el personal asistencial </w:t>
      </w:r>
      <w:r>
        <w:rPr>
          <w:b/>
          <w:bCs/>
        </w:rPr>
        <w:t xml:space="preserve">informará a los progenitores de la necesidad de compartir datos sobre enfermedades </w:t>
      </w:r>
      <w:r>
        <w:t xml:space="preserve">que pudieran ser transmisibles en él o en cualquier miembro del grupo familiar inmediato, para facilitar la notificación inmediata de enfermedades y emprender medidas necesarias que eviten su contagio a los demás. El personal o el director del programa, después de hablar con el consultor de salud o el funcionario de salud pública a cargo, debe cumplir las recomendaciones de una o ambas personas en cuanto a la </w:t>
      </w:r>
      <w:r>
        <w:rPr>
          <w:b/>
          <w:bCs/>
        </w:rPr>
        <w:t xml:space="preserve">notificación de padres </w:t>
      </w:r>
      <w:r>
        <w:t>de niños que acuden al programa sobre la exposición de su hijo a enfermedades transmisibles.</w:t>
      </w:r>
    </w:p>
    <w:p w14:paraId="2C26407C" w14:textId="77777777" w:rsidR="0072615D" w:rsidRDefault="0072615D">
      <w:pPr>
        <w:pStyle w:val="BodyText"/>
        <w:spacing w:after="560"/>
        <w:ind w:left="360" w:firstLine="0"/>
      </w:pPr>
      <w:r>
        <w:t xml:space="preserve">Hay que </w:t>
      </w:r>
      <w:r>
        <w:rPr>
          <w:b/>
          <w:bCs/>
        </w:rPr>
        <w:t>notificar a las autoridades de salud pública locales o estatales</w:t>
      </w:r>
      <w:r>
        <w:t>, o a ambas, de los casos de enfermedades transmisibles en niños o personal asistencial en la institución en que son atendidos.</w:t>
      </w:r>
    </w:p>
    <w:p w14:paraId="5284A67E" w14:textId="77777777" w:rsidR="0072615D" w:rsidRDefault="0072615D">
      <w:pPr>
        <w:pStyle w:val="Bodytext100"/>
      </w:pPr>
      <w:r>
        <w:rPr>
          <w:sz w:val="34"/>
          <w:szCs w:val="34"/>
        </w:rPr>
        <w:t>S</w:t>
      </w:r>
      <w:r>
        <w:t>alud escolar</w:t>
      </w:r>
    </w:p>
    <w:p w14:paraId="45F41A9F" w14:textId="77777777" w:rsidR="0072615D" w:rsidRDefault="0072615D">
      <w:pPr>
        <w:pStyle w:val="BodyText"/>
        <w:ind w:firstLine="0"/>
      </w:pPr>
      <w:r>
        <w:t>La acumulación de niños dentro de las escuelas constituye una situación que permite la propagación de enfermedades infecciosas; sin embargo, acudir a tales instituciones es importante para ellos y para los adolescentes y por tal razón habrá que reducir al mínimo las barreras o impedimentos innecesarios para que asistan a la escuela. Precisar la posibilidad de que la infección de uno o más menores imponga un riesgo a sus compañeros depende del conocimiento de algunos factores como: 1) el mecanismo por el cual el microorganismo que causa la infección se propaga; 2) la facilidad con que se propaga tal germen (contagio); 3) la posibilidad de que los compañeros de clases sean inmunes por vacunación o haber sufrido previamente la infección. La decisión de intervenir y evitar que se propaguen infecciones dentro de las escuelas se tomará por colaboración entre funcionarios escolares, de salud pública local y profesionales asistenciales, para lo cual se tomará en consideración la disponibilidad y eficacia de métodos específicos de prevención, así como el peligro de complicaciones graves por infecciones.</w:t>
      </w:r>
    </w:p>
    <w:p w14:paraId="40AE205A" w14:textId="77777777" w:rsidR="0072615D" w:rsidRDefault="0072615D">
      <w:pPr>
        <w:pStyle w:val="BodyText"/>
        <w:ind w:firstLine="360"/>
      </w:pPr>
      <w:r>
        <w:t>Los agentes infecciosos se diseminan por una o más de las vías siguientes: fecal- bucal; respiratoria; contacto con piel infectada y contacto con sangre, orina o secreciones corporales. Dentro de las escuelas, las secreciones de vías respiratorias y el contacto cutáneo constituyen los medios más frecuentes de transmisión de microorganismos. En la atención de preescolares en instituciones extrahogareñas (véase antes en esta sección “Niños en el sistema asistencial extrahogareño”) y en niños de mayor edad con problemas de salud o discapacidades del desarrollo, un punto importante por considerar es la transmisión por la vía fecal-bucal y por contacto con la orina. Algunas circunstancias específicas, como el cuidado de lesiones sangrantes o el contacto íntimo entre compañeros de clase, brindan la oportunidad de transmisión por la sangre y otros líquidos corporales.</w:t>
      </w:r>
    </w:p>
    <w:p w14:paraId="731BE752" w14:textId="77777777" w:rsidR="0072615D" w:rsidRDefault="0072615D">
      <w:pPr>
        <w:pStyle w:val="BodyText"/>
        <w:ind w:firstLine="360"/>
      </w:pPr>
      <w:r>
        <w:t>Entre los métodos genéricos para la erradicación y prevención de la transmisión de infecciones en el medio escolar se encuentran los siguientes:</w:t>
      </w:r>
    </w:p>
    <w:p w14:paraId="108631B3" w14:textId="77777777" w:rsidR="0072615D" w:rsidRDefault="0072615D">
      <w:pPr>
        <w:pStyle w:val="BodyText"/>
        <w:tabs>
          <w:tab w:val="left" w:pos="278"/>
        </w:tabs>
        <w:ind w:firstLine="0"/>
      </w:pPr>
      <w:r>
        <w:t>•</w:t>
      </w:r>
      <w:r>
        <w:tab/>
        <w:t>En el caso de enfermedades evitables por vacuna, habrá que revisar los documentos</w:t>
      </w:r>
    </w:p>
    <w:p w14:paraId="072D4BB7" w14:textId="77777777" w:rsidR="0072615D" w:rsidRDefault="0072615D">
      <w:pPr>
        <w:pStyle w:val="BodyText"/>
        <w:ind w:left="360" w:firstLine="0"/>
        <w:sectPr w:rsidR="0072615D" w:rsidSect="0072615D">
          <w:headerReference w:type="even" r:id="rId329"/>
          <w:headerReference w:type="default" r:id="rId330"/>
          <w:footerReference w:type="even" r:id="rId331"/>
          <w:footerReference w:type="default" r:id="rId332"/>
          <w:footnotePr>
            <w:numFmt w:val="chicago"/>
          </w:footnotePr>
          <w:type w:val="continuous"/>
          <w:pgSz w:w="8501" w:h="13022"/>
          <w:pgMar w:top="699" w:right="614" w:bottom="429" w:left="518" w:header="0" w:footer="1" w:gutter="0"/>
          <w:cols w:space="720"/>
          <w:noEndnote/>
          <w:docGrid w:linePitch="360"/>
          <w15:footnoteColumns w:val="1"/>
        </w:sectPr>
      </w:pPr>
      <w:r>
        <w:t xml:space="preserve">del estado de vacunación de los niños inscritos. Las escuelas tienen la responsabilidad legal de asegurar que los estudiantes han sido vacunados contra enfermedades evitables por vacunas en la fecha de su inscripción o incorporación conforme a las </w:t>
      </w:r>
    </w:p>
    <w:p w14:paraId="6FBE5AFC" w14:textId="77777777" w:rsidR="0072615D" w:rsidRDefault="0072615D">
      <w:pPr>
        <w:pStyle w:val="BodyText"/>
        <w:ind w:left="360" w:firstLine="0"/>
      </w:pPr>
      <w:r>
        <w:t xml:space="preserve">Al registrar a cada niño, el personal asistencial </w:t>
      </w:r>
      <w:r>
        <w:rPr>
          <w:b/>
          <w:bCs/>
        </w:rPr>
        <w:t xml:space="preserve">informará a los progenitores de la necesidad de compartir datos sobre enfermedades </w:t>
      </w:r>
      <w:r>
        <w:t xml:space="preserve">que pudieran ser transmisibles en él o en cualquier miembro del grupo familiar inmediato, para facilitar la notificación inmediata de enfermedades y emprender medidas necesarias que eviten su contagio a los demás. El personal o el director del programa, después de hablar con el consultor de salud o el funcionario de salud pública a cargo, debe cumplir las recomendaciones de una o ambas personas en cuanto a la </w:t>
      </w:r>
      <w:r>
        <w:rPr>
          <w:b/>
          <w:bCs/>
        </w:rPr>
        <w:t xml:space="preserve">notificación de padres </w:t>
      </w:r>
      <w:r>
        <w:t>de niños que acuden al programa sobre la exposición de su hijo a enfermedades transmisibles.</w:t>
      </w:r>
    </w:p>
    <w:p w14:paraId="74B55587" w14:textId="77777777" w:rsidR="0072615D" w:rsidRDefault="0072615D">
      <w:pPr>
        <w:pStyle w:val="BodyText"/>
        <w:spacing w:after="560"/>
        <w:ind w:left="360" w:firstLine="0"/>
      </w:pPr>
      <w:r>
        <w:t xml:space="preserve">Hay que </w:t>
      </w:r>
      <w:r>
        <w:rPr>
          <w:b/>
          <w:bCs/>
        </w:rPr>
        <w:t>notificar a las autoridades de salud pública locales o estatales</w:t>
      </w:r>
      <w:r>
        <w:t>, o a ambas, de los casos de enfermedades transmisibles en niños o personal asistencial en la institución en que son atendidos.</w:t>
      </w:r>
    </w:p>
    <w:p w14:paraId="6B9F101B" w14:textId="77777777" w:rsidR="0072615D" w:rsidRDefault="0072615D">
      <w:pPr>
        <w:pStyle w:val="Bodytext100"/>
      </w:pPr>
      <w:r>
        <w:rPr>
          <w:sz w:val="34"/>
          <w:szCs w:val="34"/>
        </w:rPr>
        <w:t>S</w:t>
      </w:r>
      <w:r>
        <w:t>alud escolar</w:t>
      </w:r>
    </w:p>
    <w:p w14:paraId="5039C395" w14:textId="77777777" w:rsidR="0072615D" w:rsidRDefault="0072615D">
      <w:pPr>
        <w:pStyle w:val="BodyText"/>
        <w:ind w:firstLine="0"/>
      </w:pPr>
      <w:r>
        <w:t>La acumulación de niños dentro de las escuelas constituye una situación que permite la propagación de enfermedades infecciosas; sin embargo, acudir a tales instituciones es importante para ellos y para los adolescentes y por tal razón habrá que reducir al mínimo las barreras o impedimentos innecesarios para que asistan a la escuela. Precisar la posibilidad de que la infección de uno o más menores imponga un riesgo a sus compañeros depende del conocimiento de algunos factores como: 1) el mecanismo por el cual el microorganismo que causa la infección se propaga; 2) la facilidad con que se propaga tal germen (contagio); 3) la posibilidad de que los compañeros de clases sean inmunes por vacunación o haber sufrido previamente la infección. La decisión de intervenir y evitar que se propaguen infecciones dentro de las escuelas se tomará por colaboración entre funcionarios escolares, de salud pública local y profesionales asistenciales, para lo cual se tomará en consideración la disponibilidad y eficacia de métodos específicos de prevención, así como el peligro de complicaciones graves por infecciones.</w:t>
      </w:r>
    </w:p>
    <w:p w14:paraId="53111AFF" w14:textId="77777777" w:rsidR="0072615D" w:rsidRDefault="0072615D">
      <w:pPr>
        <w:pStyle w:val="BodyText"/>
        <w:ind w:firstLine="360"/>
      </w:pPr>
      <w:r>
        <w:t>Los agentes infecciosos se diseminan por una o más de las vías siguientes: fecal- bucal; respiratoria; contacto con piel infectada y contacto con sangre, orina o secreciones corporales. Dentro de las escuelas, las secreciones de vías respiratorias y el contacto cutáneo constituyen los medios más frecuentes de transmisión de microorganismos. En la atención de preescolares en instituciones extrahogareñas (véase antes en esta sección “Niños en el sistema asistencial extrahogareño”) y en niños de mayor edad con problemas de salud o discapacidades del desarrollo, un punto importante por considerar es la transmisión por la vía fecal-bucal y por contacto con la orina. Algunas circunstancias específicas, como el cuidado de lesiones sangrantes o el contacto íntimo entre compañeros de clase, brindan la oportunidad de transmisión por la sangre y otros líquidos corporales.</w:t>
      </w:r>
    </w:p>
    <w:p w14:paraId="524589BE" w14:textId="77777777" w:rsidR="0072615D" w:rsidRDefault="0072615D">
      <w:pPr>
        <w:pStyle w:val="BodyText"/>
        <w:ind w:firstLine="360"/>
      </w:pPr>
      <w:r>
        <w:t>Entre los métodos genéricos para la erradicación y prevención de la transmisión de infecciones en el medio escolar se encuentran los siguientes:</w:t>
      </w:r>
    </w:p>
    <w:p w14:paraId="50C22772" w14:textId="77777777" w:rsidR="0072615D" w:rsidRDefault="0072615D">
      <w:pPr>
        <w:pStyle w:val="BodyText"/>
        <w:tabs>
          <w:tab w:val="left" w:pos="278"/>
        </w:tabs>
        <w:ind w:firstLine="0"/>
      </w:pPr>
      <w:r>
        <w:t>•</w:t>
      </w:r>
      <w:r>
        <w:tab/>
        <w:t>En el caso de enfermedades evitables por vacuna, habrá que revisar los documentos</w:t>
      </w:r>
    </w:p>
    <w:p w14:paraId="4370300F" w14:textId="77777777" w:rsidR="0072615D" w:rsidRDefault="0072615D">
      <w:pPr>
        <w:pStyle w:val="BodyText"/>
        <w:ind w:left="360" w:firstLine="0"/>
      </w:pPr>
      <w:r>
        <w:t>del estado de vacunación de los niños inscritos. Las escuelas tienen la responsabilidad legal de asegurar que los estudiantes han sido vacunados contra enfermedades evitables por vacunas en la fecha de su inscripción o incorporación conforme a las exigencias estatales (véase apéndice V, “Requisitos estatales de inmunización para incorporación escolar”). Si bien en Estados Unidos el tipo de enfermedades específicas varía con cada estado, casi todos ellos exigen una prueba de protección contra poliomielitis, tétanos, tos ferina, difteria, sarampión, parotiditis y rubéola. La vacunación contra hepatitis B y contra varicela, asequible desde 1995 es obligatoria en muchos estados (</w:t>
      </w:r>
      <w:hyperlink r:id="rId333" w:history="1">
        <w:r>
          <w:t>www.immunize.org/laws</w:t>
        </w:r>
      </w:hyperlink>
      <w:r>
        <w:t xml:space="preserve"> o </w:t>
      </w:r>
      <w:hyperlink r:id="rId334" w:history="1">
        <w:r>
          <w:t>www.cdc.gov/other.htm#states</w:t>
        </w:r>
      </w:hyperlink>
      <w:r>
        <w:t xml:space="preserve">). En algunos estados para la matrícula e inicio de clases se exige la inmunización contra el virus de hepatitis A (HAV). En Estados Unidos los </w:t>
      </w:r>
      <w:r>
        <w:rPr>
          <w:rFonts w:ascii="Times New Roman" w:eastAsia="Times New Roman" w:hAnsi="Times New Roman" w:cs="Times New Roman"/>
          <w:i/>
          <w:iCs/>
          <w:sz w:val="16"/>
          <w:szCs w:val="16"/>
        </w:rPr>
        <w:t>Centers for Disease Control and Prevention</w:t>
      </w:r>
      <w:r>
        <w:t xml:space="preserve"> recomiendan que todos los estados exijan a los niños que se incorporan a la enseñanza elemental, que hayan sido vacunados contra la varicela o que presenten otras pruebas de inmunidad a tal enfermedad. Es importante cumplir con las normas establecidas por los departamentos sanitarios estatales en cuanto a exclusiones de niños no vacunados y exenciones en los que tienen algunos cuadros médicos primarios, así como familias con objeciones filosóficas o religiosas a la vacunación.</w:t>
      </w:r>
    </w:p>
    <w:p w14:paraId="41F07BA7" w14:textId="77777777" w:rsidR="0072615D" w:rsidRDefault="0072615D">
      <w:pPr>
        <w:pStyle w:val="BodyText"/>
        <w:numPr>
          <w:ilvl w:val="0"/>
          <w:numId w:val="42"/>
        </w:numPr>
        <w:tabs>
          <w:tab w:val="left" w:pos="341"/>
        </w:tabs>
        <w:ind w:left="360" w:hanging="360"/>
      </w:pPr>
      <w:bookmarkStart w:id="452" w:name="bookmark452"/>
      <w:bookmarkEnd w:id="452"/>
      <w:r>
        <w:t>Los niños infectados deben ser segregados o excluidos de la escuela hasta que ya no se les considere contagiosos (en lo que toca a recomendaciones sobre enfermedades específicas, consultar los resúmenes con enfermedades específicas importantes, en la sección 3).</w:t>
      </w:r>
    </w:p>
    <w:p w14:paraId="41C48518" w14:textId="77777777" w:rsidR="0072615D" w:rsidRDefault="0072615D">
      <w:pPr>
        <w:pStyle w:val="BodyText"/>
        <w:numPr>
          <w:ilvl w:val="0"/>
          <w:numId w:val="42"/>
        </w:numPr>
        <w:tabs>
          <w:tab w:val="left" w:pos="341"/>
        </w:tabs>
        <w:ind w:left="360" w:hanging="360"/>
      </w:pPr>
      <w:bookmarkStart w:id="453" w:name="bookmark453"/>
      <w:bookmarkEnd w:id="453"/>
      <w:r>
        <w:t>En muchos casos, la administración de antimicrobianos apropiados limitará la propagación de la infección (como en el caso de la faringitis estreptocócica y la tos ferina).</w:t>
      </w:r>
    </w:p>
    <w:p w14:paraId="2B32B1E0" w14:textId="77777777" w:rsidR="0072615D" w:rsidRDefault="0072615D">
      <w:pPr>
        <w:pStyle w:val="BodyText"/>
        <w:numPr>
          <w:ilvl w:val="0"/>
          <w:numId w:val="42"/>
        </w:numPr>
        <w:tabs>
          <w:tab w:val="left" w:pos="341"/>
        </w:tabs>
        <w:ind w:left="360" w:hanging="360"/>
      </w:pPr>
      <w:bookmarkStart w:id="454" w:name="bookmark454"/>
      <w:bookmarkEnd w:id="454"/>
      <w:r>
        <w:t>En algunas circunstancias puede estar justificada la profilaxia con antimicrobianos a los contactos íntimos de niños con infecciones causadas por patógenos específicos (como la infección meningocócica).</w:t>
      </w:r>
    </w:p>
    <w:p w14:paraId="52DEB524" w14:textId="77777777" w:rsidR="0072615D" w:rsidRDefault="0072615D">
      <w:pPr>
        <w:pStyle w:val="BodyText"/>
        <w:numPr>
          <w:ilvl w:val="0"/>
          <w:numId w:val="42"/>
        </w:numPr>
        <w:tabs>
          <w:tab w:val="left" w:pos="341"/>
        </w:tabs>
        <w:ind w:left="360" w:hanging="360"/>
      </w:pPr>
      <w:bookmarkStart w:id="455" w:name="bookmark455"/>
      <w:bookmarkEnd w:id="455"/>
      <w:r>
        <w:t>En algunas circunstancias cabe recurrir al cierre temporal de la escuela: 1) para evitar la propagación de la infección; 2) cuando se prevé que la infección afectará a un gran número de estudiantes susceptibles y son insuficientes las medidas disponibles de erradicación o control (como sería un brote de influenza), o</w:t>
      </w:r>
    </w:p>
    <w:p w14:paraId="44D80CF4" w14:textId="77777777" w:rsidR="0072615D" w:rsidRDefault="0072615D">
      <w:pPr>
        <w:pStyle w:val="BodyText"/>
        <w:spacing w:after="120"/>
        <w:ind w:firstLine="360"/>
      </w:pPr>
      <w:r>
        <w:t>3) cuando se espera que una infección tenga una cifra alta de morbilidad o mortalidad. Los médicos que intervienen en los servicios de salud escolar deben conocer las directrices actuales de salud pública para evitar y erradicar enfermedades infecciosas. En todas las circunstancias que obligan a intervenir para evitar que se propague la infección dentro del medio escolar, habrá que proteger el carácter privado de los niños infectados.</w:t>
      </w:r>
    </w:p>
    <w:p w14:paraId="2F75D58B" w14:textId="77777777" w:rsidR="0072615D" w:rsidRDefault="0072615D">
      <w:pPr>
        <w:pStyle w:val="Bodytext70"/>
        <w:spacing w:after="160" w:line="209" w:lineRule="auto"/>
      </w:pPr>
      <w:r>
        <w:t>Enfermedades evitables por las vacunaciones sistemáticas en la niñez</w:t>
      </w:r>
    </w:p>
    <w:p w14:paraId="568DF45C" w14:textId="77777777" w:rsidR="0072615D" w:rsidRDefault="0072615D">
      <w:pPr>
        <w:pStyle w:val="BodyText"/>
        <w:ind w:firstLine="0"/>
      </w:pPr>
      <w:r>
        <w:t xml:space="preserve">Los estudiantes que han recibido una dosis de la vacuna contra varicela (dos dosis para niños que recibieron la vacuna después de cumplir 13 años) y dos dosis de la vacuna contra sarampión-parotiditis-rubéola </w:t>
      </w:r>
      <w:r>
        <w:rPr>
          <w:i/>
          <w:iCs/>
        </w:rPr>
        <w:t>(</w:t>
      </w:r>
      <w:r>
        <w:rPr>
          <w:rFonts w:ascii="Times New Roman" w:eastAsia="Times New Roman" w:hAnsi="Times New Roman" w:cs="Times New Roman"/>
          <w:i/>
          <w:iCs/>
          <w:sz w:val="16"/>
          <w:szCs w:val="16"/>
        </w:rPr>
        <w:t>measles-mumps-rubella</w:t>
      </w:r>
      <w:r>
        <w:rPr>
          <w:i/>
          <w:iCs/>
        </w:rPr>
        <w:t>,</w:t>
      </w:r>
      <w:r>
        <w:t xml:space="preserve"> MMR) (triple) deben ser considerados como inmunes a tales enfermedades. Los estudiantes con el antecedente de una infección corroborada por un médico o pruebas serológicas de inmunidad también serán considerados como inmunes.</w:t>
      </w:r>
    </w:p>
    <w:p w14:paraId="1EE45679" w14:textId="77777777" w:rsidR="0072615D" w:rsidRDefault="0072615D">
      <w:pPr>
        <w:pStyle w:val="BodyText"/>
        <w:ind w:firstLine="360"/>
      </w:pPr>
      <w:r>
        <w:t>Se ha demostrado que las vacunas contra sarampión y varicela brindan protección en algunas personas susceptibles si se les aplica en término de 72 h después de la exposición a los agentes patógenos de tales enfermedades. Habrá que recomendar inmediatamente la aplicación de vacunas contra las dos enfermedades comentadas en todas las personas no inmunes durante un brote de una y otra enfermedad, respectivamente, excepto en personas con contraindicaciones para la vacunación. Los estudiantes que por primera vez reciben la vacuna contra el sarampión o la varicela en las circunstancias mencionadas podrán inmediatamente reincorporarse a la escuela.</w:t>
      </w:r>
    </w:p>
    <w:p w14:paraId="38D62CC2" w14:textId="77777777" w:rsidR="0072615D" w:rsidRDefault="0072615D">
      <w:pPr>
        <w:pStyle w:val="BodyText"/>
        <w:ind w:firstLine="360"/>
      </w:pPr>
      <w:r>
        <w:t>Se ha demostrado que la vacuna contra la parotiditis aplicada después de la exposición al virus no evita la infección en contactos susceptibles, pero habrá que vacunar a los estudiantes no vacunados para protegerlos de la infección en exposiciones ulteriores.</w:t>
      </w:r>
    </w:p>
    <w:p w14:paraId="0B7FEF4A" w14:textId="77777777" w:rsidR="0072615D" w:rsidRDefault="0072615D">
      <w:pPr>
        <w:pStyle w:val="BodyText"/>
        <w:spacing w:after="100"/>
        <w:ind w:firstLine="360"/>
      </w:pPr>
      <w:r>
        <w:t>La rubéola por lo común no constituye un riesgo grave para escolares preadolescentes, pero habrá que revisar el estado de inmunización de los contactos y habrá que solicitar documentación y pruebas de vacunación contra la enfermedad en estudiantes que no habían sido inmunizados. Habrá que tranquilizar a las embarazadas con inmunidad contra la rubéola serológicamente confirmada desde comienzos del embarazo y asegurarles que están lo suficientemente protegidas. Habrá que recomendar la consulta con el médico en toda embarazada susceptible expuesta a la rubéola (véase “Rubéola”, sección 3).</w:t>
      </w:r>
    </w:p>
    <w:p w14:paraId="460B9112" w14:textId="77777777" w:rsidR="0072615D" w:rsidRDefault="0072615D">
      <w:pPr>
        <w:pStyle w:val="Bodytext70"/>
      </w:pPr>
      <w:r>
        <w:t>Otras infecciones diseminadas por vías respiratorias</w:t>
      </w:r>
    </w:p>
    <w:p w14:paraId="44C9394E" w14:textId="77777777" w:rsidR="0072615D" w:rsidRDefault="0072615D">
      <w:pPr>
        <w:pStyle w:val="BodyText"/>
        <w:ind w:firstLine="0"/>
      </w:pPr>
      <w:r>
        <w:t>Algunos patógenos que originan enfermedad grave en la zona baja de vías respiratorias en lactantes y pequeños en fase inicial de la ambulación, como el virus sincitial respiratorio, no tienen tanta importancia en los niños en edad escolar sanos. Sin embargo, los virus de vías respiratorias se vinculan con exacerbaciones de enfermedades reactivas de vías respiratorias (asma) y con un incremento en la incidencia de otitis media, y por ello pueden originar notables complicaciones en niños con enfermedades crónicas de dichas vías, como la fibrosis quística, o en niños inmunodeficientes.</w:t>
      </w:r>
    </w:p>
    <w:p w14:paraId="76A83009" w14:textId="77777777" w:rsidR="0072615D" w:rsidRDefault="0072615D">
      <w:pPr>
        <w:pStyle w:val="BodyText"/>
        <w:ind w:firstLine="360"/>
      </w:pPr>
      <w:r>
        <w:t>Si bien la infección por virus de influenza es causa frecuente de enfermedad febril de vías respiratorias y de ausentismo escolar, no está justificada la exclusión obligatoria de niños en quienes se sospecha dicha infección. Las vacunaciones anuales contra la influenza deben emprenderse en grupos de alto riesgo perfectamente identificados (véase “Influenza”, sección 3). La vacunación contra dicha enfermedad pudiera estar indicada también en los estudiantes para que no interrumpan sus actividades académicas o deportivas, especialmente en niños que residen en dormitorios o en otras circunstancias en que hay contacto íntimo entre ellos.</w:t>
      </w:r>
    </w:p>
    <w:p w14:paraId="2D47CD25" w14:textId="77777777" w:rsidR="0072615D" w:rsidRDefault="0072615D">
      <w:pPr>
        <w:pStyle w:val="BodyText"/>
        <w:spacing w:line="276" w:lineRule="auto"/>
        <w:ind w:firstLine="360"/>
      </w:pPr>
      <w:r>
        <w:rPr>
          <w:rFonts w:ascii="Times New Roman" w:eastAsia="Times New Roman" w:hAnsi="Times New Roman" w:cs="Times New Roman"/>
          <w:i/>
          <w:iCs/>
          <w:sz w:val="16"/>
          <w:szCs w:val="16"/>
        </w:rPr>
        <w:t>Mycoplasma pneumoniae</w:t>
      </w:r>
      <w:r>
        <w:t xml:space="preserve"> origina infecciones de vías respiratorias altas y bajas en niños escolares, y en comunidades y escuelas se ha sabido de brotes de infección por tal germen. Los síntomas y signos inespecíficos de tal cuadro y el hecho de no contar con un método diagnóstico rápido hacen que sea difícil diferenciar una infección por tal microorganismo, de otras causas de enfermedades de vías respiratorias. Con los antimicrobianos no se erradica el microorganismo ni se evita necesariamente su propagación. Por todo lo comentado, es difícil la intervención para evitar la infección secundaria en niños de nivel escolar.</w:t>
      </w:r>
    </w:p>
    <w:p w14:paraId="3695D24B" w14:textId="77777777" w:rsidR="0072615D" w:rsidRDefault="0072615D">
      <w:pPr>
        <w:pStyle w:val="BodyText"/>
        <w:ind w:firstLine="360"/>
      </w:pPr>
      <w:r>
        <w:t>Habrá que valorar a los contactos sintomáticos de estudiantes con faringitis atribuible a una infección por estreptococos del grupo A, y tratarlos si se demuestra la presencia de tal enfermedad. Los estudiantes infectados deben reincorporarse a sus clases 24 h después de haber comenzado su tratamiento antimicrobiano. Los estudiantes en espera de los resultados del cultivo o de los métodos de detección de antígeno que no reciban antimicrobianos pueden acudir a sus clases durante el periodo de incubación del medio de cultivo, salvo que haya fiebre o se trate de un niño de corta edad con desaseo y poco control de las secreciones. Los contactos asintomáticos por lo común no necesitan valoración ni tratamiento.</w:t>
      </w:r>
    </w:p>
    <w:p w14:paraId="2CB15686" w14:textId="77777777" w:rsidR="0072615D" w:rsidRDefault="0072615D">
      <w:pPr>
        <w:pStyle w:val="BodyText"/>
        <w:spacing w:line="276" w:lineRule="auto"/>
        <w:ind w:firstLine="360"/>
      </w:pPr>
      <w:r>
        <w:t xml:space="preserve">La meningitis bacteriana en niños de edad escolar suele ser causada por </w:t>
      </w:r>
      <w:r>
        <w:rPr>
          <w:rFonts w:ascii="Times New Roman" w:eastAsia="Times New Roman" w:hAnsi="Times New Roman" w:cs="Times New Roman"/>
          <w:i/>
          <w:iCs/>
          <w:sz w:val="16"/>
          <w:szCs w:val="16"/>
        </w:rPr>
        <w:t>Neisseria meningitidis</w:t>
      </w:r>
      <w:r>
        <w:rPr>
          <w:i/>
          <w:iCs/>
        </w:rPr>
        <w:t>.</w:t>
      </w:r>
      <w:r>
        <w:t xml:space="preserve"> Se considera que las personas infectadas no son contagiosas después de 24 h de recibir antimicrobianos apropiados. Una vez dados de alta del hospital no imponen ningún riesgo a sus compañeros de clase y pueden reanudar sus labores escolares. En el caso de contactos escolares no se recomienda usar antimicrobianos con fin profiláctico, en casi todas las circunstancias. Conviene la observación minuciosa de los contactos y habrá que valorarlos en forma inmediata si surgen en ellos algunas enfermedades febriles. Los estudiantes expuestos a secreciones bucales de un compañero infectado, como sería por besos o alimentos y bebidas compartidos deben recibir productos quimioprofilácticos (véase “Meningocócicas, infecciones”, sección 3). Es necesario considerar la vacunación de contactos escolares con vacuna antimeningocócica que contiene antígenos polisacáridos para los serogrupos A, C, Y y W-135, en consulta con las autoridades locales de salud pública, si las pruebas sugieren un brote dentro de un colegio, atribuible a algunos de los serogrupos meningocócicos que están en la vacuna.</w:t>
      </w:r>
    </w:p>
    <w:p w14:paraId="2A510CE7" w14:textId="77777777" w:rsidR="0072615D" w:rsidRDefault="0072615D">
      <w:pPr>
        <w:pStyle w:val="BodyText"/>
        <w:ind w:firstLine="360"/>
      </w:pPr>
      <w:r>
        <w:t>Es necesario excluir a los estudiantes y al personal con tos ferina diagnosticada, hasta que hayan recibido eritromicina durante cinco días. En algunas circunstancias es recomendable la quimioprofilaxia para los contactos escolares (véase “Tos ferina”, sección 3).</w:t>
      </w:r>
    </w:p>
    <w:p w14:paraId="0268B291" w14:textId="77777777" w:rsidR="0072615D" w:rsidRDefault="0072615D">
      <w:pPr>
        <w:pStyle w:val="BodyText"/>
        <w:ind w:firstLine="360"/>
      </w:pPr>
      <w:r>
        <w:t>Los niños tuberculosos por lo común no son contagiosos, pero los estudiantes que están en contacto muy cercano con un menor, el maestro u otro adulto tuberculosos deben ser valorados en busca de infección, y para ello se practicará la cutirreacción con tuberculina (véase “Tuberculosis”, sección 3). El adolescente o el adulto tuberculosos casi siempre son fuente de infección para niños de corta edad. Si se identifica fuera de la escuela algún adulto infectado e infectante (como el padre o el abuelo de un estudiante), se harán todos los intentos para dilucidar si otros estudiantes han estado expuestos a la misma fuente y si se justifica valorarlos en busca de infección.</w:t>
      </w:r>
    </w:p>
    <w:p w14:paraId="05972472" w14:textId="77777777" w:rsidR="0072615D" w:rsidRDefault="0072615D">
      <w:pPr>
        <w:pStyle w:val="BodyText"/>
        <w:spacing w:after="100"/>
        <w:ind w:firstLine="360"/>
      </w:pPr>
      <w:r>
        <w:t>Conviene permitir a los niños con eritema infeccioso acudir a sus clases escolares porque el periodo de contagio se produce antes de que se manifieste el eritema. La infección por parvovirus B19 no impone peligro de enfermedad grave a los compañeros sanos de la clase, aunque en niños infectados y con enfermedad drepanocítica u otras hemoglobinopatías puede surgir una crisis aplástica. Es importante explicar a las estudiantes embarazadas y maestros expuestos a niños en las etapas incipientes de infección por parvovirus B19, cinco a 10 días antes de que aparezca el eritema, el riesgo relativamente pequeño de daño al feto. La mujer expuesta debe consultar a su médico en busca de orientación y la práctica posible de pruebas serológicas.</w:t>
      </w:r>
    </w:p>
    <w:p w14:paraId="125DCCA3" w14:textId="77777777" w:rsidR="0072615D" w:rsidRDefault="0072615D">
      <w:pPr>
        <w:pStyle w:val="Bodytext70"/>
      </w:pPr>
      <w:r>
        <w:t>Infecciones diseminadas por contacto directo</w:t>
      </w:r>
    </w:p>
    <w:p w14:paraId="33803B8F" w14:textId="77777777" w:rsidR="0072615D" w:rsidRDefault="0072615D">
      <w:pPr>
        <w:pStyle w:val="BodyText"/>
        <w:spacing w:after="160"/>
        <w:ind w:firstLine="0"/>
      </w:pPr>
      <w:r>
        <w:t xml:space="preserve">La infección y la infestación de piel, ojos y cabello se puede propagar por contacto directo con la zona infectada o por contacto con manos u objetos inanimados contaminados, como cepillos para cabellos, sombreros y ropa. </w:t>
      </w:r>
      <w:r>
        <w:rPr>
          <w:rFonts w:ascii="Times New Roman" w:eastAsia="Times New Roman" w:hAnsi="Times New Roman" w:cs="Times New Roman"/>
          <w:i/>
          <w:iCs/>
          <w:sz w:val="16"/>
          <w:szCs w:val="16"/>
        </w:rPr>
        <w:t>Staphylococcus aureus</w:t>
      </w:r>
      <w:r>
        <w:t xml:space="preserve"> y los estreptococos del grupo A pueden colonizar la piel o la bucofaringe de personas asintomáticas. Surgen a veces lesiones cuando los gérmenes mencionados pasan de la piel infectada de una persona, a otra. Los microorganismos también se transmiten a las lesiones cutáneas abiertas en el mismo niño o a otros. Casi todas las infecciones</w:t>
      </w:r>
    </w:p>
    <w:p w14:paraId="5979A9F0" w14:textId="77777777" w:rsidR="0072615D" w:rsidRDefault="0072615D">
      <w:pPr>
        <w:pStyle w:val="BodyText"/>
        <w:ind w:firstLine="0"/>
      </w:pPr>
      <w:r>
        <w:t xml:space="preserve">cutáneas atribuibles a </w:t>
      </w:r>
      <w:r>
        <w:rPr>
          <w:rFonts w:ascii="Times New Roman" w:eastAsia="Times New Roman" w:hAnsi="Times New Roman" w:cs="Times New Roman"/>
          <w:i/>
          <w:iCs/>
          <w:sz w:val="16"/>
          <w:szCs w:val="16"/>
        </w:rPr>
        <w:t>5. aureus</w:t>
      </w:r>
      <w:r>
        <w:t xml:space="preserve"> y estreptococos del grupo A son de poca monta y en ellas se necesita sólo tratamiento tópico o con antimicrobianos ingeribles, pero es necesario interrumpir la cadena de contagio de una persona a otra por medio del tratamiento apropiado siempre que se identifiquen las lesiones. Antes de iniciar el tratamiento es necesario excluir a los niños afectados, salvo que sea pequeño el peligro de contacto cutáneo, con base en el sitio en que está la lesión y la edad del menor. En raras ocasiones surge enfermedad grave y diseminada causada por tales patógenos, incluidas el síndrome de choque tóxico y la fascitis necrosante.</w:t>
      </w:r>
    </w:p>
    <w:p w14:paraId="2B793B3C" w14:textId="77777777" w:rsidR="0072615D" w:rsidRDefault="0072615D">
      <w:pPr>
        <w:pStyle w:val="BodyText"/>
        <w:ind w:firstLine="360"/>
      </w:pPr>
      <w:r>
        <w:t xml:space="preserve">La infección de la boca y la piel por virus de herpes simple </w:t>
      </w:r>
      <w:r>
        <w:rPr>
          <w:i/>
          <w:iCs/>
        </w:rPr>
        <w:t>(</w:t>
      </w:r>
      <w:r>
        <w:rPr>
          <w:rFonts w:ascii="Times New Roman" w:eastAsia="Times New Roman" w:hAnsi="Times New Roman" w:cs="Times New Roman"/>
          <w:i/>
          <w:iCs/>
          <w:sz w:val="16"/>
          <w:szCs w:val="16"/>
        </w:rPr>
        <w:t>herpes simplex virus</w:t>
      </w:r>
      <w:r>
        <w:rPr>
          <w:i/>
          <w:iCs/>
        </w:rPr>
        <w:t xml:space="preserve">, </w:t>
      </w:r>
      <w:r>
        <w:t>HSV) es frecuente en niños de edad escolar. Ella por lo común se propaga por contacto directo con lesiones infectadas. Además, es frecuente que por las secreciones de la boca el virus sea secretado en un sujeto asintomático. La infección de los dedos (panadizo herpético) surge a veces después de contacto directo con secreciones de la boca o los genitales. La infección cutánea surge después de contacto directo con lesiones infectadas o cuando hay contacto de la piel erosionada con una superficie contaminada, como se observa en quienes practican lucha grecorromana (herpes gladiatorum) y los jugadores de rugby (pústula de tales gladiadores). La excreción asintomática de virus en las secreciones faríngea y de la boca es frecuente, pero para la propagación de la infección es necesario que haya contacto directo con dichas secreciones, y en consecuencia, hay poca posibilidad de que ocurra durante las actividades escolares normales. Los llamados “fuegos” del herpes labial identifican a personas con infección activa y probablemente recurrente, pero ningún dato sugiere que tales estudiantes impongan un riesgo mayor a sus compañeros que quienes secretan de manera asintomática y no identificada el virus. El virus del herpes simple de tipo 1, que es la causa común de lesiones de bucofaringe y piel, infectará a las personas más bien en la vida adulta. Muchas de estas infecciones son asintomáticas y a pesar de que a veces el cuadro es doloroso, incluso la infección sintomática no impone ningún riesgo de que surja enfermedad grave a un escolar sano. Debe advertirse a todos los niños de la importancia de evitar el contacto bucal directo o indirecto (como compartir tazas y recipientes) con otros niños y de lavarse las manos, pero no se justifica excluir a los niños sintomáticos con infección por HSV de las actividades escolares normales. Es razonable la exclusión de estudiantes con lesiones manifiestas de la piel o la boca, en particular de actividades como la lucha grecorromana o el rugby, y habrá que hacer una limpieza cuidadosa de las colchonetas que se usan para la lucha mencionada después de usarlas, y para ello se empleará una solución recién preparada de algún producto blanqueador en dilución al 1:64 (un cuarto de taza del producto desinfectante o blanqueador diluido en 3.75 L de agua) durante un mínimo de 30 s. La solución limpiadora puede ser eliminada con un lienzo limpio después de haber estado en contacto por un lapso mínimo o se permitirá que se seque al aire.</w:t>
      </w:r>
    </w:p>
    <w:p w14:paraId="64E24343" w14:textId="77777777" w:rsidR="0072615D" w:rsidRDefault="0072615D">
      <w:pPr>
        <w:pStyle w:val="BodyText"/>
        <w:ind w:firstLine="360"/>
      </w:pPr>
      <w:r>
        <w:t>En el caso de niños inmunodeficientes y de pequeños con lesiones cutáneas abiertas (como el eccema grave), la infección por HSV puede originar riesgos importantes. La frecuencia de secreción sintomática y asintomática de HSV entre compañeros de clase y miembros del personal, hace que las mejores formas de evitar la infección sean las prácticas higiénicas cuidadosas.</w:t>
      </w:r>
    </w:p>
    <w:p w14:paraId="573B52B5" w14:textId="77777777" w:rsidR="0072615D" w:rsidRDefault="0072615D">
      <w:pPr>
        <w:pStyle w:val="BodyText"/>
        <w:spacing w:line="276" w:lineRule="auto"/>
        <w:ind w:firstLine="360"/>
      </w:pPr>
      <w:r>
        <w:t xml:space="preserve">La conjuntivitis infecciosa puede ser causada por bacterias patógenas (como </w:t>
      </w:r>
      <w:r>
        <w:rPr>
          <w:rFonts w:ascii="Times New Roman" w:eastAsia="Times New Roman" w:hAnsi="Times New Roman" w:cs="Times New Roman"/>
          <w:i/>
          <w:iCs/>
          <w:sz w:val="16"/>
          <w:szCs w:val="16"/>
        </w:rPr>
        <w:t>Haemophilus influenzae</w:t>
      </w:r>
      <w:r>
        <w:t xml:space="preserve"> y </w:t>
      </w:r>
      <w:r>
        <w:rPr>
          <w:rFonts w:ascii="Times New Roman" w:eastAsia="Times New Roman" w:hAnsi="Times New Roman" w:cs="Times New Roman"/>
          <w:i/>
          <w:iCs/>
          <w:sz w:val="16"/>
          <w:szCs w:val="16"/>
        </w:rPr>
        <w:t>Streptococcus pneumoniae</w:t>
      </w:r>
      <w:r>
        <w:t xml:space="preserve"> no tipificable) o virus (como adenovirus, enterovirus, HSV). La conjuntivitis bacteriana es menos común en niños que tienen más de cinco años de vida. La infección surge por contacto directo o por la contaminación de las manos seguida de autoinoculación. También puede haber propagación a vías respiratorias por medio de gotículas de mayor tamaño. La aplicación de antimicrobianos conviene en casos de conjuntivitis bacteriana, que por lo común se identifica por el exudado purulento. La conjuntivitis por el virus de herpes simple suele afectar un solo ojo y acompañarse de vesículas en la piel vecina. La valoración de conjuntivitis por HSV es tarea de un oftalmólogo y conviene la administración de antivíricos específicos. Las conjuntivitis atribuibles a adenovirus o enterovirus ceden por sí solas y no necesitan antivíricos específicos. La propagación de la infección se reduce al mínimo por medio de la higiene cuidadosa de las manos, y se considerará a las personas infectadas como contagiosas hasta que desaparezcan los síntomas. Excepto cuando la conjuntivitis vírica o bacteriana se acompaña de signos sistémicos de enfermedad, se permitirá a los niños infectados que sigan acudiendo a la escuela una vez que se lleva a cabo la terapia indicada, salvo que el comportamiento sea tal que sea imposible evitar el contacto muy cercano con otros estudiantes.</w:t>
      </w:r>
    </w:p>
    <w:p w14:paraId="19E0BCC7" w14:textId="77777777" w:rsidR="0072615D" w:rsidRDefault="0072615D">
      <w:pPr>
        <w:pStyle w:val="BodyText"/>
        <w:spacing w:line="271" w:lineRule="auto"/>
        <w:ind w:firstLine="360"/>
      </w:pPr>
      <w:r>
        <w:t xml:space="preserve">Las micosis de la piel y el cabello se propagan por contacto directo (persona a persona) y también por contacto con superficies u objetos contaminados. </w:t>
      </w:r>
      <w:r>
        <w:rPr>
          <w:rFonts w:ascii="Times New Roman" w:eastAsia="Times New Roman" w:hAnsi="Times New Roman" w:cs="Times New Roman"/>
          <w:i/>
          <w:iCs/>
          <w:sz w:val="16"/>
          <w:szCs w:val="16"/>
        </w:rPr>
        <w:t>Trichophyton tonsurans</w:t>
      </w:r>
      <w:r>
        <w:rPr>
          <w:i/>
          <w:iCs/>
        </w:rPr>
        <w:t>,</w:t>
      </w:r>
      <w:r>
        <w:t xml:space="preserve"> la causa predominante de la tiña de la cabeza, permanece viable durante periodos prolongados en peines, cepillos del cabello, muebles y telas. Los hongos que originan tiña del cuerpo son transmisibles por contacto directo. En adolescentes y adultos jóvenes aparece la tiña inguinal y la de los pies (pie de atleta). Los microorganismos que originan tales infecciones muestran predilección por zonas húmedas y se propagan por contacto directo y contacto con superficies contaminadas. Los estudiantes con micosis de la piel o la piel cabelluda deben recibir tratamiento por su beneficio y para evitar que la infección se propague. La diseminación de la infección por estudiantes con tiña de la cabeza puede disminuir si se usan champús con sulfuro de selenio, pero el tratamiento obliga a usar antimicóticos con acción sistémica (véase “Tiña de la cabeza”, sección 3). Los colegiales con dicha forma de tiña pero que reciben tratamiento pueden acudir a sus clases y participar en sus actividades habituales. No es necesario excluir a los niños que no reciben tratamiento, salvo que la naturaleza de su contacto con sus compañeros pudiera potenciar la propagación de la micosis. Los educandos con tiñas inguinal o crural, del cuerpo o de los pies no deben ser excluidos de la escuela, incluso antes de comenzar su tratamiento. Se orientará a los jovencitos y niños con tiña de la cabeza que no compartan sus peines, cepillos de cabello, sombreros u ornamentos de la cabeza con sus compañeros, hasta que hayan sido tratados. Los estudiantes con tiña de los pies deben ser excluidos del uso de las piscinas y se les pedirá que no caminen descalzos en la sala de gabinetes ni en el suelo de los cuartos de regaderas hasta que haya iniciado su tratamiento.</w:t>
      </w:r>
    </w:p>
    <w:p w14:paraId="5DB6DBA8" w14:textId="77777777" w:rsidR="0072615D" w:rsidRDefault="0072615D">
      <w:pPr>
        <w:pStyle w:val="BodyText"/>
        <w:ind w:firstLine="360"/>
      </w:pPr>
      <w:r>
        <w:t xml:space="preserve">El ácaro de la sarna, </w:t>
      </w:r>
      <w:r>
        <w:rPr>
          <w:rFonts w:ascii="Times New Roman" w:eastAsia="Times New Roman" w:hAnsi="Times New Roman" w:cs="Times New Roman"/>
          <w:i/>
          <w:iCs/>
          <w:sz w:val="16"/>
          <w:szCs w:val="16"/>
        </w:rPr>
        <w:t>Sarcoptes scabiei</w:t>
      </w:r>
      <w:r>
        <w:rPr>
          <w:i/>
          <w:iCs/>
        </w:rPr>
        <w:t>,</w:t>
      </w:r>
      <w:r>
        <w:t xml:space="preserve"> y los piojos de la cabeza, </w:t>
      </w:r>
      <w:r>
        <w:rPr>
          <w:rFonts w:ascii="Times New Roman" w:eastAsia="Times New Roman" w:hAnsi="Times New Roman" w:cs="Times New Roman"/>
          <w:i/>
          <w:iCs/>
          <w:sz w:val="16"/>
          <w:szCs w:val="16"/>
        </w:rPr>
        <w:t>Pediculus capitis</w:t>
      </w:r>
      <w:r>
        <w:rPr>
          <w:i/>
          <w:iCs/>
        </w:rPr>
        <w:t>,</w:t>
      </w:r>
      <w:r>
        <w:t xml:space="preserve"> son transmitidos más bien por contacto directo. Peines, cepillos capilares, sombreros u ornamentos de la cabeza pueden transmitir los piojos, pero en puntos alejados del cuero cabelludo tales parásitos no permanecen viables. Medidas eficaces para erradicar dichos artrópodos viables son la aplicación de champú que tenga un pediculicida adecuado y también la eliminación manual de las liendres por peinado con un dispositivos de dientes finos. La eliminación manual de las liendres después del tratamiento con un pediculicida no es necesaria para evitar la reinfestación (véase “Pediculosis de la cabeza”, sección 3).</w:t>
      </w:r>
    </w:p>
    <w:p w14:paraId="4B15B32B" w14:textId="77777777" w:rsidR="0072615D" w:rsidRDefault="0072615D">
      <w:pPr>
        <w:pStyle w:val="BodyText"/>
        <w:ind w:firstLine="360"/>
      </w:pPr>
      <w:r>
        <w:t>La sarna se transmite por ropas personales y de cama a los miembros del núcleo hogareño (contactos), pero el contacto directo de la piel es la forma predominante de transmisión en la escuela. El parásito vive en la ropa sólo tres a cuatro días, sin contacto con la piel. El personal asistencial que ha tenido contacto duradero piel con piel con estudiantes infestados durante los turnos diurnos, por las discapacidades físicas o psíquicas de los colegiales, pueden beneficiarse de medidas profilácticas (véase “Escabiasis”, sección 3).</w:t>
      </w:r>
    </w:p>
    <w:p w14:paraId="1A874B1F" w14:textId="77777777" w:rsidR="0072615D" w:rsidRDefault="0072615D">
      <w:pPr>
        <w:pStyle w:val="BodyText"/>
        <w:spacing w:after="100"/>
        <w:ind w:firstLine="420"/>
      </w:pPr>
      <w:r>
        <w:t>Los niños con sarna o piojos de la cabeza, ambos diagnosticados, deben ser excluidos de la escuela hasta que se inicia el tratamiento. Los contactos escolares por lo común no son sometidos a medidas profilácticas.</w:t>
      </w:r>
    </w:p>
    <w:p w14:paraId="53599736" w14:textId="77777777" w:rsidR="0072615D" w:rsidRDefault="0072615D">
      <w:pPr>
        <w:pStyle w:val="Bodytext70"/>
      </w:pPr>
      <w:r>
        <w:t>Infecciones diseminadas por la vía fecal-bucal</w:t>
      </w:r>
    </w:p>
    <w:p w14:paraId="2F0AE03D" w14:textId="77777777" w:rsidR="0072615D" w:rsidRDefault="0072615D">
      <w:pPr>
        <w:pStyle w:val="BodyText"/>
        <w:ind w:firstLine="0"/>
      </w:pPr>
      <w:r>
        <w:t>En el caso de escolares con un desarrollo normal, los patógenos que se propagan por la vía fecal-bucal imponen riesgo sólo si la persona infectada no conserva su higiene adecuada después de defecar u orinar o si se comparte alimento contaminado con los compañeros de clase.</w:t>
      </w:r>
    </w:p>
    <w:p w14:paraId="4F495408" w14:textId="77777777" w:rsidR="0072615D" w:rsidRDefault="0072615D">
      <w:pPr>
        <w:pStyle w:val="BodyText"/>
        <w:ind w:firstLine="420"/>
      </w:pPr>
      <w:r>
        <w:t>En las escuelas surgen a veces brotes atribuibles al virus de hepatitis A (HAV), pero por lo regular guardan relación con brotes de la comunidad. La exposición en el salón de clases por lo común no conlleva un riesgo apreciable de infección, pero no está indicado en estos casos administrar concentrados inmunoglobulínicos (IG). Sin embargo, si se corrobora que hubo transmisión en el interior del colegio, puede utilizarse un concentrado para frenar la propagación (véase “Hepatitis A”, sección 3). Como otra posibilidad habrá que pensar en el uso de la vacuna contra HAV como una forma de profilaxia y protección duradera. En caso de un brote conviene consultar con las autoridades locales de salud pública antes de emprender las intervenciones.</w:t>
      </w:r>
    </w:p>
    <w:p w14:paraId="4B29A8DF" w14:textId="77777777" w:rsidR="0072615D" w:rsidRDefault="0072615D">
      <w:pPr>
        <w:pStyle w:val="BodyText"/>
        <w:ind w:firstLine="420"/>
      </w:pPr>
      <w:r>
        <w:t>Las infecciones enterovíricas probablemente se propagan por la vía bucal-bucal y también por la vía fecal-bucal. La frecuencia de ataque es tan alta durante las epidemias de verano y otoño que probablemente sean inútiles las medidas de erradicación orientadas específicamente a la población escolar (salón de clases). Pocas veces hay propagación de patógenos bacterianos, víricos e intestinales parasitarios de una persona a otra dentro de la escuela, pero a veces se observan brotes de origen alimentario atribuibles a los patógenos intestinales. Es importante excluir a sujetos sintomáticos con gastroenteritis atribuible a un patógeno entérico, hasta que muestren resolución los síntomas.</w:t>
      </w:r>
    </w:p>
    <w:p w14:paraId="1840576B" w14:textId="77777777" w:rsidR="0072615D" w:rsidRDefault="0072615D">
      <w:pPr>
        <w:pStyle w:val="BodyText"/>
        <w:spacing w:after="100"/>
        <w:ind w:firstLine="420"/>
      </w:pPr>
      <w:r>
        <w:t>Los lactantes en pañales, de cualquier edad y en cualquier sitio, constituyen transmisores para la propagación de infecciones de vías gastrointestinales, atribuibles a patógenos entéricos. Las directrices para controlar dichas infecciones en instituciones que atienden niños deben aplicarse para los estudiantes con discapacidades del desarrollo, en edad escolar que usan pañales (véase antes en esta sección “Niños en el sistema asistencial extrahogareño”).</w:t>
      </w:r>
    </w:p>
    <w:p w14:paraId="776666A1" w14:textId="77777777" w:rsidR="0072615D" w:rsidRDefault="0072615D">
      <w:pPr>
        <w:pStyle w:val="Bodytext70"/>
      </w:pPr>
      <w:r>
        <w:t>Infecciones diseminadas por la sangre y líquidos corporales</w:t>
      </w:r>
      <w:r>
        <w:footnoteReference w:id="48"/>
      </w:r>
    </w:p>
    <w:p w14:paraId="2E7C289F" w14:textId="77777777" w:rsidR="0072615D" w:rsidRDefault="0072615D">
      <w:pPr>
        <w:pStyle w:val="BodyText"/>
        <w:ind w:firstLine="0"/>
      </w:pPr>
      <w:r>
        <w:t>Para que se produzca el contacto con sangre y otros líquidos corporales de terceros se necesita una exposición más íntima de la que suele haber en el medio escolar. Sin embargo, las atenciones que se prestan a los niños con discapacidad del desarrollo pueden ocasionar la exposición del personal asistencial a orina, saliva y en algunos casos sangre. La aplicación de las Precauciones Estándar para evitar la transmisión de patógenos hematógenos es recomendable para niños atendidos fuera del hogar (véase antes en esta sección “Niños en el sistema asistencial extrahogareño”). Los miembros del personal escolar que se ocupan sistemáticamente de la asistencia inmediata de niños con epistaxia o hemorragia por lesiones, deben utilizar guantes desechables y también seguir medidas apropiadas de higiene manual inmediatamente después que se los quitan, para protegerse de patógenos hematógenos. Los miembros del personal en el sitio mismo de una lesión o un incidente hemorrágico que no cuentan con guantes deben usar algún tipo de barrera para evitar la exposición a sangre o materiales que la contengan; recurrir a medidas adecuadas de higiene manual y cumplir los protocolos apropiados para manipular material contaminado. El empleo sistemático de tales precauciones evita la necesidad de identificar a los niños que están infectados por virus de inmunodeficiencia humana (VIH), así como los virus de hepatitis B (HBV) o C (HCV), e indica que la exposición no reconocida conlleva como mínimo el mismo riesgo que la exposición a un niño infectado identificado.</w:t>
      </w:r>
    </w:p>
    <w:p w14:paraId="6C2F3898" w14:textId="77777777" w:rsidR="0072615D" w:rsidRDefault="0072615D">
      <w:pPr>
        <w:pStyle w:val="BodyText"/>
        <w:ind w:firstLine="360"/>
      </w:pPr>
      <w:r>
        <w:t xml:space="preserve">En la adolescencia aumenta la posibilidad de infección atribuible a HBV, VIH y otras enfermedades de transmisión sexual </w:t>
      </w:r>
      <w:r>
        <w:rPr>
          <w:i/>
          <w:iCs/>
        </w:rPr>
        <w:t>(</w:t>
      </w:r>
      <w:r>
        <w:rPr>
          <w:rFonts w:ascii="Times New Roman" w:eastAsia="Times New Roman" w:hAnsi="Times New Roman" w:cs="Times New Roman"/>
          <w:i/>
          <w:iCs/>
          <w:sz w:val="16"/>
          <w:szCs w:val="16"/>
        </w:rPr>
        <w:t>sexually transmitted diseases</w:t>
      </w:r>
      <w:r>
        <w:rPr>
          <w:i/>
          <w:iCs/>
        </w:rPr>
        <w:t>,</w:t>
      </w:r>
      <w:r>
        <w:t xml:space="preserve"> STD) en proporción a la actividad sexual. Todos los niños deben recibir vacunación contra HBV antes de los 13 años de vida y se orientará a los adolescentes sobre métodos apropiados de prevención de las enfermedades de origen sexual.</w:t>
      </w:r>
    </w:p>
    <w:p w14:paraId="6A9B2171" w14:textId="77777777" w:rsidR="0072615D" w:rsidRDefault="0072615D">
      <w:pPr>
        <w:pStyle w:val="BodyText"/>
        <w:ind w:firstLine="360"/>
      </w:pPr>
      <w:r>
        <w:t>El personal escolar no necesita identificar a los estudiantes infectados con VIH, HBV o HCV; al no ser identificados niños y adolescentes infectados por dichos virus, hay que establecer y cumplir normas y métodos para tratar posibles exposiciones a sangre o materiales sanguinolentos. Los padres y los estudiantes deben ser orientados en cuanto a los tipos de exposición que imponen un riesgo para los contactos escolares. Es importante conservar el derecho a la intimidad de los educandos, pero los padres o los tutores, junto con el médico de atención personal, son los que tomarán decisiones respecto de actividades en la escuela, sin olvidar las necesidades sanitarias del estudiante infectado y de sus compañeros de clase.</w:t>
      </w:r>
    </w:p>
    <w:p w14:paraId="5C5EE090" w14:textId="77777777" w:rsidR="0072615D" w:rsidRDefault="0072615D">
      <w:pPr>
        <w:pStyle w:val="BodyText"/>
        <w:ind w:firstLine="360"/>
      </w:pPr>
      <w:r>
        <w:t>No se han realizado estudios prospectivos que permitan precisar el peligro de transmisión de VIH, HBV o HCV durante deportes por contacto en estudiantes universitarios, pero las pruebas publicadas indican que dicho riesgo es pequeño. Se han elaborado directrices para tratar lesiones sangrantes de deportistas universitarios y profesionales, después de reconocer la posibilidad de que exista alguna infección no identificada por VIH, HBV o HCV en cualquier competidor. En 1999</w:t>
      </w:r>
      <w:r>
        <w:footnoteReference w:id="49"/>
      </w:r>
      <w:r>
        <w:t xml:space="preserve"> se publicaron las recomendaciones hechas por la </w:t>
      </w:r>
      <w:r>
        <w:rPr>
          <w:rFonts w:ascii="Times New Roman" w:eastAsia="Times New Roman" w:hAnsi="Times New Roman" w:cs="Times New Roman"/>
          <w:i/>
          <w:iCs/>
          <w:sz w:val="16"/>
          <w:szCs w:val="16"/>
        </w:rPr>
        <w:t>American Academy of Pediatrics</w:t>
      </w:r>
      <w:r>
        <w:t xml:space="preserve"> (AAP) para evitar la transmisión de VIH y otros patógenos hematógenos en algunos deportes.</w:t>
      </w:r>
    </w:p>
    <w:p w14:paraId="3ED9DF76" w14:textId="77777777" w:rsidR="0072615D" w:rsidRDefault="0072615D">
      <w:pPr>
        <w:pStyle w:val="BodyText"/>
        <w:numPr>
          <w:ilvl w:val="0"/>
          <w:numId w:val="43"/>
        </w:numPr>
        <w:tabs>
          <w:tab w:val="left" w:pos="339"/>
        </w:tabs>
        <w:ind w:left="360" w:hanging="360"/>
      </w:pPr>
      <w:bookmarkStart w:id="456" w:name="bookmark456"/>
      <w:bookmarkEnd w:id="456"/>
      <w:r>
        <w:t>Los deportistas infectados de los virus VIH, HBV o HCV podrán participar en competencias deportivas.</w:t>
      </w:r>
    </w:p>
    <w:p w14:paraId="475E81F7" w14:textId="77777777" w:rsidR="0072615D" w:rsidRDefault="0072615D">
      <w:pPr>
        <w:pStyle w:val="BodyText"/>
        <w:numPr>
          <w:ilvl w:val="0"/>
          <w:numId w:val="43"/>
        </w:numPr>
        <w:tabs>
          <w:tab w:val="left" w:pos="339"/>
        </w:tabs>
        <w:ind w:left="360" w:hanging="360"/>
      </w:pPr>
      <w:bookmarkStart w:id="457" w:name="bookmark457"/>
      <w:bookmarkEnd w:id="457"/>
      <w:r>
        <w:t>El médico debe respetar el derecho de los deportistas infectados a la confidencialidad; ello incluye no revelar el estado infectológico de la persona a otros participantes ni al personal de los programas deportivos.</w:t>
      </w:r>
    </w:p>
    <w:p w14:paraId="0FACC13E" w14:textId="77777777" w:rsidR="0072615D" w:rsidRDefault="0072615D">
      <w:pPr>
        <w:pStyle w:val="BodyText"/>
        <w:numPr>
          <w:ilvl w:val="0"/>
          <w:numId w:val="43"/>
        </w:numPr>
        <w:tabs>
          <w:tab w:val="left" w:pos="339"/>
        </w:tabs>
        <w:ind w:left="360" w:hanging="360"/>
      </w:pPr>
      <w:bookmarkStart w:id="458" w:name="bookmark458"/>
      <w:bookmarkEnd w:id="458"/>
      <w:r>
        <w:t>No es obligatorio para los deportistas o los participantes en deportes someterse a pruebas para identificar patógenos hematógenos.</w:t>
      </w:r>
    </w:p>
    <w:p w14:paraId="717E1933" w14:textId="77777777" w:rsidR="0072615D" w:rsidRDefault="0072615D">
      <w:pPr>
        <w:pStyle w:val="BodyText"/>
        <w:ind w:firstLine="0"/>
      </w:pPr>
      <w:r>
        <w:t>Se insta a los pediatras a que orienten a los deportistas infectados con VIH, HBV o HCV, y les aseguren que es poco el riesgo que tienen de infectar a otros competidores. Los deportistas infectados podrán seleccionar un deporte en el cual el riesgo sea relativamente pequeño; ello puede proteger a otros participantes y a los propios deportistas con la infección y así disminuir su posible exposición a patógenos hematógenos, distintos del que están infectados. Es probable que la lucha grecorromana y el box sean las actividades en que exista mayor posibilidad de contaminar la piel lesionada con sangre. AAP se opone al boxeo como deporte para jóvenes, por otras razones.</w:t>
      </w:r>
    </w:p>
    <w:p w14:paraId="0D99A3C7" w14:textId="77777777" w:rsidR="0072615D" w:rsidRDefault="0072615D">
      <w:pPr>
        <w:pStyle w:val="BodyText"/>
        <w:ind w:firstLine="0"/>
      </w:pPr>
      <w:r>
        <w:t>Los programas deportivos deben señalar a los jóvenes y a sus padres que funcionan bajo las normas de las recomendaciones anteriores y que los deportistas tienen un riesgo pequeño de infectarse con un patógeno hematógeno.</w:t>
      </w:r>
    </w:p>
    <w:p w14:paraId="5A2CD2A6" w14:textId="77777777" w:rsidR="0072615D" w:rsidRDefault="0072615D">
      <w:pPr>
        <w:pStyle w:val="BodyText"/>
        <w:ind w:firstLine="0"/>
      </w:pPr>
      <w:r>
        <w:t>Los clínicos y el personal de los programas deportivos deben promover intensivamente la vacunación contra HBV entre todos los jóvenes, así como en entrenadores e instructores, manejadores de equipo, personal de lavandería y otros sujetos en peligro de estar expuestos a la sangre de los deportistas como riesgo ocupacional.</w:t>
      </w:r>
    </w:p>
    <w:p w14:paraId="0499FD7B" w14:textId="77777777" w:rsidR="0072615D" w:rsidRDefault="0072615D">
      <w:pPr>
        <w:pStyle w:val="BodyText"/>
        <w:ind w:firstLine="0"/>
      </w:pPr>
      <w:r>
        <w:t>Todos los entrenadores y los instructores deben recibir enseñanza de primeros auxilios y atención de urgencia y también de las medidas para evitar que se transmitan patógenos hematógenos en los deportes. De este modo, dichos miembros del personal también ayudarán a llevar a la práctica las recomendaciones en cuestión.</w:t>
      </w:r>
    </w:p>
    <w:p w14:paraId="229DFCA0" w14:textId="77777777" w:rsidR="0072615D" w:rsidRDefault="0072615D">
      <w:pPr>
        <w:pStyle w:val="BodyText"/>
        <w:ind w:firstLine="0"/>
      </w:pPr>
      <w:r>
        <w:t>Los instructores y miembros del personal asistencial deben enseñar a los deportistas las precauciones descritas en estas recomendaciones. La enseñanza en cuestión debe incluir los riesgos mayores de transmisión de VIH y otros patógenos hematógenos por actividad sexual y compartición de jeringas durante el uso de drogas inyectables, incluidos esteroides anabólicos. Se pedirá a los jóvenes que no compartan artículos personales como maquinillas de rasurar, cepillos dentales ni cortauñas que pudieran estar contaminados con sangre.</w:t>
      </w:r>
    </w:p>
    <w:p w14:paraId="21F14EA8" w14:textId="77777777" w:rsidR="0072615D" w:rsidRDefault="0072615D">
      <w:pPr>
        <w:pStyle w:val="BodyText"/>
        <w:spacing w:line="276" w:lineRule="auto"/>
        <w:ind w:firstLine="0"/>
      </w:pPr>
      <w:r>
        <w:t xml:space="preserve">Según las leyes de algunos estados de la unión norteamericana se exige a las escuelas que cumplan con las normas llamadas </w:t>
      </w:r>
      <w:r>
        <w:rPr>
          <w:rFonts w:ascii="Times New Roman" w:eastAsia="Times New Roman" w:hAnsi="Times New Roman" w:cs="Times New Roman"/>
          <w:i/>
          <w:iCs/>
          <w:sz w:val="16"/>
          <w:szCs w:val="16"/>
        </w:rPr>
        <w:t>Occupational Safety and Health Administration</w:t>
      </w:r>
      <w:r>
        <w:rPr>
          <w:i/>
          <w:iCs/>
        </w:rPr>
        <w:t xml:space="preserve">, </w:t>
      </w:r>
      <w:r>
        <w:rPr>
          <w:rFonts w:ascii="Times New Roman" w:eastAsia="Times New Roman" w:hAnsi="Times New Roman" w:cs="Times New Roman"/>
          <w:i/>
          <w:iCs/>
          <w:sz w:val="16"/>
          <w:szCs w:val="16"/>
        </w:rPr>
        <w:t>(OSHA)</w:t>
      </w:r>
      <w:r>
        <w:rPr>
          <w:i/>
          <w:iCs/>
        </w:rPr>
        <w:footnoteReference w:id="50"/>
      </w:r>
      <w:r>
        <w:t xml:space="preserve"> para evitar el contagio con patógenos hematógenos. Los programas deportivos deben seleccionar las normas que son válidas para cada situación. El cumplimiento de las normas OSHA es una precaución razonable y recomendable a pesar de que no sea exigida específicamente por las autoridades estatales.</w:t>
      </w:r>
    </w:p>
    <w:p w14:paraId="41635647" w14:textId="77777777" w:rsidR="0072615D" w:rsidRDefault="0072615D">
      <w:pPr>
        <w:pStyle w:val="BodyText"/>
        <w:ind w:firstLine="0"/>
      </w:pPr>
      <w:r>
        <w:t>Es necesario adoptar las precauciones que se señalan a continuación en deportes con contacto corporal directo y otras actividades en que la sangre u otros líquidos corporales sanguinolentos del joven pueden contaminar la piel o las mucosas de otros participantes o miembros del programa deportivo. Incluso si se siguen tales precauciones, no quedará totalmente eliminada la posibilidad de que un participante o miembro del personal se infecte con un patógeno hematógeno en las actividades deportivas.</w:t>
      </w:r>
    </w:p>
    <w:p w14:paraId="1AF1B411" w14:textId="77777777" w:rsidR="0072615D" w:rsidRDefault="0072615D">
      <w:pPr>
        <w:pStyle w:val="BodyText"/>
        <w:ind w:left="360" w:hanging="360"/>
      </w:pPr>
      <w:r>
        <w:t>♦ Los deportistas deben cubrir cortaduras, excoriaciones, heridas existentes u otras zonas de solución de la continuidad de la piel, con un apósito oclusivo antes de la participación y durante ella. El personal asistencial debe cubrir la piel lesionada para no transmitir la infección al deportista lesionado o ser contagiado por él.</w:t>
      </w:r>
    </w:p>
    <w:p w14:paraId="4595B496" w14:textId="77777777" w:rsidR="0072615D" w:rsidRDefault="0072615D">
      <w:pPr>
        <w:pStyle w:val="BodyText"/>
        <w:ind w:left="700" w:firstLine="0"/>
      </w:pPr>
      <w:r>
        <w:t>Se usarán guantes de vinilo o caucho desechables e impermeables para evitar el contacto con la sangre u otros líquidos corporales visiblemente sanguinolentos y cualquier objeto como los del equipo, vendajes o uniformes, contaminados con tales líquidos. Las manos deben limpiarse con jabón y agua o con un antiséptico alcohólico lo antes posible después de quitarse los guantes.</w:t>
      </w:r>
    </w:p>
    <w:p w14:paraId="1B3DB21D" w14:textId="77777777" w:rsidR="0072615D" w:rsidRDefault="0072615D">
      <w:pPr>
        <w:pStyle w:val="BodyText"/>
        <w:ind w:left="700" w:firstLine="0"/>
      </w:pPr>
      <w:r>
        <w:t>Los deportistas con hemorragia activa deben ser alejados de las competencias tan pronto sea posible, y habrá que cohibir su hemorragia. Las heridas se limpiarán con jabón y agua. Pueden utilizarse antisépticos de la piel si no se cuenta con jabón y agua. Las heridas deben cubrirse con un apósito oclusivo que permanecerá intacto en futuras sesiones antes de que el joven reanude sus competencias.</w:t>
      </w:r>
    </w:p>
    <w:p w14:paraId="28E6D149" w14:textId="77777777" w:rsidR="0072615D" w:rsidRDefault="0072615D">
      <w:pPr>
        <w:pStyle w:val="BodyText"/>
        <w:ind w:left="700" w:firstLine="0"/>
      </w:pPr>
      <w:r>
        <w:t>Se orientará a los deportistas que notifiquen lesiones y heridas en forma oportuna antes de la competencia o durante ella.</w:t>
      </w:r>
    </w:p>
    <w:p w14:paraId="39F7B3B0" w14:textId="77777777" w:rsidR="0072615D" w:rsidRDefault="0072615D">
      <w:pPr>
        <w:pStyle w:val="BodyText"/>
        <w:ind w:left="700" w:firstLine="0"/>
      </w:pPr>
      <w:r>
        <w:t>Las cortaduras o las abrasiones de poca importancia que no sangran no obligan a interrumpir los juegos, pero pueden ser limpiadas y cubiertas durante los descansos programados. En estos lapsos, si el equipo o el uniforme de tela están húmedos de sangre deberán limpiarse y desinfectarse (véase el párrafo siguiente) o se cambiará el uniforme.</w:t>
      </w:r>
    </w:p>
    <w:p w14:paraId="6EB53C6E" w14:textId="77777777" w:rsidR="0072615D" w:rsidRDefault="0072615D">
      <w:pPr>
        <w:pStyle w:val="BodyText"/>
        <w:ind w:left="700" w:firstLine="0"/>
      </w:pPr>
      <w:r>
        <w:t>El equipo y las zonas de juego contaminadas con sangre deben ser limpiadas hasta que desaparezca todo ese líquido visible para luego desinfectarlas con un germicida apropiado, como sería una solución reciente de algún desinfectante y blanqueador que contenga una parte del concentrado en 10 partes de agua. El equipo o la zona descontaminados deben estar en contacto durante 30 s, como mínimo, con la solución limpiadora. Posteriormente se podrá limpiar la zona con un lienzo desechable, después que haya transcurrido un lapso mínimo de contacto o permitido que se seque al aire.</w:t>
      </w:r>
    </w:p>
    <w:p w14:paraId="39DC2B77" w14:textId="77777777" w:rsidR="0072615D" w:rsidRDefault="0072615D">
      <w:pPr>
        <w:pStyle w:val="BodyText"/>
        <w:ind w:left="700" w:firstLine="0"/>
      </w:pPr>
      <w:r>
        <w:t>Es importante no diferir las medidas de emergencia porque no se cuente con guantes u otro equipo protector. Si el prestador de servicios no tiene equipo protector adecuado, puede utilizar una toalla para cubrir la herida hasta estar en una ubicación fuera del campo en que podrán utilizarse guantes durante el tratamiento más definitivo.</w:t>
      </w:r>
    </w:p>
    <w:p w14:paraId="4E7C5676" w14:textId="77777777" w:rsidR="0072615D" w:rsidRDefault="0072615D">
      <w:pPr>
        <w:pStyle w:val="BodyText"/>
        <w:ind w:left="700" w:firstLine="0"/>
      </w:pPr>
      <w:r>
        <w:t>Es necesario contar con balones de ventilación (como los reanimadores Ambu manuales [Ambu Inc, Linthicum, MD]) y sondas y cánulas bucofaríngeas para reanimación. Se recomienda reanimación boca a boca sólo si no se dispone del equipo mencionado.</w:t>
      </w:r>
    </w:p>
    <w:p w14:paraId="130DCBBB" w14:textId="77777777" w:rsidR="0072615D" w:rsidRDefault="0072615D">
      <w:pPr>
        <w:pStyle w:val="BodyText"/>
        <w:ind w:left="700" w:firstLine="0"/>
      </w:pPr>
      <w:r>
        <w:t>Es necesario orientar a quienes manejan el equipo, a personal de lavandería y a otro personal auxiliar (porteros, administradores) de las técnicas adecuadas para manipular materiales lavables o desechables contaminados</w:t>
      </w:r>
    </w:p>
    <w:p w14:paraId="134D76C4" w14:textId="77777777" w:rsidR="0072615D" w:rsidRDefault="0072615D">
      <w:pPr>
        <w:pStyle w:val="BodyText"/>
        <w:spacing w:line="240" w:lineRule="auto"/>
        <w:ind w:firstLine="700"/>
        <w:sectPr w:rsidR="0072615D" w:rsidSect="0072615D">
          <w:headerReference w:type="even" r:id="rId335"/>
          <w:headerReference w:type="default" r:id="rId336"/>
          <w:footerReference w:type="even" r:id="rId337"/>
          <w:footerReference w:type="default" r:id="rId338"/>
          <w:footnotePr>
            <w:numFmt w:val="chicago"/>
          </w:footnotePr>
          <w:pgSz w:w="8501" w:h="13022"/>
          <w:pgMar w:top="699" w:right="614" w:bottom="429" w:left="518" w:header="0" w:footer="3" w:gutter="0"/>
          <w:pgNumType w:start="152"/>
          <w:cols w:space="720"/>
          <w:noEndnote/>
          <w:docGrid w:linePitch="360"/>
          <w15:footnoteColumns w:val="1"/>
        </w:sectPr>
      </w:pPr>
      <w:r>
        <w:t>con sangre.</w:t>
      </w:r>
    </w:p>
    <w:p w14:paraId="1DD1E8AA" w14:textId="77777777" w:rsidR="0072615D" w:rsidRDefault="0072615D">
      <w:pPr>
        <w:pStyle w:val="Bodytext100"/>
        <w:spacing w:after="160"/>
      </w:pPr>
      <w:r>
        <w:rPr>
          <w:sz w:val="34"/>
          <w:szCs w:val="34"/>
        </w:rPr>
        <w:t>C</w:t>
      </w:r>
      <w:r>
        <w:t>ontrol infectológico de niños</w:t>
      </w:r>
    </w:p>
    <w:p w14:paraId="18D782B9" w14:textId="77777777" w:rsidR="0072615D" w:rsidRDefault="0072615D">
      <w:pPr>
        <w:pStyle w:val="Other0"/>
        <w:spacing w:after="100" w:line="240" w:lineRule="auto"/>
        <w:ind w:firstLine="0"/>
        <w:jc w:val="center"/>
        <w:rPr>
          <w:sz w:val="26"/>
          <w:szCs w:val="26"/>
        </w:rPr>
      </w:pPr>
      <w:r>
        <w:rPr>
          <w:rFonts w:ascii="Times New Roman" w:eastAsia="Times New Roman" w:hAnsi="Times New Roman" w:cs="Times New Roman"/>
          <w:sz w:val="26"/>
          <w:szCs w:val="26"/>
        </w:rPr>
        <w:t>HOSPITALIZADOS</w:t>
      </w:r>
    </w:p>
    <w:p w14:paraId="1EBEB931" w14:textId="77777777" w:rsidR="0072615D" w:rsidRDefault="0072615D">
      <w:pPr>
        <w:pStyle w:val="Bodytext70"/>
      </w:pPr>
      <w:r>
        <w:t>Precauciones seguidas en el aislamiento</w:t>
      </w:r>
    </w:p>
    <w:p w14:paraId="15D3594E" w14:textId="77777777" w:rsidR="0072615D" w:rsidRDefault="0072615D">
      <w:pPr>
        <w:pStyle w:val="BodyText"/>
        <w:spacing w:line="276" w:lineRule="auto"/>
        <w:ind w:firstLine="0"/>
      </w:pPr>
      <w:r>
        <w:t xml:space="preserve">Las infecciones que surgen en maniobras asistenciales constituyen una causa importante de complicaciones y muerte en niños hospitalizados, particularmente los atendidos en unidades de cuidados intensivos. El elemento más importante para evitar y erradicar las infecciones mencionadas son la higiene manual antes de cada contacto y después de ocurrido. Se necesitan otras normas y métodos para evitar la infección en niños en estado crítico. En la página web del </w:t>
      </w:r>
      <w:r>
        <w:rPr>
          <w:rFonts w:ascii="Times New Roman" w:eastAsia="Times New Roman" w:hAnsi="Times New Roman" w:cs="Times New Roman"/>
          <w:i/>
          <w:iCs/>
          <w:sz w:val="16"/>
          <w:szCs w:val="16"/>
        </w:rPr>
        <w:t xml:space="preserve">Center for Disease Control and Prevention </w:t>
      </w:r>
      <w:r>
        <w:t>(CDC) se incluye un conjunto integral de directrices para evitar y erradicar infecciones que surgen en maniobras asistenciales que incluyen las precauciones seguidas en el aislamiento, recomendaciones para el personal de salud y directrices para evitar infecciones posoperatorias y por el equipo o dispositivos (</w:t>
      </w:r>
      <w:hyperlink r:id="rId339" w:history="1">
        <w:r>
          <w:t>www.cdc.gov/ncidod/hip/</w:t>
        </w:r>
      </w:hyperlink>
      <w:r>
        <w:t xml:space="preserve"> guide/guide.htm). Se cuenta con más directrices de las sociedades de erradicación de infección de Estados Unidos, como son la </w:t>
      </w:r>
      <w:r>
        <w:rPr>
          <w:rFonts w:ascii="Times New Roman" w:eastAsia="Times New Roman" w:hAnsi="Times New Roman" w:cs="Times New Roman"/>
          <w:i/>
          <w:iCs/>
          <w:sz w:val="16"/>
          <w:szCs w:val="16"/>
        </w:rPr>
        <w:t>Society for Healthcare Epidemiology of America</w:t>
      </w:r>
      <w:r>
        <w:t xml:space="preserve"> y la </w:t>
      </w:r>
      <w:r>
        <w:rPr>
          <w:rFonts w:ascii="Times New Roman" w:eastAsia="Times New Roman" w:hAnsi="Times New Roman" w:cs="Times New Roman"/>
          <w:i/>
          <w:iCs/>
          <w:sz w:val="16"/>
          <w:szCs w:val="16"/>
        </w:rPr>
        <w:t>Association for Profesionals in Infection Control and Epidemiology</w:t>
      </w:r>
      <w:r>
        <w:t xml:space="preserve"> y sociedades de especialidades y organismos regulatorios, como la </w:t>
      </w:r>
      <w:r>
        <w:rPr>
          <w:rFonts w:ascii="Times New Roman" w:eastAsia="Times New Roman" w:hAnsi="Times New Roman" w:cs="Times New Roman"/>
          <w:i/>
          <w:iCs/>
          <w:sz w:val="16"/>
          <w:szCs w:val="16"/>
        </w:rPr>
        <w:t>Occupational Safety and Health Administration</w:t>
      </w:r>
      <w:r>
        <w:rPr>
          <w:i/>
          <w:iCs/>
        </w:rPr>
        <w:t>.</w:t>
      </w:r>
      <w:r>
        <w:t xml:space="preserve"> La </w:t>
      </w:r>
      <w:r>
        <w:rPr>
          <w:rFonts w:ascii="Times New Roman" w:eastAsia="Times New Roman" w:hAnsi="Times New Roman" w:cs="Times New Roman"/>
          <w:i/>
          <w:iCs/>
          <w:sz w:val="16"/>
          <w:szCs w:val="16"/>
        </w:rPr>
        <w:t xml:space="preserve">Joint Commission on Accreditation of Healthcare Organizations </w:t>
      </w:r>
      <w:r>
        <w:t>ha establecido normas de erradicación de infecciones. Los médicos e infectólogos y otros profesionales en este campo deben conocer en detalle este conjunto cada vez más complejo de directrices, normas y reglamentos.</w:t>
      </w:r>
    </w:p>
    <w:p w14:paraId="6815CA45" w14:textId="77777777" w:rsidR="0072615D" w:rsidRDefault="0072615D">
      <w:pPr>
        <w:pStyle w:val="BodyText"/>
        <w:ind w:firstLine="360"/>
      </w:pPr>
      <w:r>
        <w:t xml:space="preserve">En Estados Unidos en 1996 el </w:t>
      </w:r>
      <w:r>
        <w:rPr>
          <w:rFonts w:ascii="Times New Roman" w:eastAsia="Times New Roman" w:hAnsi="Times New Roman" w:cs="Times New Roman"/>
          <w:i/>
          <w:iCs/>
          <w:sz w:val="16"/>
          <w:szCs w:val="16"/>
        </w:rPr>
        <w:t xml:space="preserve">Hospital Infection Control Practices Advisory Committee </w:t>
      </w:r>
      <w:r>
        <w:t>(HiCPAC) publicó directrices sobre aislamiento para la atención de pacientes hospitalizados.</w:t>
      </w:r>
      <w:r>
        <w:footnoteReference w:id="51"/>
      </w:r>
      <w:r>
        <w:t xml:space="preserve"> Las directrices recomendaban estrategias para evitar que se diseminaran patógenos en los sujetos hospitalizados. Tales normas de aislamiento, completadas con otras y con métodos nosocomiales respecto de otros aspectos de la erradicación de infecciones y el control ambiental, así como de salud ocupacional, seguramente culminarán en normas “que son posibles, prácticas y prudentes” para cada hospital.</w:t>
      </w:r>
    </w:p>
    <w:p w14:paraId="26FD971A" w14:textId="77777777" w:rsidR="0072615D" w:rsidRDefault="0072615D">
      <w:pPr>
        <w:pStyle w:val="BodyText"/>
        <w:spacing w:after="240"/>
        <w:ind w:firstLine="360"/>
      </w:pPr>
      <w:r>
        <w:t xml:space="preserve">El cumplimiento sistemático y óptimo de un conjunto ampliado de normas y procedimientos universales, llamadas </w:t>
      </w:r>
      <w:r>
        <w:rPr>
          <w:b/>
          <w:bCs/>
        </w:rPr>
        <w:t>Precauciones estándar</w:t>
      </w:r>
      <w:r>
        <w:t xml:space="preserve">, se ha destinado a atender a todos los pacientes, sea cual sea su diagnóstico o posible estado infeccioso. Las precauciones basadas en patógenos y síndromes, denominadas </w:t>
      </w:r>
      <w:r>
        <w:rPr>
          <w:b/>
          <w:bCs/>
        </w:rPr>
        <w:t>Precauciones conforme al tipo de transmisión</w:t>
      </w:r>
      <w:r>
        <w:t>, se utilizan en la atención de sujetos infectados o colonizados con patógenos que cursan por el aire, gotículas o contacto. Para saber cuáles enfermedades son notificables, véase el apéndice IX (“Enfermedades infecciosas de notificación nacional en Estados Unidos”).</w:t>
      </w:r>
    </w:p>
    <w:p w14:paraId="699A98B5" w14:textId="77777777" w:rsidR="0072615D" w:rsidRDefault="0072615D">
      <w:pPr>
        <w:pStyle w:val="BodyText"/>
        <w:spacing w:after="240" w:line="257" w:lineRule="auto"/>
        <w:ind w:firstLine="0"/>
      </w:pPr>
      <w:r>
        <w:rPr>
          <w:smallCaps/>
          <w:sz w:val="20"/>
          <w:szCs w:val="20"/>
        </w:rPr>
        <w:t>precauciones</w:t>
      </w:r>
      <w:r>
        <w:t xml:space="preserve"> ESTÁNDAR</w:t>
      </w:r>
    </w:p>
    <w:p w14:paraId="6AE156E8" w14:textId="77777777" w:rsidR="0072615D" w:rsidRDefault="0072615D">
      <w:pPr>
        <w:pStyle w:val="BodyText"/>
        <w:ind w:firstLine="0"/>
      </w:pPr>
      <w:r>
        <w:t>Las precauciones mencionadas se observan en caso de contacto con sangre; se siguen también en el manejo de todos los líquidos, secreciones y excreciones corporales, excepto el sudor (contengan o no sangre visible los líquidos, las secreciones o la excreción); piel no intacta y membranas mucosas. Las técnicas de barrera tienen como finalidad disminuir la exposición del personal asistencial a líquidos corporales que contengan el virus de inmunodeficiencia humana u otros patógenos hematógenos. Indefectiblemente se utilizará en todo momento las precauciones porque por medio de la anamnesis y la exploración física no se pueden identificar con certeza a todos los pacientes infectados por tales agentes. Las precauciones estándar disminuyen la transmisión de microorganismos de personas que no han sido identificadas como portadoras de patógenos posibles, como serían las bacterias resistentes a antimicrobianos. Entre las precauciones comentadas están:</w:t>
      </w:r>
    </w:p>
    <w:p w14:paraId="61CFE57C" w14:textId="77777777" w:rsidR="0072615D" w:rsidRDefault="0072615D">
      <w:pPr>
        <w:pStyle w:val="BodyText"/>
        <w:numPr>
          <w:ilvl w:val="0"/>
          <w:numId w:val="43"/>
        </w:numPr>
        <w:tabs>
          <w:tab w:val="left" w:pos="340"/>
        </w:tabs>
        <w:ind w:left="360" w:hanging="360"/>
      </w:pPr>
      <w:bookmarkStart w:id="459" w:name="bookmark459"/>
      <w:bookmarkEnd w:id="459"/>
      <w:r>
        <w:rPr>
          <w:b/>
          <w:bCs/>
        </w:rPr>
        <w:t>Se necesitan higiene manual</w:t>
      </w:r>
      <w:r>
        <w:footnoteReference w:id="52"/>
      </w:r>
      <w:r>
        <w:t xml:space="preserve"> antes de todo contacto con pacientes y después de tocar sangre, líquidos corporales, secreciones, excreciones y artículos contaminados, se usen o no guantes. La higiene de las manos se realizará con agentes antisépticos concentrados o jabón y agua inmediatamente después de quitarse los guantes, entre uno y otro contactos con los pacientes y cuando estén indicados según otras situaciones, para evitar la transferencia de microorganismos a otros pacientes y a objetos del entorno, como teléfonos, teclados de computadoras y expedientes clínicos.</w:t>
      </w:r>
    </w:p>
    <w:p w14:paraId="7FA3B2C4" w14:textId="77777777" w:rsidR="0072615D" w:rsidRDefault="0072615D">
      <w:pPr>
        <w:pStyle w:val="BodyText"/>
        <w:numPr>
          <w:ilvl w:val="0"/>
          <w:numId w:val="43"/>
        </w:numPr>
        <w:tabs>
          <w:tab w:val="left" w:pos="340"/>
        </w:tabs>
        <w:ind w:left="360" w:hanging="360"/>
      </w:pPr>
      <w:bookmarkStart w:id="460" w:name="bookmark460"/>
      <w:bookmarkEnd w:id="460"/>
      <w:r>
        <w:t xml:space="preserve">La persona debe usar </w:t>
      </w:r>
      <w:r>
        <w:rPr>
          <w:b/>
          <w:bCs/>
        </w:rPr>
        <w:t xml:space="preserve">guantes </w:t>
      </w:r>
      <w:r>
        <w:t>(limpios y no estériles) cuando toque sangre, líquidos corporales, secreciones y excreciones, así como artículos contaminados con tales líquidos. Es importante usar guantes limpios antes de tocar las mucosas y la piel no intacta. Entre una y otra sesiones y métodos en el mismo paciente se cambiarán los guantes después de contacto con el material que pudiera contener un gran número de microorganismos. Habrá que quitarse los guantes inmediatamente después de usarlos y se aplicarán medidas de higiene manual antes de tocar artículos no contaminados y superficies ambientales y antes de contacto con otros pacientes.</w:t>
      </w:r>
    </w:p>
    <w:p w14:paraId="460DF88C" w14:textId="77777777" w:rsidR="0072615D" w:rsidRDefault="0072615D">
      <w:pPr>
        <w:pStyle w:val="BodyText"/>
        <w:numPr>
          <w:ilvl w:val="0"/>
          <w:numId w:val="43"/>
        </w:numPr>
        <w:tabs>
          <w:tab w:val="left" w:pos="340"/>
        </w:tabs>
        <w:ind w:left="360" w:hanging="360"/>
      </w:pPr>
      <w:bookmarkStart w:id="461" w:name="bookmark461"/>
      <w:bookmarkEnd w:id="461"/>
      <w:r>
        <w:t xml:space="preserve">El personal debe usar </w:t>
      </w:r>
      <w:r>
        <w:rPr>
          <w:b/>
          <w:bCs/>
        </w:rPr>
        <w:t xml:space="preserve">mascarillas, protectores de ojos y de cara </w:t>
      </w:r>
      <w:r>
        <w:t>para protegerse la mucosa de los ojos, las vías nasales y la boca durante procedimientos y tareas de atención directas en las que pueden generarse salpicaduras o gotitas de sangre, líquidos corporales, secreciones o sustancias eliminadas.</w:t>
      </w:r>
    </w:p>
    <w:p w14:paraId="2104E9B4" w14:textId="77777777" w:rsidR="0072615D" w:rsidRDefault="0072615D">
      <w:pPr>
        <w:pStyle w:val="BodyText"/>
        <w:numPr>
          <w:ilvl w:val="0"/>
          <w:numId w:val="43"/>
        </w:numPr>
        <w:tabs>
          <w:tab w:val="left" w:pos="340"/>
        </w:tabs>
        <w:ind w:left="360" w:hanging="360"/>
      </w:pPr>
      <w:bookmarkStart w:id="462" w:name="bookmark462"/>
      <w:bookmarkEnd w:id="462"/>
      <w:r>
        <w:t xml:space="preserve">Las </w:t>
      </w:r>
      <w:r>
        <w:rPr>
          <w:b/>
          <w:bCs/>
        </w:rPr>
        <w:t xml:space="preserve">batas no esterilizadas </w:t>
      </w:r>
      <w:r>
        <w:t>que son resistentes a los líquidos protegerán la piel e impedirán que la ropa se ensucie durante procedimientos y tareas de atención al paciente que pudieran provocar que la sangre, los líquidos corporales, las secreciones o las sustancias eliminadas manchen o salpiquen. Es importante quitarse inmediatamente las batas sucias y manchadas.</w:t>
      </w:r>
    </w:p>
    <w:p w14:paraId="548665DF" w14:textId="77777777" w:rsidR="0072615D" w:rsidRDefault="0072615D">
      <w:pPr>
        <w:pStyle w:val="BodyText"/>
        <w:numPr>
          <w:ilvl w:val="0"/>
          <w:numId w:val="43"/>
        </w:numPr>
        <w:tabs>
          <w:tab w:val="left" w:pos="340"/>
        </w:tabs>
        <w:ind w:left="360" w:hanging="360"/>
      </w:pPr>
      <w:bookmarkStart w:id="463" w:name="bookmark463"/>
      <w:bookmarkEnd w:id="463"/>
      <w:r>
        <w:t xml:space="preserve">El </w:t>
      </w:r>
      <w:r>
        <w:rPr>
          <w:b/>
          <w:bCs/>
        </w:rPr>
        <w:t xml:space="preserve">equipo asistencial </w:t>
      </w:r>
      <w:r>
        <w:t>que se haya usado debe ser manejado de forma tal que se evite la exposición a la piel o mucosas y la contaminación de las ropas personales.</w:t>
      </w:r>
    </w:p>
    <w:p w14:paraId="42FF00CA" w14:textId="77777777" w:rsidR="0072615D" w:rsidRDefault="0072615D">
      <w:pPr>
        <w:pStyle w:val="BodyText"/>
        <w:numPr>
          <w:ilvl w:val="0"/>
          <w:numId w:val="43"/>
        </w:numPr>
        <w:tabs>
          <w:tab w:val="left" w:pos="340"/>
        </w:tabs>
        <w:ind w:left="360" w:hanging="360"/>
      </w:pPr>
      <w:bookmarkStart w:id="464" w:name="bookmark464"/>
      <w:bookmarkEnd w:id="464"/>
      <w:r>
        <w:t xml:space="preserve">Se considera que </w:t>
      </w:r>
      <w:r>
        <w:rPr>
          <w:b/>
          <w:bCs/>
        </w:rPr>
        <w:t xml:space="preserve">todas las ropas de cama usadas </w:t>
      </w:r>
      <w:r>
        <w:t>están contaminadas y habrá que manejarlas, transportarlas y prepararlas por técnicas que impidan la exposición de piel y membranas mucosas y la contaminación de ropas personales.</w:t>
      </w:r>
    </w:p>
    <w:p w14:paraId="4BCE2AFC" w14:textId="77777777" w:rsidR="0072615D" w:rsidRDefault="0072615D">
      <w:pPr>
        <w:pStyle w:val="BodyText"/>
        <w:numPr>
          <w:ilvl w:val="0"/>
          <w:numId w:val="43"/>
        </w:numPr>
        <w:tabs>
          <w:tab w:val="left" w:pos="340"/>
        </w:tabs>
        <w:ind w:left="360" w:hanging="360"/>
      </w:pPr>
      <w:bookmarkStart w:id="465" w:name="bookmark465"/>
      <w:bookmarkEnd w:id="465"/>
      <w:r>
        <w:t xml:space="preserve">Se evitará la exposición de </w:t>
      </w:r>
      <w:r>
        <w:rPr>
          <w:b/>
          <w:bCs/>
        </w:rPr>
        <w:t xml:space="preserve">patógenos hematógenos </w:t>
      </w:r>
      <w:r>
        <w:t>al seguir precauciones para evitar lesiones cuando se usen, limpien y eliminen agujas, bisturís y otros instrumentos y dispositivos cortantes.</w:t>
      </w:r>
    </w:p>
    <w:p w14:paraId="3F53EB13" w14:textId="77777777" w:rsidR="0072615D" w:rsidRDefault="0072615D">
      <w:pPr>
        <w:pStyle w:val="BodyText"/>
        <w:numPr>
          <w:ilvl w:val="0"/>
          <w:numId w:val="43"/>
        </w:numPr>
        <w:tabs>
          <w:tab w:val="left" w:pos="340"/>
        </w:tabs>
        <w:ind w:left="360" w:hanging="360"/>
      </w:pPr>
      <w:bookmarkStart w:id="466" w:name="bookmark466"/>
      <w:bookmarkEnd w:id="466"/>
      <w:r>
        <w:t>Es importante tener a la mano en todas las áreas de atención “</w:t>
      </w:r>
      <w:r>
        <w:rPr>
          <w:b/>
          <w:bCs/>
        </w:rPr>
        <w:t>abrebocas”, balones de ventilación y otros aparatos ventilatorios</w:t>
      </w:r>
      <w:r>
        <w:t>, los cuales se utilizarán en vez de la reanimación boca a boca.</w:t>
      </w:r>
      <w:r>
        <w:br w:type="page"/>
      </w:r>
    </w:p>
    <w:p w14:paraId="116E1677" w14:textId="77777777" w:rsidR="0072615D" w:rsidRDefault="0072615D">
      <w:pPr>
        <w:pStyle w:val="BodyText"/>
        <w:spacing w:after="120" w:line="240" w:lineRule="auto"/>
        <w:ind w:firstLine="0"/>
      </w:pPr>
      <w:r>
        <w:t>PRECAUCIONES CONFORME AL TIPO DE TRANSMISIÓN</w:t>
      </w:r>
    </w:p>
    <w:p w14:paraId="47608F8C" w14:textId="77777777" w:rsidR="0072615D" w:rsidRDefault="0072615D">
      <w:pPr>
        <w:pStyle w:val="BodyText"/>
        <w:ind w:left="700" w:firstLine="0"/>
      </w:pPr>
      <w:r>
        <w:rPr>
          <w:noProof/>
        </w:rPr>
        <mc:AlternateContent>
          <mc:Choice Requires="wps">
            <w:drawing>
              <wp:anchor distT="76200" distB="0" distL="0" distR="0" simplePos="0" relativeHeight="251681792" behindDoc="0" locked="0" layoutInCell="1" allowOverlap="1" wp14:anchorId="241F9D55" wp14:editId="6BE398AC">
                <wp:simplePos x="0" y="0"/>
                <wp:positionH relativeFrom="page">
                  <wp:posOffset>493395</wp:posOffset>
                </wp:positionH>
                <wp:positionV relativeFrom="margin">
                  <wp:posOffset>457835</wp:posOffset>
                </wp:positionV>
                <wp:extent cx="4340225" cy="2871470"/>
                <wp:effectExtent l="0" t="0" r="0" b="0"/>
                <wp:wrapTopAndBottom/>
                <wp:docPr id="341" name="Shape 341"/>
                <wp:cNvGraphicFramePr/>
                <a:graphic xmlns:a="http://schemas.openxmlformats.org/drawingml/2006/main">
                  <a:graphicData uri="http://schemas.microsoft.com/office/word/2010/wordprocessingShape">
                    <wps:wsp>
                      <wps:cNvSpPr txBox="1"/>
                      <wps:spPr>
                        <a:xfrm>
                          <a:off x="0" y="0"/>
                          <a:ext cx="4340225" cy="2871470"/>
                        </a:xfrm>
                        <a:prstGeom prst="rect">
                          <a:avLst/>
                        </a:prstGeom>
                        <a:noFill/>
                      </wps:spPr>
                      <wps:txbx>
                        <w:txbxContent>
                          <w:p w14:paraId="0C6BDEA3" w14:textId="77777777" w:rsidR="0072615D" w:rsidRDefault="0072615D">
                            <w:pPr>
                              <w:pStyle w:val="BodyText"/>
                              <w:ind w:firstLine="0"/>
                            </w:pPr>
                            <w:r>
                              <w:t>Las precauciones conforme al tipo de transmisión están destinadas a pacientes que en forma corroborada o sospechada tienen colonización con patógenos o infección con ellos, para los cuales se recomiendan más precauciones además de las de tipo estándar, para interrumpir la transmisión. Los tres tipos de transmisión en que se basan las precauciones mencionadas son la aérea o aerófora, la de gotículas y por contacto.</w:t>
                            </w:r>
                          </w:p>
                          <w:p w14:paraId="2148DB73" w14:textId="77777777" w:rsidR="0072615D" w:rsidRDefault="0072615D">
                            <w:pPr>
                              <w:pStyle w:val="BodyText"/>
                              <w:ind w:left="360" w:hanging="360"/>
                            </w:pPr>
                            <w:r>
                              <w:t xml:space="preserve">• La </w:t>
                            </w:r>
                            <w:r>
                              <w:rPr>
                                <w:b/>
                                <w:bCs/>
                              </w:rPr>
                              <w:t xml:space="preserve">transmisión por el aire o aerófora </w:t>
                            </w:r>
                            <w:r>
                              <w:t>se hace por diseminación de gotículas que cursan por el aire (residuo de partículas pequeñas que tienen 5 pm o menos de diámetro después de evaporadas y que contienen microorganismos que pueden permanecer suspendidos en el aire por largo tiempo), o partículas de polvo que contienen el agente infeccioso o esporas. Las corrientes de aire pueden dispersar extensamente microorganismos que viajan en ellas y que pueden ser inhalados por el hospedador susceptible o quedar depositadas en la misma estancia o a largas distancias del paciente del que se originaron, según los factores ambientales.</w:t>
                            </w:r>
                          </w:p>
                          <w:p w14:paraId="03178227" w14:textId="77777777" w:rsidR="0072615D" w:rsidRDefault="0072615D">
                            <w:pPr>
                              <w:pStyle w:val="BodyText"/>
                              <w:ind w:left="360" w:firstLine="0"/>
                            </w:pPr>
                            <w:r>
                              <w:t xml:space="preserve">Se necesita la manipulación y ventilación especial del aire para evitar la transmisión de partículas por él. Entre los ejemplos de microorganismos transmitidos por los residuos secos de gotículas que cursan por el aire están </w:t>
                            </w:r>
                            <w:r>
                              <w:rPr>
                                <w:rFonts w:ascii="Times New Roman" w:eastAsia="Times New Roman" w:hAnsi="Times New Roman" w:cs="Times New Roman"/>
                                <w:i/>
                                <w:iCs/>
                                <w:sz w:val="16"/>
                                <w:szCs w:val="16"/>
                              </w:rPr>
                              <w:t>Mycobacterium tuberculosis</w:t>
                            </w:r>
                            <w:r>
                              <w:rPr>
                                <w:i/>
                                <w:iCs/>
                              </w:rPr>
                              <w:t xml:space="preserve">, </w:t>
                            </w:r>
                            <w:r>
                              <w:t>virus de sarampión y virus de varicela-zoster. En cuanto a las precauciones para evitar la transmisión aerófora, éstas son algunas de las recomendaciones específicas:</w:t>
                            </w:r>
                          </w:p>
                          <w:p w14:paraId="37E8CE90" w14:textId="77777777" w:rsidR="0072615D" w:rsidRDefault="0072615D">
                            <w:pPr>
                              <w:pStyle w:val="BodyText"/>
                              <w:spacing w:line="226" w:lineRule="auto"/>
                              <w:ind w:firstLine="360"/>
                            </w:pPr>
                            <w:r>
                              <w:t>♦</w:t>
                            </w:r>
                          </w:p>
                        </w:txbxContent>
                      </wps:txbx>
                      <wps:bodyPr lIns="0" tIns="0" rIns="0" bIns="0"/>
                    </wps:wsp>
                  </a:graphicData>
                </a:graphic>
              </wp:anchor>
            </w:drawing>
          </mc:Choice>
          <mc:Fallback>
            <w:pict>
              <v:shape w14:anchorId="241F9D55" id="Shape 341" o:spid="_x0000_s1048" type="#_x0000_t202" style="position:absolute;left:0;text-align:left;margin-left:38.85pt;margin-top:36.05pt;width:341.75pt;height:226.1pt;z-index:251681792;visibility:visible;mso-wrap-style:square;mso-wrap-distance-left:0;mso-wrap-distance-top:6pt;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" filled="f" stroked="f">
                <v:textbox inset="0,0,0,0">
                  <w:txbxContent>
                    <w:p w14:paraId="0C6BDEA3" w14:textId="77777777" w:rsidR="0072615D" w:rsidRDefault="0072615D">
                      <w:pPr>
                        <w:pStyle w:val="BodyText"/>
                        <w:ind w:firstLine="0"/>
                      </w:pPr>
                      <w:r>
                        <w:t>Las precauciones conforme al tipo de transmisión están destinadas a pacientes que en forma corroborada o sospechada tienen colonización con patógenos o infección con ellos, para los cuales se recomiendan más precauciones además de las de tipo estándar, para interrumpir la transmisión. Los tres tipos de transmisión en que se basan las precauciones mencionadas son la aérea o aerófora, la de gotículas y por contacto.</w:t>
                      </w:r>
                    </w:p>
                    <w:p w14:paraId="2148DB73" w14:textId="77777777" w:rsidR="0072615D" w:rsidRDefault="0072615D">
                      <w:pPr>
                        <w:pStyle w:val="BodyText"/>
                        <w:ind w:left="360" w:hanging="360"/>
                      </w:pPr>
                      <w:r>
                        <w:t xml:space="preserve">• La </w:t>
                      </w:r>
                      <w:r>
                        <w:rPr>
                          <w:b/>
                          <w:bCs/>
                        </w:rPr>
                        <w:t xml:space="preserve">transmisión por el aire o aerófora </w:t>
                      </w:r>
                      <w:r>
                        <w:t>se hace por diseminación de gotículas que cursan por el aire (residuo de partículas pequeñas que tienen 5 pm o menos de diámetro después de evaporadas y que contienen microorganismos que pueden permanecer suspendidos en el aire por largo tiempo), o partículas de polvo que contienen el agente infeccioso o esporas. Las corrientes de aire pueden dispersar extensamente microorganismos que viajan en ellas y que pueden ser inhalados por el hospedador susceptible o quedar depositadas en la misma estancia o a largas distancias del paciente del que se originaron, según los factores ambientales.</w:t>
                      </w:r>
                    </w:p>
                    <w:p w14:paraId="03178227" w14:textId="77777777" w:rsidR="0072615D" w:rsidRDefault="0072615D">
                      <w:pPr>
                        <w:pStyle w:val="BodyText"/>
                        <w:ind w:left="360" w:firstLine="0"/>
                      </w:pPr>
                      <w:r>
                        <w:t xml:space="preserve">Se necesita la manipulación y ventilación especial del aire para evitar la transmisión de partículas por él. Entre los ejemplos de microorganismos transmitidos por los residuos secos de gotículas que cursan por el aire están </w:t>
                      </w:r>
                      <w:r>
                        <w:rPr>
                          <w:rFonts w:ascii="Times New Roman" w:eastAsia="Times New Roman" w:hAnsi="Times New Roman" w:cs="Times New Roman"/>
                          <w:i/>
                          <w:iCs/>
                          <w:sz w:val="16"/>
                          <w:szCs w:val="16"/>
                        </w:rPr>
                        <w:t>Mycobacterium tuberculosis</w:t>
                      </w:r>
                      <w:r>
                        <w:rPr>
                          <w:i/>
                          <w:iCs/>
                        </w:rPr>
                        <w:t xml:space="preserve">, </w:t>
                      </w:r>
                      <w:r>
                        <w:t>virus de sarampión y virus de varicela-zoster. En cuanto a las precauciones para evitar la transmisión aerófora, éstas son algunas de las recomendaciones específicas:</w:t>
                      </w:r>
                    </w:p>
                    <w:p w14:paraId="37E8CE90" w14:textId="77777777" w:rsidR="0072615D" w:rsidRDefault="0072615D">
                      <w:pPr>
                        <w:pStyle w:val="BodyText"/>
                        <w:spacing w:line="226" w:lineRule="auto"/>
                        <w:ind w:firstLine="360"/>
                      </w:pPr>
                      <w:r>
                        <w:t>♦</w:t>
                      </w:r>
                    </w:p>
                  </w:txbxContent>
                </v:textbox>
                <w10:wrap type="topAndBottom" anchorx="page" anchory="margin"/>
              </v:shape>
            </w:pict>
          </mc:Fallback>
        </mc:AlternateContent>
      </w:r>
      <w:r>
        <w:t>Dar a los pacientes infectados o colonizados una estancia privada (si no se dispone de ella, considerar la reunión en cohortes con sujetos con la misma enfermedad y consultar a un infectólogo profesional).</w:t>
      </w:r>
    </w:p>
    <w:p w14:paraId="5E6FD02A" w14:textId="77777777" w:rsidR="0072615D" w:rsidRDefault="0072615D">
      <w:pPr>
        <w:pStyle w:val="BodyText"/>
        <w:ind w:left="700" w:firstLine="0"/>
      </w:pPr>
      <w:r>
        <w:t xml:space="preserve">Utilizar ventilación con presión negativa de aire (seis a 12 cambios de aire por hora) con eliminación externa del aire o filtración de gran eficiencia de las partículas </w:t>
      </w:r>
      <w:r>
        <w:rPr>
          <w:i/>
          <w:iCs/>
        </w:rPr>
        <w:t>(</w:t>
      </w:r>
      <w:r>
        <w:rPr>
          <w:rFonts w:ascii="Times New Roman" w:eastAsia="Times New Roman" w:hAnsi="Times New Roman" w:cs="Times New Roman"/>
          <w:i/>
          <w:iCs/>
          <w:sz w:val="16"/>
          <w:szCs w:val="16"/>
        </w:rPr>
        <w:t>high-efficiency particulate air, HEPA</w:t>
      </w:r>
      <w:r>
        <w:rPr>
          <w:i/>
          <w:iCs/>
        </w:rPr>
        <w:t>)</w:t>
      </w:r>
      <w:r>
        <w:t xml:space="preserve"> en caso de recircular.</w:t>
      </w:r>
    </w:p>
    <w:p w14:paraId="0291C117" w14:textId="77777777" w:rsidR="0072615D" w:rsidRDefault="0072615D">
      <w:pPr>
        <w:pStyle w:val="BodyText"/>
        <w:spacing w:line="276" w:lineRule="auto"/>
        <w:ind w:left="700" w:firstLine="0"/>
      </w:pPr>
      <w:r>
        <w:t xml:space="preserve">Si sospecha o corrobora la existencia de tuberculosis pulmonar infecciosa, habrá que usar dentro de la estancia del paciente dispositivos de protección de vías respiratorias (p. ej., un respirador de “adaptación” y “sello” personal y certificado por el </w:t>
      </w:r>
      <w:r>
        <w:rPr>
          <w:rFonts w:ascii="Times New Roman" w:eastAsia="Times New Roman" w:hAnsi="Times New Roman" w:cs="Times New Roman"/>
          <w:i/>
          <w:iCs/>
          <w:sz w:val="16"/>
          <w:szCs w:val="16"/>
        </w:rPr>
        <w:t>National Institute for Occupational Safety and Health</w:t>
      </w:r>
      <w:r>
        <w:rPr>
          <w:i/>
          <w:iCs/>
        </w:rPr>
        <w:t>,</w:t>
      </w:r>
      <w:r>
        <w:t xml:space="preserve"> como el respirador N95).</w:t>
      </w:r>
    </w:p>
    <w:p w14:paraId="2CA93D10" w14:textId="77777777" w:rsidR="0072615D" w:rsidRDefault="0072615D">
      <w:pPr>
        <w:pStyle w:val="BodyText"/>
        <w:ind w:left="700" w:firstLine="0"/>
      </w:pPr>
      <w:r>
        <w:t>El personal asistencial susceptible no debe entrar a estancias de pacientes con infecciones como sarampión o la causada por virus de varicela-zoster. Si es necesario que personas susceptibles entren en la estancia del sujeto con sarampión o varicela, deben usar una mascarilla. No necesitarán usarla las personas con inmunidad corroborada contra tales virus.</w:t>
      </w:r>
    </w:p>
    <w:p w14:paraId="73986102" w14:textId="77777777" w:rsidR="0072615D" w:rsidRDefault="0072615D">
      <w:pPr>
        <w:pStyle w:val="BodyText"/>
        <w:ind w:left="360" w:firstLine="0"/>
      </w:pPr>
      <w:r>
        <w:t xml:space="preserve">La </w:t>
      </w:r>
      <w:r>
        <w:rPr>
          <w:b/>
          <w:bCs/>
        </w:rPr>
        <w:t xml:space="preserve">transmisión por gotículas (de Pflüger) </w:t>
      </w:r>
      <w:r>
        <w:t>ocurre cuando las gotitas que contienen microorganismos generados de una persona infectada, sobre todo durante la tos, el estornudo o el habla o la realización de algunos métodos como la aspiración y la broncoscopia, son impulsadas a 1 m o menos y depositadas en las conjuntivas, mucosa nasal, boca o dichos sitios en conjunto. Estas gotitas relativamente grandes no permanecen suspendidas en el aire y por ello no se necesitan medidas especiales para la eliminación de aire y la ventilación para impedir la transmisión a través de ellas. Es importante no confundir la transmisión por las gotículas con la que ocurre por el aire mediante núcleos o residuos secos de ellas, que son mucho menores. Entre las precauciones en caso de transmisión por gotículas se recomienda de manera específica lo siguiente:</w:t>
      </w:r>
    </w:p>
    <w:p w14:paraId="37CE8489" w14:textId="77777777" w:rsidR="0072615D" w:rsidRDefault="0072615D">
      <w:pPr>
        <w:pStyle w:val="BodyText"/>
        <w:spacing w:after="60"/>
        <w:ind w:left="700" w:hanging="340"/>
      </w:pPr>
      <w:r>
        <w:t>♦ Colocar a la persona en un cuarto individual y privado (si no se dispone de él, considerar la agrupación en cohortes con otros pacientes infectados con el</w:t>
      </w:r>
      <w:r>
        <w:br w:type="page"/>
      </w:r>
    </w:p>
    <w:p w14:paraId="08BF4A86" w14:textId="77777777" w:rsidR="0072615D" w:rsidRDefault="0072615D">
      <w:pPr>
        <w:pStyle w:val="BodyText"/>
        <w:ind w:firstLine="700"/>
      </w:pPr>
      <w:r>
        <w:rPr>
          <w:noProof/>
        </w:rPr>
        <mc:AlternateContent>
          <mc:Choice Requires="wps">
            <w:drawing>
              <wp:anchor distT="114300" distB="114300" distL="114300" distR="114300" simplePos="0" relativeHeight="251682816" behindDoc="0" locked="0" layoutInCell="1" allowOverlap="1" wp14:anchorId="1564F3AD" wp14:editId="5CE4EA9E">
                <wp:simplePos x="0" y="0"/>
                <wp:positionH relativeFrom="page">
                  <wp:posOffset>714375</wp:posOffset>
                </wp:positionH>
                <wp:positionV relativeFrom="paragraph">
                  <wp:posOffset>444500</wp:posOffset>
                </wp:positionV>
                <wp:extent cx="73025" cy="1974850"/>
                <wp:effectExtent l="0" t="0" r="0" b="0"/>
                <wp:wrapSquare wrapText="right"/>
                <wp:docPr id="343" name="Shape 343"/>
                <wp:cNvGraphicFramePr/>
                <a:graphic xmlns:a="http://schemas.openxmlformats.org/drawingml/2006/main">
                  <a:graphicData uri="http://schemas.microsoft.com/office/word/2010/wordprocessingShape">
                    <wps:wsp>
                      <wps:cNvSpPr txBox="1"/>
                      <wps:spPr>
                        <a:xfrm>
                          <a:off x="0" y="0"/>
                          <a:ext cx="73025" cy="1974850"/>
                        </a:xfrm>
                        <a:prstGeom prst="rect">
                          <a:avLst/>
                        </a:prstGeom>
                        <a:noFill/>
                      </wps:spPr>
                      <wps:txbx>
                        <w:txbxContent>
                          <w:p w14:paraId="0758DC6C" w14:textId="77777777" w:rsidR="0072615D" w:rsidRDefault="0072615D">
                            <w:pPr>
                              <w:pStyle w:val="BodyText"/>
                              <w:spacing w:after="500" w:line="240" w:lineRule="auto"/>
                              <w:ind w:firstLine="0"/>
                              <w:jc w:val="both"/>
                            </w:pPr>
                            <w:r>
                              <w:t>♦</w:t>
                            </w:r>
                          </w:p>
                          <w:p w14:paraId="770CC052" w14:textId="77777777" w:rsidR="0072615D" w:rsidRDefault="0072615D">
                            <w:pPr>
                              <w:pStyle w:val="BodyText"/>
                              <w:spacing w:line="240" w:lineRule="auto"/>
                              <w:ind w:firstLine="0"/>
                              <w:jc w:val="both"/>
                            </w:pPr>
                            <w:r>
                              <w:t>♦</w:t>
                            </w:r>
                          </w:p>
                          <w:p w14:paraId="3F3B069F" w14:textId="77777777" w:rsidR="0072615D" w:rsidRDefault="0072615D">
                            <w:pPr>
                              <w:pStyle w:val="BodyText"/>
                              <w:spacing w:line="240" w:lineRule="auto"/>
                              <w:ind w:firstLine="0"/>
                              <w:jc w:val="both"/>
                            </w:pPr>
                            <w:r>
                              <w:t>♦</w:t>
                            </w:r>
                          </w:p>
                          <w:p w14:paraId="5679CCEA" w14:textId="77777777" w:rsidR="0072615D" w:rsidRDefault="0072615D">
                            <w:pPr>
                              <w:pStyle w:val="BodyText"/>
                              <w:spacing w:line="240" w:lineRule="auto"/>
                              <w:ind w:firstLine="0"/>
                              <w:jc w:val="both"/>
                            </w:pPr>
                            <w:r>
                              <w:t>♦</w:t>
                            </w:r>
                          </w:p>
                          <w:p w14:paraId="19B70DF8" w14:textId="77777777" w:rsidR="0072615D" w:rsidRDefault="0072615D">
                            <w:pPr>
                              <w:pStyle w:val="BodyText"/>
                              <w:spacing w:line="240" w:lineRule="auto"/>
                              <w:ind w:firstLine="0"/>
                              <w:jc w:val="both"/>
                            </w:pPr>
                            <w:r>
                              <w:t>♦</w:t>
                            </w:r>
                          </w:p>
                          <w:p w14:paraId="1E9F9838" w14:textId="77777777" w:rsidR="0072615D" w:rsidRDefault="0072615D">
                            <w:pPr>
                              <w:pStyle w:val="BodyText"/>
                              <w:spacing w:line="240" w:lineRule="auto"/>
                              <w:ind w:firstLine="0"/>
                              <w:jc w:val="both"/>
                            </w:pPr>
                            <w:r>
                              <w:t>♦</w:t>
                            </w:r>
                          </w:p>
                          <w:p w14:paraId="6B9F6DDD" w14:textId="77777777" w:rsidR="0072615D" w:rsidRDefault="0072615D">
                            <w:pPr>
                              <w:pStyle w:val="BodyText"/>
                              <w:spacing w:line="240" w:lineRule="auto"/>
                              <w:ind w:firstLine="0"/>
                              <w:jc w:val="both"/>
                            </w:pPr>
                            <w:r>
                              <w:t>♦</w:t>
                            </w:r>
                          </w:p>
                          <w:p w14:paraId="5E46A91A" w14:textId="77777777" w:rsidR="0072615D" w:rsidRDefault="0072615D">
                            <w:pPr>
                              <w:pStyle w:val="BodyText"/>
                              <w:spacing w:line="240" w:lineRule="auto"/>
                              <w:ind w:firstLine="0"/>
                              <w:jc w:val="both"/>
                            </w:pPr>
                            <w:r>
                              <w:t>♦</w:t>
                            </w:r>
                          </w:p>
                          <w:p w14:paraId="57D220FD" w14:textId="77777777" w:rsidR="0072615D" w:rsidRDefault="0072615D">
                            <w:pPr>
                              <w:pStyle w:val="BodyText"/>
                              <w:spacing w:after="260" w:line="240" w:lineRule="auto"/>
                              <w:ind w:firstLine="0"/>
                              <w:jc w:val="both"/>
                            </w:pPr>
                            <w:r>
                              <w:t>♦</w:t>
                            </w:r>
                          </w:p>
                          <w:p w14:paraId="33485BE2" w14:textId="77777777" w:rsidR="0072615D" w:rsidRDefault="0072615D">
                            <w:pPr>
                              <w:pStyle w:val="BodyText"/>
                              <w:spacing w:line="240" w:lineRule="auto"/>
                              <w:ind w:firstLine="0"/>
                              <w:jc w:val="both"/>
                            </w:pPr>
                            <w:r>
                              <w:t>♦</w:t>
                            </w:r>
                          </w:p>
                        </w:txbxContent>
                      </wps:txbx>
                      <wps:bodyPr lIns="0" tIns="0" rIns="0" bIns="0"/>
                    </wps:wsp>
                  </a:graphicData>
                </a:graphic>
              </wp:anchor>
            </w:drawing>
          </mc:Choice>
          <mc:Fallback>
            <w:pict>
              <v:shape w14:anchorId="1564F3AD" id="Shape 343" o:spid="_x0000_s1049" type="#_x0000_t202" style="position:absolute;left:0;text-align:left;margin-left:56.25pt;margin-top:35pt;width:5.75pt;height:155.5pt;z-index:251682816;visibility:visible;mso-wrap-style:square;mso-wrap-distance-left:9pt;mso-wrap-distance-top:9pt;mso-wrap-distance-right:9pt;mso-wrap-distance-bottom: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" filled="f" stroked="f">
                <v:textbox inset="0,0,0,0">
                  <w:txbxContent>
                    <w:p w14:paraId="0758DC6C" w14:textId="77777777" w:rsidR="0072615D" w:rsidRDefault="0072615D">
                      <w:pPr>
                        <w:pStyle w:val="BodyText"/>
                        <w:spacing w:after="500" w:line="240" w:lineRule="auto"/>
                        <w:ind w:firstLine="0"/>
                        <w:jc w:val="both"/>
                      </w:pPr>
                      <w:r>
                        <w:t>♦</w:t>
                      </w:r>
                    </w:p>
                    <w:p w14:paraId="770CC052" w14:textId="77777777" w:rsidR="0072615D" w:rsidRDefault="0072615D">
                      <w:pPr>
                        <w:pStyle w:val="BodyText"/>
                        <w:spacing w:line="240" w:lineRule="auto"/>
                        <w:ind w:firstLine="0"/>
                        <w:jc w:val="both"/>
                      </w:pPr>
                      <w:r>
                        <w:t>♦</w:t>
                      </w:r>
                    </w:p>
                    <w:p w14:paraId="3F3B069F" w14:textId="77777777" w:rsidR="0072615D" w:rsidRDefault="0072615D">
                      <w:pPr>
                        <w:pStyle w:val="BodyText"/>
                        <w:spacing w:line="240" w:lineRule="auto"/>
                        <w:ind w:firstLine="0"/>
                        <w:jc w:val="both"/>
                      </w:pPr>
                      <w:r>
                        <w:t>♦</w:t>
                      </w:r>
                    </w:p>
                    <w:p w14:paraId="5679CCEA" w14:textId="77777777" w:rsidR="0072615D" w:rsidRDefault="0072615D">
                      <w:pPr>
                        <w:pStyle w:val="BodyText"/>
                        <w:spacing w:line="240" w:lineRule="auto"/>
                        <w:ind w:firstLine="0"/>
                        <w:jc w:val="both"/>
                      </w:pPr>
                      <w:r>
                        <w:t>♦</w:t>
                      </w:r>
                    </w:p>
                    <w:p w14:paraId="19B70DF8" w14:textId="77777777" w:rsidR="0072615D" w:rsidRDefault="0072615D">
                      <w:pPr>
                        <w:pStyle w:val="BodyText"/>
                        <w:spacing w:line="240" w:lineRule="auto"/>
                        <w:ind w:firstLine="0"/>
                        <w:jc w:val="both"/>
                      </w:pPr>
                      <w:r>
                        <w:t>♦</w:t>
                      </w:r>
                    </w:p>
                    <w:p w14:paraId="1E9F9838" w14:textId="77777777" w:rsidR="0072615D" w:rsidRDefault="0072615D">
                      <w:pPr>
                        <w:pStyle w:val="BodyText"/>
                        <w:spacing w:line="240" w:lineRule="auto"/>
                        <w:ind w:firstLine="0"/>
                        <w:jc w:val="both"/>
                      </w:pPr>
                      <w:r>
                        <w:t>♦</w:t>
                      </w:r>
                    </w:p>
                    <w:p w14:paraId="6B9F6DDD" w14:textId="77777777" w:rsidR="0072615D" w:rsidRDefault="0072615D">
                      <w:pPr>
                        <w:pStyle w:val="BodyText"/>
                        <w:spacing w:line="240" w:lineRule="auto"/>
                        <w:ind w:firstLine="0"/>
                        <w:jc w:val="both"/>
                      </w:pPr>
                      <w:r>
                        <w:t>♦</w:t>
                      </w:r>
                    </w:p>
                    <w:p w14:paraId="5E46A91A" w14:textId="77777777" w:rsidR="0072615D" w:rsidRDefault="0072615D">
                      <w:pPr>
                        <w:pStyle w:val="BodyText"/>
                        <w:spacing w:line="240" w:lineRule="auto"/>
                        <w:ind w:firstLine="0"/>
                        <w:jc w:val="both"/>
                      </w:pPr>
                      <w:r>
                        <w:t>♦</w:t>
                      </w:r>
                    </w:p>
                    <w:p w14:paraId="57D220FD" w14:textId="77777777" w:rsidR="0072615D" w:rsidRDefault="0072615D">
                      <w:pPr>
                        <w:pStyle w:val="BodyText"/>
                        <w:spacing w:after="260" w:line="240" w:lineRule="auto"/>
                        <w:ind w:firstLine="0"/>
                        <w:jc w:val="both"/>
                      </w:pPr>
                      <w:r>
                        <w:t>♦</w:t>
                      </w:r>
                    </w:p>
                    <w:p w14:paraId="33485BE2" w14:textId="77777777" w:rsidR="0072615D" w:rsidRDefault="0072615D">
                      <w:pPr>
                        <w:pStyle w:val="BodyText"/>
                        <w:spacing w:line="240" w:lineRule="auto"/>
                        <w:ind w:firstLine="0"/>
                        <w:jc w:val="both"/>
                      </w:pPr>
                      <w:r>
                        <w:t>♦</w:t>
                      </w:r>
                    </w:p>
                  </w:txbxContent>
                </v:textbox>
                <w10:wrap type="square" side="right" anchorx="page"/>
              </v:shape>
            </w:pict>
          </mc:Fallback>
        </mc:AlternateContent>
      </w:r>
      <w:r>
        <w:t>mismo microorganismo. Si no se cuenta con cuartos privados o personales y tampoco es posible el agrupamiento en cohortes, habrá que conservar la separación mínima de 1 m entre otros pacientes y visitantes).</w:t>
      </w:r>
    </w:p>
    <w:p w14:paraId="2D9AA67C" w14:textId="77777777" w:rsidR="0072615D" w:rsidRDefault="0072615D">
      <w:pPr>
        <w:pStyle w:val="BodyText"/>
        <w:ind w:firstLine="0"/>
      </w:pPr>
      <w:r>
        <w:t>Si se está en un radio de 1 m del paciente, utilizar mascarilla.</w:t>
      </w:r>
    </w:p>
    <w:p w14:paraId="20F1B88B" w14:textId="77777777" w:rsidR="0072615D" w:rsidRDefault="0072615D">
      <w:pPr>
        <w:pStyle w:val="BodyText"/>
        <w:ind w:firstLine="0"/>
      </w:pPr>
      <w:r>
        <w:t xml:space="preserve">Entre las enfermedades e infecciones específicas en que se necesita seguir </w:t>
      </w:r>
      <w:r>
        <w:rPr>
          <w:b/>
          <w:bCs/>
        </w:rPr>
        <w:t xml:space="preserve">precauciones contra gotículas </w:t>
      </w:r>
      <w:r>
        <w:t>están:</w:t>
      </w:r>
    </w:p>
    <w:p w14:paraId="744169A2" w14:textId="77777777" w:rsidR="0072615D" w:rsidRDefault="0072615D">
      <w:pPr>
        <w:pStyle w:val="BodyText"/>
        <w:ind w:firstLine="0"/>
      </w:pPr>
      <w:r>
        <w:t>Adenovirus</w:t>
      </w:r>
    </w:p>
    <w:p w14:paraId="0C7E7473" w14:textId="77777777" w:rsidR="0072615D" w:rsidRDefault="0072615D">
      <w:pPr>
        <w:pStyle w:val="BodyText"/>
        <w:ind w:firstLine="0"/>
      </w:pPr>
      <w:r>
        <w:t>Difteria faríngea</w:t>
      </w:r>
    </w:p>
    <w:p w14:paraId="6A461859" w14:textId="77777777" w:rsidR="0072615D" w:rsidRDefault="0072615D">
      <w:pPr>
        <w:pStyle w:val="Bodytext20"/>
        <w:spacing w:line="314" w:lineRule="auto"/>
        <w:rPr>
          <w:sz w:val="19"/>
          <w:szCs w:val="19"/>
        </w:rPr>
      </w:pPr>
      <w:r>
        <w:rPr>
          <w:i/>
          <w:iCs/>
        </w:rPr>
        <w:t>Haemophilus influenzae</w:t>
      </w:r>
      <w:r>
        <w:rPr>
          <w:rFonts w:ascii="Garamond" w:eastAsia="Garamond" w:hAnsi="Garamond" w:cs="Garamond"/>
          <w:sz w:val="19"/>
          <w:szCs w:val="19"/>
        </w:rPr>
        <w:t xml:space="preserve"> tipo b (invasora)</w:t>
      </w:r>
    </w:p>
    <w:p w14:paraId="1E20ED7E" w14:textId="77777777" w:rsidR="0072615D" w:rsidRDefault="0072615D">
      <w:pPr>
        <w:pStyle w:val="BodyText"/>
        <w:ind w:firstLine="0"/>
      </w:pPr>
      <w:r>
        <w:t>Influenza</w:t>
      </w:r>
    </w:p>
    <w:p w14:paraId="7043C879" w14:textId="77777777" w:rsidR="0072615D" w:rsidRDefault="0072615D">
      <w:pPr>
        <w:pStyle w:val="BodyText"/>
        <w:ind w:firstLine="0"/>
      </w:pPr>
      <w:r>
        <w:t>Parotiditis</w:t>
      </w:r>
    </w:p>
    <w:p w14:paraId="736EB1A8" w14:textId="77777777" w:rsidR="0072615D" w:rsidRDefault="0072615D">
      <w:pPr>
        <w:pStyle w:val="Bodytext20"/>
        <w:spacing w:line="314" w:lineRule="auto"/>
      </w:pPr>
      <w:r>
        <w:rPr>
          <w:i/>
          <w:iCs/>
        </w:rPr>
        <w:t>Mycoplasma pneumoniae</w:t>
      </w:r>
    </w:p>
    <w:p w14:paraId="78A262DA" w14:textId="77777777" w:rsidR="0072615D" w:rsidRDefault="0072615D">
      <w:pPr>
        <w:pStyle w:val="Bodytext20"/>
        <w:spacing w:line="314" w:lineRule="auto"/>
        <w:rPr>
          <w:sz w:val="19"/>
          <w:szCs w:val="19"/>
        </w:rPr>
      </w:pPr>
      <w:r>
        <w:rPr>
          <w:i/>
          <w:iCs/>
        </w:rPr>
        <w:t>Neisseria meningititis</w:t>
      </w:r>
      <w:r>
        <w:rPr>
          <w:rFonts w:ascii="Garamond" w:eastAsia="Garamond" w:hAnsi="Garamond" w:cs="Garamond"/>
          <w:sz w:val="19"/>
          <w:szCs w:val="19"/>
        </w:rPr>
        <w:t xml:space="preserve"> (invasora)</w:t>
      </w:r>
    </w:p>
    <w:p w14:paraId="08B749E6" w14:textId="77777777" w:rsidR="0072615D" w:rsidRDefault="0072615D">
      <w:pPr>
        <w:pStyle w:val="BodyText"/>
        <w:ind w:firstLine="0"/>
      </w:pPr>
      <w:r>
        <w:t>Parvovirus B19 (en la fase de enfermedad antes de que surja la erupción en sujetos inmunocompetentes; véase “Parvovirus B19”, sección 3).</w:t>
      </w:r>
    </w:p>
    <w:p w14:paraId="7A9AA40A" w14:textId="77777777" w:rsidR="0072615D" w:rsidRDefault="0072615D">
      <w:pPr>
        <w:pStyle w:val="BodyText"/>
        <w:ind w:firstLine="0"/>
      </w:pPr>
      <w:r>
        <w:t>Tos ferina</w:t>
      </w:r>
    </w:p>
    <w:p w14:paraId="19940946" w14:textId="77777777" w:rsidR="0072615D" w:rsidRDefault="0072615D">
      <w:pPr>
        <w:pStyle w:val="BodyText"/>
        <w:ind w:firstLine="0"/>
      </w:pPr>
      <w:r>
        <w:t>Peste neumónica</w:t>
      </w:r>
    </w:p>
    <w:p w14:paraId="5F347CCC" w14:textId="77777777" w:rsidR="0072615D" w:rsidRDefault="0072615D">
      <w:pPr>
        <w:pStyle w:val="BodyText"/>
        <w:ind w:firstLine="700"/>
      </w:pPr>
      <w:r>
        <w:t>Rubéola</w:t>
      </w:r>
    </w:p>
    <w:p w14:paraId="7BA48B0D" w14:textId="77777777" w:rsidR="0072615D" w:rsidRDefault="0072615D">
      <w:pPr>
        <w:pStyle w:val="BodyText"/>
        <w:ind w:firstLine="700"/>
      </w:pPr>
      <w:r>
        <w:t>Faringitis estreptocócica, neumonía o escarlatina</w:t>
      </w:r>
    </w:p>
    <w:p w14:paraId="727775F8" w14:textId="77777777" w:rsidR="0072615D" w:rsidRDefault="0072615D">
      <w:pPr>
        <w:pStyle w:val="BodyText"/>
        <w:ind w:firstLine="360"/>
      </w:pPr>
      <w:r>
        <w:rPr>
          <w:noProof/>
        </w:rPr>
        <mc:AlternateContent>
          <mc:Choice Requires="wps">
            <w:drawing>
              <wp:anchor distT="0" distB="0" distL="0" distR="0" simplePos="0" relativeHeight="251683840" behindDoc="0" locked="0" layoutInCell="1" allowOverlap="1" wp14:anchorId="5509A722" wp14:editId="6E5DA73A">
                <wp:simplePos x="0" y="0"/>
                <wp:positionH relativeFrom="page">
                  <wp:posOffset>705485</wp:posOffset>
                </wp:positionH>
                <wp:positionV relativeFrom="paragraph">
                  <wp:posOffset>165100</wp:posOffset>
                </wp:positionV>
                <wp:extent cx="4090670" cy="2258695"/>
                <wp:effectExtent l="0" t="0" r="0" b="0"/>
                <wp:wrapTopAndBottom/>
                <wp:docPr id="345" name="Shape 345"/>
                <wp:cNvGraphicFramePr/>
                <a:graphic xmlns:a="http://schemas.openxmlformats.org/drawingml/2006/main">
                  <a:graphicData uri="http://schemas.microsoft.com/office/word/2010/wordprocessingShape">
                    <wps:wsp>
                      <wps:cNvSpPr txBox="1"/>
                      <wps:spPr>
                        <a:xfrm>
                          <a:off x="0" y="0"/>
                          <a:ext cx="4090670" cy="2258695"/>
                        </a:xfrm>
                        <a:prstGeom prst="rect">
                          <a:avLst/>
                        </a:prstGeom>
                        <a:noFill/>
                      </wps:spPr>
                      <wps:txbx>
                        <w:txbxContent>
                          <w:p w14:paraId="7CAE301A" w14:textId="77777777" w:rsidR="0072615D" w:rsidRDefault="0072615D">
                            <w:pPr>
                              <w:pStyle w:val="BodyText"/>
                              <w:ind w:firstLine="0"/>
                            </w:pPr>
                            <w:r>
                              <w:t xml:space="preserve">que se propagan las infecciones que surgen en el medio asistencial. La transmisión por </w:t>
                            </w:r>
                            <w:r>
                              <w:rPr>
                                <w:rFonts w:ascii="Times New Roman" w:eastAsia="Times New Roman" w:hAnsi="Times New Roman" w:cs="Times New Roman"/>
                                <w:i/>
                                <w:iCs/>
                                <w:sz w:val="16"/>
                                <w:szCs w:val="16"/>
                              </w:rPr>
                              <w:t>contacto directo</w:t>
                            </w:r>
                            <w:r>
                              <w:t xml:space="preserve"> entraña el contacto directo entre una superficie corporal con la de otro paciente y la transferencia física de microorganismos entre un hospedador susceptible y una persona infectada o colonizada, como el caso en que el personal asistencial cambia de posición a un paciente, lo baña o hace otras actividades asistenciales que obligan al contacto personal directo. También puede haber transmisión por contacto directo entre dos sujetos cuando uno es la fuente del microorganismo infectante y el otro es el hospedador susceptible. La transmisión por </w:t>
                            </w:r>
                            <w:r>
                              <w:rPr>
                                <w:rFonts w:ascii="Times New Roman" w:eastAsia="Times New Roman" w:hAnsi="Times New Roman" w:cs="Times New Roman"/>
                                <w:i/>
                                <w:iCs/>
                                <w:sz w:val="16"/>
                                <w:szCs w:val="16"/>
                              </w:rPr>
                              <w:t>contacto indirecto</w:t>
                            </w:r>
                            <w:r>
                              <w:t xml:space="preserve"> entraña el contacto de un hospedador susceptible con un objeto intermedio contaminado, por lo común inanimado, como instrumentos, agujas, apósitos, juguetes contaminados, o manos que no han sido limpiadas o guantes que no fueron cambiados entre una y otras sesiones de trabajo. En cuanto a las precauciones para </w:t>
                            </w:r>
                            <w:r>
                              <w:rPr>
                                <w:b/>
                                <w:bCs/>
                              </w:rPr>
                              <w:t>evitar la transmisión por contacto</w:t>
                            </w:r>
                            <w:r>
                              <w:t>, éstas son algunas de las recomendaciones específicas:</w:t>
                            </w:r>
                          </w:p>
                          <w:p w14:paraId="4178490F" w14:textId="77777777" w:rsidR="0072615D" w:rsidRDefault="0072615D">
                            <w:pPr>
                              <w:pStyle w:val="BodyText"/>
                              <w:spacing w:line="226" w:lineRule="auto"/>
                              <w:ind w:firstLine="0"/>
                            </w:pPr>
                            <w:r>
                              <w:t>♦</w:t>
                            </w:r>
                          </w:p>
                        </w:txbxContent>
                      </wps:txbx>
                      <wps:bodyPr lIns="0" tIns="0" rIns="0" bIns="0"/>
                    </wps:wsp>
                  </a:graphicData>
                </a:graphic>
              </wp:anchor>
            </w:drawing>
          </mc:Choice>
          <mc:Fallback>
            <w:pict>
              <v:shape w14:anchorId="5509A722" id="Shape 345" o:spid="_x0000_s1050" type="#_x0000_t202" style="position:absolute;left:0;text-align:left;margin-left:55.55pt;margin-top:13pt;width:322.1pt;height:177.85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" filled="f" stroked="f">
                <v:textbox inset="0,0,0,0">
                  <w:txbxContent>
                    <w:p w14:paraId="7CAE301A" w14:textId="77777777" w:rsidR="0072615D" w:rsidRDefault="0072615D">
                      <w:pPr>
                        <w:pStyle w:val="BodyText"/>
                        <w:ind w:firstLine="0"/>
                      </w:pPr>
                      <w:r>
                        <w:t xml:space="preserve">que se propagan las infecciones que surgen en el medio asistencial. La transmisión por </w:t>
                      </w:r>
                      <w:r>
                        <w:rPr>
                          <w:rFonts w:ascii="Times New Roman" w:eastAsia="Times New Roman" w:hAnsi="Times New Roman" w:cs="Times New Roman"/>
                          <w:i/>
                          <w:iCs/>
                          <w:sz w:val="16"/>
                          <w:szCs w:val="16"/>
                        </w:rPr>
                        <w:t>contacto directo</w:t>
                      </w:r>
                      <w:r>
                        <w:t xml:space="preserve"> entraña el contacto directo entre una superficie corporal con la de otro paciente y la transferencia física de microorganismos entre un hospedador susceptible y una persona infectada o colonizada, como el caso en que el personal asistencial cambia de posición a un paciente, lo baña o hace otras actividades asistenciales que obligan al contacto personal directo. También puede haber transmisión por contacto directo entre dos sujetos cuando uno es la fuente del microorganismo infectante y el otro es el hospedador susceptible. La transmisión por </w:t>
                      </w:r>
                      <w:r>
                        <w:rPr>
                          <w:rFonts w:ascii="Times New Roman" w:eastAsia="Times New Roman" w:hAnsi="Times New Roman" w:cs="Times New Roman"/>
                          <w:i/>
                          <w:iCs/>
                          <w:sz w:val="16"/>
                          <w:szCs w:val="16"/>
                        </w:rPr>
                        <w:t>contacto indirecto</w:t>
                      </w:r>
                      <w:r>
                        <w:t xml:space="preserve"> entraña el contacto de un hospedador susceptible con un objeto intermedio contaminado, por lo común inanimado, como instrumentos, agujas, apósitos, juguetes contaminados, o manos que no han sido limpiadas o guantes que no fueron cambiados entre una y otras sesiones de trabajo. En cuanto a las precauciones para </w:t>
                      </w:r>
                      <w:r>
                        <w:rPr>
                          <w:b/>
                          <w:bCs/>
                        </w:rPr>
                        <w:t>evitar la transmisión por contacto</w:t>
                      </w:r>
                      <w:r>
                        <w:t>, éstas son algunas de las recomendaciones específicas:</w:t>
                      </w:r>
                    </w:p>
                    <w:p w14:paraId="4178490F" w14:textId="77777777" w:rsidR="0072615D" w:rsidRDefault="0072615D">
                      <w:pPr>
                        <w:pStyle w:val="BodyText"/>
                        <w:spacing w:line="226" w:lineRule="auto"/>
                        <w:ind w:firstLine="0"/>
                      </w:pPr>
                      <w:r>
                        <w:t>♦</w:t>
                      </w:r>
                    </w:p>
                  </w:txbxContent>
                </v:textbox>
                <w10:wrap type="topAndBottom" anchorx="page"/>
              </v:shape>
            </w:pict>
          </mc:Fallback>
        </mc:AlternateContent>
      </w:r>
      <w:r>
        <w:rPr>
          <w:shd w:val="clear" w:color="auto" w:fill="FFFFFF"/>
        </w:rPr>
        <w:t xml:space="preserve">La </w:t>
      </w:r>
      <w:r>
        <w:rPr>
          <w:b/>
          <w:bCs/>
          <w:shd w:val="clear" w:color="auto" w:fill="FFFFFF"/>
        </w:rPr>
        <w:t xml:space="preserve">transmisión por contacto </w:t>
      </w:r>
      <w:r>
        <w:rPr>
          <w:shd w:val="clear" w:color="auto" w:fill="FFFFFF"/>
        </w:rPr>
        <w:t>es el mecanismo más importante y frecuente por el</w:t>
      </w:r>
    </w:p>
    <w:p w14:paraId="6BF59BDC" w14:textId="77777777" w:rsidR="0072615D" w:rsidRDefault="0072615D">
      <w:pPr>
        <w:pStyle w:val="BodyText"/>
        <w:ind w:left="700" w:firstLine="0"/>
      </w:pPr>
      <w:r>
        <w:t>Dar al paciente un cuarto privado y personal (si no se cuenta con ellos, agruparlos en cohortes es una medida permisible).</w:t>
      </w:r>
    </w:p>
    <w:p w14:paraId="48692EFF" w14:textId="77777777" w:rsidR="0072615D" w:rsidRDefault="0072615D">
      <w:pPr>
        <w:pStyle w:val="BodyText"/>
        <w:ind w:left="700" w:firstLine="0"/>
      </w:pPr>
      <w:r>
        <w:t>En todo momento se utilizarán guantes (limpios y no estériles). Practicar la higiene manual después de quitarse los guantes. Usar batas salvo que la persona sea continente y no se prevea un contacto intenso de las ropas personales con el paciente o con superficies del entorno. El operador se quitará la bata antes de salir de la estancia o área de los pacientes.</w:t>
      </w:r>
    </w:p>
    <w:p w14:paraId="063CD205" w14:textId="77777777" w:rsidR="0072615D" w:rsidRDefault="0072615D">
      <w:pPr>
        <w:pStyle w:val="BodyText"/>
        <w:ind w:firstLine="360"/>
      </w:pPr>
      <w:r>
        <w:t xml:space="preserve">Las enfermedades e infecciones específicas con gérmenes que obligan a seguir precauciones para </w:t>
      </w:r>
      <w:r>
        <w:rPr>
          <w:b/>
          <w:bCs/>
        </w:rPr>
        <w:t xml:space="preserve">evitar la transmisión por contacto </w:t>
      </w:r>
      <w:r>
        <w:t>incluyen:</w:t>
      </w:r>
    </w:p>
    <w:p w14:paraId="6651B413" w14:textId="77777777" w:rsidR="0072615D" w:rsidRDefault="0072615D">
      <w:pPr>
        <w:pStyle w:val="BodyText"/>
        <w:spacing w:line="276" w:lineRule="auto"/>
        <w:ind w:left="700" w:hanging="340"/>
      </w:pPr>
      <w:r>
        <w:t xml:space="preserve">♦ Bacterias polirresistentes (como los enterococos resistentes a vancomicina; </w:t>
      </w:r>
      <w:r>
        <w:rPr>
          <w:rFonts w:ascii="Times New Roman" w:eastAsia="Times New Roman" w:hAnsi="Times New Roman" w:cs="Times New Roman"/>
          <w:i/>
          <w:iCs/>
          <w:sz w:val="16"/>
          <w:szCs w:val="16"/>
        </w:rPr>
        <w:t>Staphylococcus aureus</w:t>
      </w:r>
      <w:r>
        <w:t xml:space="preserve"> resistente a meticilina; bacilos gramnegativos polirresistentes), que en opinión del programa de erradicación de infecciones con base en las recomendaciones actuales estatales, regionales o nacionales posee importancia clínica y epidemiológica especial</w:t>
      </w:r>
      <w:r>
        <w:br w:type="page"/>
      </w:r>
    </w:p>
    <w:p w14:paraId="677627D3" w14:textId="77777777" w:rsidR="0072615D" w:rsidRDefault="0072615D">
      <w:pPr>
        <w:pStyle w:val="Bodytext20"/>
        <w:spacing w:line="314" w:lineRule="auto"/>
      </w:pPr>
      <w:r>
        <w:rPr>
          <w:noProof/>
        </w:rPr>
        <mc:AlternateContent>
          <mc:Choice Requires="wps">
            <w:drawing>
              <wp:anchor distT="114300" distB="114300" distL="114300" distR="114300" simplePos="0" relativeHeight="251684864" behindDoc="0" locked="0" layoutInCell="1" allowOverlap="1" wp14:anchorId="19E56125" wp14:editId="0FCC92B3">
                <wp:simplePos x="0" y="0"/>
                <wp:positionH relativeFrom="page">
                  <wp:posOffset>713105</wp:posOffset>
                </wp:positionH>
                <wp:positionV relativeFrom="margin">
                  <wp:posOffset>134620</wp:posOffset>
                </wp:positionV>
                <wp:extent cx="73025" cy="2127250"/>
                <wp:effectExtent l="0" t="0" r="0" b="0"/>
                <wp:wrapSquare wrapText="right"/>
                <wp:docPr id="347" name="Shape 347"/>
                <wp:cNvGraphicFramePr/>
                <a:graphic xmlns:a="http://schemas.openxmlformats.org/drawingml/2006/main">
                  <a:graphicData uri="http://schemas.microsoft.com/office/word/2010/wordprocessingShape">
                    <wps:wsp>
                      <wps:cNvSpPr txBox="1"/>
                      <wps:spPr>
                        <a:xfrm>
                          <a:off x="0" y="0"/>
                          <a:ext cx="73025" cy="2127250"/>
                        </a:xfrm>
                        <a:prstGeom prst="rect">
                          <a:avLst/>
                        </a:prstGeom>
                        <a:noFill/>
                      </wps:spPr>
                      <wps:txbx>
                        <w:txbxContent>
                          <w:p w14:paraId="5B32BC73" w14:textId="77777777" w:rsidR="0072615D" w:rsidRDefault="0072615D">
                            <w:pPr>
                              <w:pStyle w:val="BodyText"/>
                              <w:spacing w:line="240" w:lineRule="auto"/>
                              <w:ind w:firstLine="0"/>
                              <w:jc w:val="both"/>
                            </w:pPr>
                            <w:r>
                              <w:t>♦</w:t>
                            </w:r>
                          </w:p>
                          <w:p w14:paraId="44745FAB" w14:textId="77777777" w:rsidR="0072615D" w:rsidRDefault="0072615D">
                            <w:pPr>
                              <w:pStyle w:val="BodyText"/>
                              <w:spacing w:line="240" w:lineRule="auto"/>
                              <w:ind w:firstLine="0"/>
                              <w:jc w:val="both"/>
                            </w:pPr>
                            <w:r>
                              <w:t>♦</w:t>
                            </w:r>
                          </w:p>
                          <w:p w14:paraId="3F86FF6F" w14:textId="77777777" w:rsidR="0072615D" w:rsidRDefault="0072615D">
                            <w:pPr>
                              <w:pStyle w:val="BodyText"/>
                              <w:spacing w:line="240" w:lineRule="auto"/>
                              <w:ind w:firstLine="0"/>
                              <w:jc w:val="both"/>
                            </w:pPr>
                            <w:r>
                              <w:t>♦</w:t>
                            </w:r>
                          </w:p>
                          <w:p w14:paraId="390216C6" w14:textId="77777777" w:rsidR="0072615D" w:rsidRDefault="0072615D">
                            <w:pPr>
                              <w:pStyle w:val="BodyText"/>
                              <w:spacing w:line="240" w:lineRule="auto"/>
                              <w:ind w:firstLine="0"/>
                              <w:jc w:val="both"/>
                            </w:pPr>
                            <w:r>
                              <w:t>♦</w:t>
                            </w:r>
                          </w:p>
                          <w:p w14:paraId="20306E6B" w14:textId="77777777" w:rsidR="0072615D" w:rsidRDefault="0072615D">
                            <w:pPr>
                              <w:pStyle w:val="BodyText"/>
                              <w:spacing w:line="240" w:lineRule="auto"/>
                              <w:ind w:firstLine="0"/>
                              <w:jc w:val="both"/>
                            </w:pPr>
                            <w:r>
                              <w:t>♦</w:t>
                            </w:r>
                          </w:p>
                          <w:p w14:paraId="7D08B318" w14:textId="77777777" w:rsidR="0072615D" w:rsidRDefault="0072615D">
                            <w:pPr>
                              <w:pStyle w:val="BodyText"/>
                              <w:spacing w:line="240" w:lineRule="auto"/>
                              <w:ind w:firstLine="0"/>
                              <w:jc w:val="both"/>
                            </w:pPr>
                            <w:r>
                              <w:t>♦</w:t>
                            </w:r>
                          </w:p>
                          <w:p w14:paraId="51CB90B6" w14:textId="77777777" w:rsidR="0072615D" w:rsidRDefault="0072615D">
                            <w:pPr>
                              <w:pStyle w:val="BodyText"/>
                              <w:spacing w:line="240" w:lineRule="auto"/>
                              <w:ind w:firstLine="0"/>
                              <w:jc w:val="both"/>
                            </w:pPr>
                            <w:r>
                              <w:t>♦</w:t>
                            </w:r>
                          </w:p>
                          <w:p w14:paraId="097B6CAA" w14:textId="77777777" w:rsidR="0072615D" w:rsidRDefault="0072615D">
                            <w:pPr>
                              <w:pStyle w:val="BodyText"/>
                              <w:spacing w:line="240" w:lineRule="auto"/>
                              <w:ind w:firstLine="0"/>
                              <w:jc w:val="both"/>
                            </w:pPr>
                            <w:r>
                              <w:t>♦</w:t>
                            </w:r>
                          </w:p>
                          <w:p w14:paraId="5F04615D" w14:textId="77777777" w:rsidR="0072615D" w:rsidRDefault="0072615D">
                            <w:pPr>
                              <w:pStyle w:val="BodyText"/>
                              <w:spacing w:line="240" w:lineRule="auto"/>
                              <w:ind w:firstLine="0"/>
                              <w:jc w:val="both"/>
                            </w:pPr>
                            <w:r>
                              <w:t>♦</w:t>
                            </w:r>
                          </w:p>
                          <w:p w14:paraId="4618220C" w14:textId="77777777" w:rsidR="0072615D" w:rsidRDefault="0072615D">
                            <w:pPr>
                              <w:pStyle w:val="BodyText"/>
                              <w:spacing w:line="240" w:lineRule="auto"/>
                              <w:ind w:firstLine="0"/>
                              <w:jc w:val="both"/>
                            </w:pPr>
                            <w:r>
                              <w:t>♦</w:t>
                            </w:r>
                          </w:p>
                          <w:p w14:paraId="26DF0A77" w14:textId="77777777" w:rsidR="0072615D" w:rsidRDefault="0072615D">
                            <w:pPr>
                              <w:pStyle w:val="BodyText"/>
                              <w:spacing w:line="240" w:lineRule="auto"/>
                              <w:ind w:firstLine="0"/>
                              <w:jc w:val="both"/>
                            </w:pPr>
                            <w:r>
                              <w:t>♦</w:t>
                            </w:r>
                          </w:p>
                          <w:p w14:paraId="55A1447B" w14:textId="77777777" w:rsidR="0072615D" w:rsidRDefault="0072615D">
                            <w:pPr>
                              <w:pStyle w:val="BodyText"/>
                              <w:spacing w:line="240" w:lineRule="auto"/>
                              <w:ind w:firstLine="0"/>
                              <w:jc w:val="both"/>
                            </w:pPr>
                            <w:r>
                              <w:t>♦</w:t>
                            </w:r>
                          </w:p>
                          <w:p w14:paraId="26CD06F1" w14:textId="77777777" w:rsidR="0072615D" w:rsidRDefault="0072615D">
                            <w:pPr>
                              <w:pStyle w:val="BodyText"/>
                              <w:spacing w:line="240" w:lineRule="auto"/>
                              <w:ind w:firstLine="0"/>
                              <w:jc w:val="both"/>
                            </w:pPr>
                            <w:r>
                              <w:t>♦</w:t>
                            </w:r>
                          </w:p>
                          <w:p w14:paraId="22900061" w14:textId="77777777" w:rsidR="0072615D" w:rsidRDefault="0072615D">
                            <w:pPr>
                              <w:pStyle w:val="BodyText"/>
                              <w:spacing w:line="240" w:lineRule="auto"/>
                              <w:ind w:firstLine="0"/>
                              <w:jc w:val="both"/>
                            </w:pPr>
                            <w:r>
                              <w:t>♦</w:t>
                            </w:r>
                          </w:p>
                        </w:txbxContent>
                      </wps:txbx>
                      <wps:bodyPr lIns="0" tIns="0" rIns="0" bIns="0"/>
                    </wps:wsp>
                  </a:graphicData>
                </a:graphic>
              </wp:anchor>
            </w:drawing>
          </mc:Choice>
          <mc:Fallback>
            <w:pict>
              <v:shape w14:anchorId="19E56125" id="Shape 347" o:spid="_x0000_s1051" type="#_x0000_t202" style="position:absolute;margin-left:56.15pt;margin-top:10.6pt;width:5.75pt;height:167.5pt;z-index:251684864;visibility:visible;mso-wrap-style:square;mso-wrap-distance-left:9pt;mso-wrap-distance-top:9pt;mso-wrap-distance-right:9pt;mso-wrap-distance-bottom:9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" filled="f" stroked="f">
                <v:textbox inset="0,0,0,0">
                  <w:txbxContent>
                    <w:p w14:paraId="5B32BC73" w14:textId="77777777" w:rsidR="0072615D" w:rsidRDefault="0072615D">
                      <w:pPr>
                        <w:pStyle w:val="BodyText"/>
                        <w:spacing w:line="240" w:lineRule="auto"/>
                        <w:ind w:firstLine="0"/>
                        <w:jc w:val="both"/>
                      </w:pPr>
                      <w:r>
                        <w:t>♦</w:t>
                      </w:r>
                    </w:p>
                    <w:p w14:paraId="44745FAB" w14:textId="77777777" w:rsidR="0072615D" w:rsidRDefault="0072615D">
                      <w:pPr>
                        <w:pStyle w:val="BodyText"/>
                        <w:spacing w:line="240" w:lineRule="auto"/>
                        <w:ind w:firstLine="0"/>
                        <w:jc w:val="both"/>
                      </w:pPr>
                      <w:r>
                        <w:t>♦</w:t>
                      </w:r>
                    </w:p>
                    <w:p w14:paraId="3F86FF6F" w14:textId="77777777" w:rsidR="0072615D" w:rsidRDefault="0072615D">
                      <w:pPr>
                        <w:pStyle w:val="BodyText"/>
                        <w:spacing w:line="240" w:lineRule="auto"/>
                        <w:ind w:firstLine="0"/>
                        <w:jc w:val="both"/>
                      </w:pPr>
                      <w:r>
                        <w:t>♦</w:t>
                      </w:r>
                    </w:p>
                    <w:p w14:paraId="390216C6" w14:textId="77777777" w:rsidR="0072615D" w:rsidRDefault="0072615D">
                      <w:pPr>
                        <w:pStyle w:val="BodyText"/>
                        <w:spacing w:line="240" w:lineRule="auto"/>
                        <w:ind w:firstLine="0"/>
                        <w:jc w:val="both"/>
                      </w:pPr>
                      <w:r>
                        <w:t>♦</w:t>
                      </w:r>
                    </w:p>
                    <w:p w14:paraId="20306E6B" w14:textId="77777777" w:rsidR="0072615D" w:rsidRDefault="0072615D">
                      <w:pPr>
                        <w:pStyle w:val="BodyText"/>
                        <w:spacing w:line="240" w:lineRule="auto"/>
                        <w:ind w:firstLine="0"/>
                        <w:jc w:val="both"/>
                      </w:pPr>
                      <w:r>
                        <w:t>♦</w:t>
                      </w:r>
                    </w:p>
                    <w:p w14:paraId="7D08B318" w14:textId="77777777" w:rsidR="0072615D" w:rsidRDefault="0072615D">
                      <w:pPr>
                        <w:pStyle w:val="BodyText"/>
                        <w:spacing w:line="240" w:lineRule="auto"/>
                        <w:ind w:firstLine="0"/>
                        <w:jc w:val="both"/>
                      </w:pPr>
                      <w:r>
                        <w:t>♦</w:t>
                      </w:r>
                    </w:p>
                    <w:p w14:paraId="51CB90B6" w14:textId="77777777" w:rsidR="0072615D" w:rsidRDefault="0072615D">
                      <w:pPr>
                        <w:pStyle w:val="BodyText"/>
                        <w:spacing w:line="240" w:lineRule="auto"/>
                        <w:ind w:firstLine="0"/>
                        <w:jc w:val="both"/>
                      </w:pPr>
                      <w:r>
                        <w:t>♦</w:t>
                      </w:r>
                    </w:p>
                    <w:p w14:paraId="097B6CAA" w14:textId="77777777" w:rsidR="0072615D" w:rsidRDefault="0072615D">
                      <w:pPr>
                        <w:pStyle w:val="BodyText"/>
                        <w:spacing w:line="240" w:lineRule="auto"/>
                        <w:ind w:firstLine="0"/>
                        <w:jc w:val="both"/>
                      </w:pPr>
                      <w:r>
                        <w:t>♦</w:t>
                      </w:r>
                    </w:p>
                    <w:p w14:paraId="5F04615D" w14:textId="77777777" w:rsidR="0072615D" w:rsidRDefault="0072615D">
                      <w:pPr>
                        <w:pStyle w:val="BodyText"/>
                        <w:spacing w:line="240" w:lineRule="auto"/>
                        <w:ind w:firstLine="0"/>
                        <w:jc w:val="both"/>
                      </w:pPr>
                      <w:r>
                        <w:t>♦</w:t>
                      </w:r>
                    </w:p>
                    <w:p w14:paraId="4618220C" w14:textId="77777777" w:rsidR="0072615D" w:rsidRDefault="0072615D">
                      <w:pPr>
                        <w:pStyle w:val="BodyText"/>
                        <w:spacing w:line="240" w:lineRule="auto"/>
                        <w:ind w:firstLine="0"/>
                        <w:jc w:val="both"/>
                      </w:pPr>
                      <w:r>
                        <w:t>♦</w:t>
                      </w:r>
                    </w:p>
                    <w:p w14:paraId="26DF0A77" w14:textId="77777777" w:rsidR="0072615D" w:rsidRDefault="0072615D">
                      <w:pPr>
                        <w:pStyle w:val="BodyText"/>
                        <w:spacing w:line="240" w:lineRule="auto"/>
                        <w:ind w:firstLine="0"/>
                        <w:jc w:val="both"/>
                      </w:pPr>
                      <w:r>
                        <w:t>♦</w:t>
                      </w:r>
                    </w:p>
                    <w:p w14:paraId="55A1447B" w14:textId="77777777" w:rsidR="0072615D" w:rsidRDefault="0072615D">
                      <w:pPr>
                        <w:pStyle w:val="BodyText"/>
                        <w:spacing w:line="240" w:lineRule="auto"/>
                        <w:ind w:firstLine="0"/>
                        <w:jc w:val="both"/>
                      </w:pPr>
                      <w:r>
                        <w:t>♦</w:t>
                      </w:r>
                    </w:p>
                    <w:p w14:paraId="26CD06F1" w14:textId="77777777" w:rsidR="0072615D" w:rsidRDefault="0072615D">
                      <w:pPr>
                        <w:pStyle w:val="BodyText"/>
                        <w:spacing w:line="240" w:lineRule="auto"/>
                        <w:ind w:firstLine="0"/>
                        <w:jc w:val="both"/>
                      </w:pPr>
                      <w:r>
                        <w:t>♦</w:t>
                      </w:r>
                    </w:p>
                    <w:p w14:paraId="22900061" w14:textId="77777777" w:rsidR="0072615D" w:rsidRDefault="0072615D">
                      <w:pPr>
                        <w:pStyle w:val="BodyText"/>
                        <w:spacing w:line="240" w:lineRule="auto"/>
                        <w:ind w:firstLine="0"/>
                        <w:jc w:val="both"/>
                      </w:pPr>
                      <w:r>
                        <w:t>♦</w:t>
                      </w:r>
                    </w:p>
                  </w:txbxContent>
                </v:textbox>
                <w10:wrap type="square" side="right" anchorx="page" anchory="margin"/>
              </v:shape>
            </w:pict>
          </mc:Fallback>
        </mc:AlternateContent>
      </w:r>
      <w:r>
        <w:rPr>
          <w:i/>
          <w:iCs/>
        </w:rPr>
        <w:t>Clostridium difficile</w:t>
      </w:r>
    </w:p>
    <w:p w14:paraId="3AE2AB36" w14:textId="77777777" w:rsidR="0072615D" w:rsidRDefault="0072615D">
      <w:pPr>
        <w:pStyle w:val="BodyText"/>
        <w:ind w:firstLine="0"/>
      </w:pPr>
      <w:r>
        <w:t>Conjuntivitis, vírica y hemorrágica</w:t>
      </w:r>
    </w:p>
    <w:p w14:paraId="24CEFD20" w14:textId="77777777" w:rsidR="0072615D" w:rsidRDefault="0072615D">
      <w:pPr>
        <w:pStyle w:val="BodyText"/>
        <w:ind w:firstLine="0"/>
      </w:pPr>
      <w:r>
        <w:t>Difteria (cutánea)</w:t>
      </w:r>
    </w:p>
    <w:p w14:paraId="33D18B8B" w14:textId="77777777" w:rsidR="0072615D" w:rsidRDefault="0072615D">
      <w:pPr>
        <w:pStyle w:val="BodyText"/>
        <w:ind w:firstLine="0"/>
      </w:pPr>
      <w:r>
        <w:t>Virus de origen intestinal (enterovirus)</w:t>
      </w:r>
    </w:p>
    <w:p w14:paraId="08E321F3" w14:textId="77777777" w:rsidR="0072615D" w:rsidRDefault="0072615D">
      <w:pPr>
        <w:pStyle w:val="BodyText"/>
        <w:ind w:firstLine="0"/>
      </w:pPr>
      <w:r>
        <w:rPr>
          <w:rFonts w:ascii="Times New Roman" w:eastAsia="Times New Roman" w:hAnsi="Times New Roman" w:cs="Times New Roman"/>
          <w:i/>
          <w:iCs/>
          <w:sz w:val="16"/>
          <w:szCs w:val="16"/>
        </w:rPr>
        <w:t>Escherichia coli</w:t>
      </w:r>
      <w:r>
        <w:t xml:space="preserve"> O157:H7 y otros </w:t>
      </w:r>
      <w:r>
        <w:rPr>
          <w:rFonts w:ascii="Times New Roman" w:eastAsia="Times New Roman" w:hAnsi="Times New Roman" w:cs="Times New Roman"/>
          <w:i/>
          <w:iCs/>
          <w:sz w:val="16"/>
          <w:szCs w:val="16"/>
        </w:rPr>
        <w:t>E. coli</w:t>
      </w:r>
      <w:r>
        <w:t xml:space="preserve"> productores de toxina shiga</w:t>
      </w:r>
    </w:p>
    <w:p w14:paraId="0C9A2193" w14:textId="77777777" w:rsidR="0072615D" w:rsidRDefault="0072615D">
      <w:pPr>
        <w:pStyle w:val="BodyText"/>
        <w:ind w:firstLine="0"/>
      </w:pPr>
      <w:r>
        <w:t>Virus de hepatitis A</w:t>
      </w:r>
    </w:p>
    <w:p w14:paraId="1006C405" w14:textId="77777777" w:rsidR="0072615D" w:rsidRDefault="0072615D">
      <w:pPr>
        <w:pStyle w:val="BodyText"/>
        <w:ind w:firstLine="0"/>
      </w:pPr>
      <w:r>
        <w:t>Virus de herpes simple (neonatal, mucocutáneo o cutáneo)</w:t>
      </w:r>
    </w:p>
    <w:p w14:paraId="6E9AAF75" w14:textId="77777777" w:rsidR="0072615D" w:rsidRDefault="0072615D">
      <w:pPr>
        <w:pStyle w:val="BodyText"/>
        <w:ind w:firstLine="0"/>
      </w:pPr>
      <w:r>
        <w:t>Herpes zoster</w:t>
      </w:r>
    </w:p>
    <w:p w14:paraId="3F4A0BD2" w14:textId="77777777" w:rsidR="0072615D" w:rsidRDefault="0072615D">
      <w:pPr>
        <w:pStyle w:val="BodyText"/>
        <w:ind w:firstLine="0"/>
      </w:pPr>
      <w:r>
        <w:t>Impétigo</w:t>
      </w:r>
    </w:p>
    <w:p w14:paraId="16B45BEC" w14:textId="77777777" w:rsidR="0072615D" w:rsidRDefault="0072615D">
      <w:pPr>
        <w:pStyle w:val="BodyText"/>
        <w:ind w:firstLine="0"/>
      </w:pPr>
      <w:r>
        <w:t>Abscesos, celulitis o úlceras por decúbito de gran dimensión (no contenidas) Virus de parainfluenza</w:t>
      </w:r>
    </w:p>
    <w:p w14:paraId="20371E0A" w14:textId="77777777" w:rsidR="0072615D" w:rsidRDefault="0072615D">
      <w:pPr>
        <w:pStyle w:val="BodyText"/>
        <w:ind w:firstLine="0"/>
      </w:pPr>
      <w:r>
        <w:t>Pediculosis (piojos)</w:t>
      </w:r>
    </w:p>
    <w:p w14:paraId="7D882D09" w14:textId="77777777" w:rsidR="0072615D" w:rsidRDefault="0072615D">
      <w:pPr>
        <w:pStyle w:val="BodyText"/>
        <w:ind w:firstLine="0"/>
      </w:pPr>
      <w:r>
        <w:t>Virus sincitial respiratorio</w:t>
      </w:r>
    </w:p>
    <w:p w14:paraId="6C34B671" w14:textId="77777777" w:rsidR="0072615D" w:rsidRDefault="0072615D">
      <w:pPr>
        <w:pStyle w:val="BodyText"/>
        <w:ind w:firstLine="0"/>
      </w:pPr>
      <w:r>
        <w:t>Rotavirus</w:t>
      </w:r>
    </w:p>
    <w:p w14:paraId="3D47F6C6" w14:textId="77777777" w:rsidR="0072615D" w:rsidRDefault="0072615D">
      <w:pPr>
        <w:pStyle w:val="BodyText"/>
        <w:spacing w:line="240" w:lineRule="auto"/>
        <w:ind w:firstLine="0"/>
      </w:pPr>
      <w:r>
        <w:t>Escabiosis</w:t>
      </w:r>
    </w:p>
    <w:p w14:paraId="0CD2EF29" w14:textId="77777777" w:rsidR="0072615D" w:rsidRDefault="0072615D">
      <w:pPr>
        <w:pStyle w:val="Bodytext20"/>
        <w:spacing w:line="314" w:lineRule="auto"/>
        <w:ind w:firstLine="700"/>
      </w:pPr>
      <w:r>
        <w:rPr>
          <w:i/>
          <w:iCs/>
        </w:rPr>
        <w:t>Shigella</w:t>
      </w:r>
    </w:p>
    <w:p w14:paraId="132DBA95" w14:textId="77777777" w:rsidR="0072615D" w:rsidRDefault="0072615D">
      <w:pPr>
        <w:pStyle w:val="BodyText"/>
        <w:ind w:left="700" w:firstLine="0"/>
      </w:pPr>
      <w:r>
        <w:rPr>
          <w:rFonts w:ascii="Times New Roman" w:eastAsia="Times New Roman" w:hAnsi="Times New Roman" w:cs="Times New Roman"/>
          <w:i/>
          <w:iCs/>
          <w:sz w:val="16"/>
          <w:szCs w:val="16"/>
        </w:rPr>
        <w:t>Staphylococcus aureus</w:t>
      </w:r>
      <w:r>
        <w:t xml:space="preserve"> (cutáneo) Fiebres hemorrágicas víricas (Ébola, Lassa o Marburg)</w:t>
      </w:r>
    </w:p>
    <w:p w14:paraId="5C5BB2EE" w14:textId="77777777" w:rsidR="0072615D" w:rsidRDefault="0072615D">
      <w:pPr>
        <w:pStyle w:val="BodyText"/>
        <w:spacing w:after="420"/>
        <w:ind w:firstLine="360"/>
      </w:pPr>
      <w:r>
        <w:t xml:space="preserve">Es posible combinar los tres tipos de precauciones (para evitar la </w:t>
      </w:r>
      <w:r>
        <w:rPr>
          <w:b/>
          <w:bCs/>
        </w:rPr>
        <w:t xml:space="preserve">transmisión aerófora, por gotículas </w:t>
      </w:r>
      <w:r>
        <w:t xml:space="preserve">y </w:t>
      </w:r>
      <w:r>
        <w:rPr>
          <w:b/>
          <w:bCs/>
        </w:rPr>
        <w:t>por contacto</w:t>
      </w:r>
      <w:r>
        <w:t>) en el caso de enfermedades por microorganismos que tienen varias vías de transmisión. Las precauciones basadas en la transmisión, solas o en combinación, se usarán siempre además de las precauciones estándar recomendables en todos los pacientes. En el cuadro 2-8 se indican las especificaciones para estas categorías de precauciones en el aislamiento. El cuadro 2-9 incluye síndromes y cuadros que sugieren infecciones contagiosas y obligan a seguir precauciones empíricas de aislamiento mientras se identifica el patógeno específico. Una vez identificado, en la sección 3 se indican las recomendaciones de aislamiento y el lapso que éste durará conforme al patógeno o enfermedad específicos.</w:t>
      </w:r>
    </w:p>
    <w:p w14:paraId="44EC3545" w14:textId="77777777" w:rsidR="0072615D" w:rsidRDefault="0072615D">
      <w:pPr>
        <w:pStyle w:val="Heading31"/>
        <w:keepNext/>
        <w:keepLines/>
        <w:spacing w:after="60" w:line="211" w:lineRule="auto"/>
        <w:jc w:val="center"/>
      </w:pPr>
      <w:bookmarkStart w:id="467" w:name="bookmark467"/>
      <w:bookmarkStart w:id="468" w:name="bookmark468"/>
      <w:bookmarkStart w:id="469" w:name="bookmark469"/>
      <w:r>
        <w:rPr>
          <w:b w:val="0"/>
          <w:bCs w:val="0"/>
        </w:rPr>
        <w:t xml:space="preserve">Cuadro 2-8. </w:t>
      </w:r>
      <w:r>
        <w:t>Precauciones en pacientes hospitalizados</w:t>
      </w:r>
      <w:r>
        <w:rPr>
          <w:vertAlign w:val="superscript"/>
        </w:rPr>
        <w:t>1</w:t>
      </w:r>
      <w:r>
        <w:rPr>
          <w:vertAlign w:val="superscript"/>
        </w:rPr>
        <w:br/>
      </w:r>
      <w:r>
        <w:t>conforme al tipo de transmisión</w:t>
      </w:r>
      <w:bookmarkEnd w:id="467"/>
      <w:bookmarkEnd w:id="468"/>
      <w:bookmarkEnd w:id="469"/>
    </w:p>
    <w:tbl>
      <w:tblPr>
        <w:tblOverlap w:val="never"/>
        <w:tblW w:w="0" w:type="auto"/>
        <w:jc w:val="center"/>
        <w:tblLayout w:type="fixed"/>
        <w:tblCellMar>
          <w:left w:w="10" w:type="dxa"/>
          <w:right w:w="10" w:type="dxa"/>
        </w:tblCellMar>
        <w:tblLook w:val="04A0" w:firstRow="1" w:lastRow="0" w:firstColumn="1" w:lastColumn="0" w:noHBand="0" w:noVBand="1"/>
      </w:tblPr>
      <w:tblGrid>
        <w:gridCol w:w="1589"/>
        <w:gridCol w:w="1541"/>
        <w:gridCol w:w="1603"/>
        <w:gridCol w:w="859"/>
        <w:gridCol w:w="1248"/>
      </w:tblGrid>
      <w:tr w:rsidR="0072615D" w14:paraId="5B535605" w14:textId="77777777">
        <w:tblPrEx>
          <w:tblCellMar>
            <w:top w:w="0" w:type="dxa"/>
            <w:bottom w:w="0" w:type="dxa"/>
          </w:tblCellMar>
        </w:tblPrEx>
        <w:trPr>
          <w:trHeight w:hRule="exact" w:val="845"/>
          <w:jc w:val="center"/>
        </w:trPr>
        <w:tc>
          <w:tcPr>
            <w:tcW w:w="1589" w:type="dxa"/>
            <w:shd w:val="clear" w:color="auto" w:fill="231F20"/>
          </w:tcPr>
          <w:p w14:paraId="34C4659E"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Categoría de las precauciones</w:t>
            </w:r>
          </w:p>
        </w:tc>
        <w:tc>
          <w:tcPr>
            <w:tcW w:w="1541" w:type="dxa"/>
            <w:shd w:val="clear" w:color="auto" w:fill="231F20"/>
          </w:tcPr>
          <w:p w14:paraId="6D7B382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left="160" w:firstLine="0"/>
              <w:rPr>
                <w:sz w:val="24"/>
                <w:szCs w:val="24"/>
              </w:rPr>
            </w:pPr>
            <w:r>
              <w:rPr>
                <w:rFonts w:ascii="Arial" w:eastAsia="Arial" w:hAnsi="Arial" w:cs="Arial"/>
                <w:b/>
                <w:bCs/>
                <w:color w:val="FFFFFF"/>
                <w:w w:val="70"/>
                <w:sz w:val="24"/>
                <w:szCs w:val="24"/>
              </w:rPr>
              <w:t>Una sola estancia</w:t>
            </w:r>
          </w:p>
        </w:tc>
        <w:tc>
          <w:tcPr>
            <w:tcW w:w="1603" w:type="dxa"/>
            <w:shd w:val="clear" w:color="auto" w:fill="231F20"/>
            <w:vAlign w:val="bottom"/>
          </w:tcPr>
          <w:p w14:paraId="2B266DF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Dispositivos de protección respiratoria</w:t>
            </w:r>
          </w:p>
        </w:tc>
        <w:tc>
          <w:tcPr>
            <w:tcW w:w="859" w:type="dxa"/>
            <w:shd w:val="clear" w:color="auto" w:fill="231F20"/>
          </w:tcPr>
          <w:p w14:paraId="7C5553F3"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Batas</w:t>
            </w:r>
          </w:p>
        </w:tc>
        <w:tc>
          <w:tcPr>
            <w:tcW w:w="1248" w:type="dxa"/>
            <w:shd w:val="clear" w:color="auto" w:fill="231F20"/>
          </w:tcPr>
          <w:p w14:paraId="70828C75"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60"/>
              <w:rPr>
                <w:sz w:val="24"/>
                <w:szCs w:val="24"/>
              </w:rPr>
            </w:pPr>
            <w:r>
              <w:rPr>
                <w:rFonts w:ascii="Arial" w:eastAsia="Arial" w:hAnsi="Arial" w:cs="Arial"/>
                <w:b/>
                <w:bCs/>
                <w:color w:val="FFFFFF"/>
                <w:w w:val="70"/>
                <w:sz w:val="24"/>
                <w:szCs w:val="24"/>
              </w:rPr>
              <w:t>Guantes</w:t>
            </w:r>
          </w:p>
        </w:tc>
      </w:tr>
      <w:tr w:rsidR="0072615D" w14:paraId="7357128D" w14:textId="77777777">
        <w:tblPrEx>
          <w:tblCellMar>
            <w:top w:w="0" w:type="dxa"/>
            <w:bottom w:w="0" w:type="dxa"/>
          </w:tblCellMar>
        </w:tblPrEx>
        <w:trPr>
          <w:trHeight w:hRule="exact" w:val="734"/>
          <w:jc w:val="center"/>
        </w:trPr>
        <w:tc>
          <w:tcPr>
            <w:tcW w:w="1589" w:type="dxa"/>
            <w:shd w:val="clear" w:color="auto" w:fill="FFFFFF"/>
          </w:tcPr>
          <w:p w14:paraId="2717DEDA" w14:textId="77777777" w:rsidR="0072615D" w:rsidRDefault="0072615D">
            <w:pPr>
              <w:pStyle w:val="Other0"/>
              <w:spacing w:before="80" w:line="240" w:lineRule="auto"/>
              <w:ind w:firstLine="0"/>
              <w:rPr>
                <w:sz w:val="16"/>
                <w:szCs w:val="16"/>
              </w:rPr>
            </w:pPr>
            <w:r>
              <w:rPr>
                <w:rFonts w:ascii="Times New Roman" w:eastAsia="Times New Roman" w:hAnsi="Times New Roman" w:cs="Times New Roman"/>
                <w:sz w:val="16"/>
                <w:szCs w:val="16"/>
              </w:rPr>
              <w:t>Vía aerófora</w:t>
            </w:r>
          </w:p>
        </w:tc>
        <w:tc>
          <w:tcPr>
            <w:tcW w:w="1541" w:type="dxa"/>
            <w:shd w:val="clear" w:color="auto" w:fill="FFFFFF"/>
            <w:vAlign w:val="bottom"/>
          </w:tcPr>
          <w:p w14:paraId="59CD0D49" w14:textId="77777777" w:rsidR="0072615D" w:rsidRDefault="0072615D">
            <w:pPr>
              <w:pStyle w:val="Other0"/>
              <w:spacing w:line="283" w:lineRule="auto"/>
              <w:ind w:left="160" w:firstLine="0"/>
              <w:jc w:val="both"/>
              <w:rPr>
                <w:sz w:val="16"/>
                <w:szCs w:val="16"/>
              </w:rPr>
            </w:pPr>
            <w:r>
              <w:rPr>
                <w:rFonts w:ascii="Times New Roman" w:eastAsia="Times New Roman" w:hAnsi="Times New Roman" w:cs="Times New Roman"/>
                <w:sz w:val="16"/>
                <w:szCs w:val="16"/>
              </w:rPr>
              <w:t>Sí, con ventilación de aire a presión negativa</w:t>
            </w:r>
          </w:p>
        </w:tc>
        <w:tc>
          <w:tcPr>
            <w:tcW w:w="1603" w:type="dxa"/>
            <w:shd w:val="clear" w:color="auto" w:fill="FFFFFF"/>
          </w:tcPr>
          <w:p w14:paraId="2A839D49" w14:textId="77777777" w:rsidR="0072615D" w:rsidRDefault="0072615D">
            <w:pPr>
              <w:pStyle w:val="Other0"/>
              <w:spacing w:before="80" w:line="240" w:lineRule="auto"/>
              <w:ind w:firstLine="0"/>
              <w:rPr>
                <w:sz w:val="16"/>
                <w:szCs w:val="16"/>
              </w:rPr>
            </w:pPr>
            <w:r>
              <w:rPr>
                <w:rFonts w:ascii="Times New Roman" w:eastAsia="Times New Roman" w:hAnsi="Times New Roman" w:cs="Times New Roman"/>
                <w:sz w:val="16"/>
                <w:szCs w:val="16"/>
              </w:rPr>
              <w:t>Sí</w:t>
            </w:r>
          </w:p>
        </w:tc>
        <w:tc>
          <w:tcPr>
            <w:tcW w:w="859" w:type="dxa"/>
            <w:shd w:val="clear" w:color="auto" w:fill="FFFFFF"/>
          </w:tcPr>
          <w:p w14:paraId="1635C55A" w14:textId="77777777" w:rsidR="0072615D" w:rsidRDefault="0072615D">
            <w:pPr>
              <w:pStyle w:val="Other0"/>
              <w:spacing w:before="80" w:line="240" w:lineRule="auto"/>
              <w:ind w:firstLine="0"/>
              <w:rPr>
                <w:sz w:val="16"/>
                <w:szCs w:val="16"/>
              </w:rPr>
            </w:pPr>
            <w:r>
              <w:rPr>
                <w:rFonts w:ascii="Times New Roman" w:eastAsia="Times New Roman" w:hAnsi="Times New Roman" w:cs="Times New Roman"/>
                <w:sz w:val="16"/>
                <w:szCs w:val="16"/>
              </w:rPr>
              <w:t>No</w:t>
            </w:r>
            <w:r>
              <w:rPr>
                <w:rFonts w:ascii="Times New Roman" w:eastAsia="Times New Roman" w:hAnsi="Times New Roman" w:cs="Times New Roman"/>
                <w:sz w:val="16"/>
                <w:szCs w:val="16"/>
                <w:vertAlign w:val="superscript"/>
              </w:rPr>
              <w:t>2</w:t>
            </w:r>
          </w:p>
        </w:tc>
        <w:tc>
          <w:tcPr>
            <w:tcW w:w="1248" w:type="dxa"/>
            <w:shd w:val="clear" w:color="auto" w:fill="FFFFFF"/>
          </w:tcPr>
          <w:p w14:paraId="27E0BA48" w14:textId="77777777" w:rsidR="0072615D" w:rsidRDefault="0072615D">
            <w:pPr>
              <w:pStyle w:val="Other0"/>
              <w:spacing w:before="80" w:line="240" w:lineRule="auto"/>
              <w:ind w:firstLine="260"/>
              <w:rPr>
                <w:sz w:val="16"/>
                <w:szCs w:val="16"/>
              </w:rPr>
            </w:pPr>
            <w:r>
              <w:rPr>
                <w:rFonts w:ascii="Times New Roman" w:eastAsia="Times New Roman" w:hAnsi="Times New Roman" w:cs="Times New Roman"/>
                <w:sz w:val="16"/>
                <w:szCs w:val="16"/>
              </w:rPr>
              <w:t>No</w:t>
            </w:r>
            <w:r>
              <w:rPr>
                <w:rFonts w:ascii="Times New Roman" w:eastAsia="Times New Roman" w:hAnsi="Times New Roman" w:cs="Times New Roman"/>
                <w:sz w:val="16"/>
                <w:szCs w:val="16"/>
                <w:vertAlign w:val="superscript"/>
              </w:rPr>
              <w:t>2</w:t>
            </w:r>
          </w:p>
        </w:tc>
      </w:tr>
      <w:tr w:rsidR="0072615D" w14:paraId="2D479CAA" w14:textId="77777777">
        <w:tblPrEx>
          <w:tblCellMar>
            <w:top w:w="0" w:type="dxa"/>
            <w:bottom w:w="0" w:type="dxa"/>
          </w:tblCellMar>
        </w:tblPrEx>
        <w:trPr>
          <w:trHeight w:hRule="exact" w:val="662"/>
          <w:jc w:val="center"/>
        </w:trPr>
        <w:tc>
          <w:tcPr>
            <w:tcW w:w="1589" w:type="dxa"/>
            <w:shd w:val="clear" w:color="auto" w:fill="FFFFFF"/>
          </w:tcPr>
          <w:p w14:paraId="6E6FA67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Gotículas</w:t>
            </w:r>
          </w:p>
        </w:tc>
        <w:tc>
          <w:tcPr>
            <w:tcW w:w="1541" w:type="dxa"/>
            <w:shd w:val="clear" w:color="auto" w:fill="FFFFFF"/>
          </w:tcPr>
          <w:p w14:paraId="4C528EE1" w14:textId="77777777" w:rsidR="0072615D" w:rsidRDefault="0072615D">
            <w:pPr>
              <w:pStyle w:val="Other0"/>
              <w:spacing w:line="240" w:lineRule="auto"/>
              <w:ind w:firstLine="160"/>
              <w:jc w:val="both"/>
              <w:rPr>
                <w:sz w:val="16"/>
                <w:szCs w:val="16"/>
              </w:rPr>
            </w:pPr>
            <w:r>
              <w:rPr>
                <w:rFonts w:ascii="Times New Roman" w:eastAsia="Times New Roman" w:hAnsi="Times New Roman" w:cs="Times New Roman"/>
                <w:sz w:val="16"/>
                <w:szCs w:val="16"/>
              </w:rPr>
              <w:t>Sí</w:t>
            </w:r>
            <w:r>
              <w:rPr>
                <w:rFonts w:ascii="Times New Roman" w:eastAsia="Times New Roman" w:hAnsi="Times New Roman" w:cs="Times New Roman"/>
                <w:sz w:val="16"/>
                <w:szCs w:val="16"/>
                <w:vertAlign w:val="superscript"/>
              </w:rPr>
              <w:t>3</w:t>
            </w:r>
          </w:p>
        </w:tc>
        <w:tc>
          <w:tcPr>
            <w:tcW w:w="1603" w:type="dxa"/>
            <w:shd w:val="clear" w:color="auto" w:fill="FFFFFF"/>
          </w:tcPr>
          <w:p w14:paraId="1640319F" w14:textId="77777777" w:rsidR="0072615D" w:rsidRDefault="0072615D">
            <w:pPr>
              <w:pStyle w:val="Other0"/>
              <w:spacing w:line="283" w:lineRule="auto"/>
              <w:ind w:left="180" w:hanging="180"/>
              <w:rPr>
                <w:sz w:val="16"/>
                <w:szCs w:val="16"/>
              </w:rPr>
            </w:pPr>
            <w:r>
              <w:rPr>
                <w:rFonts w:ascii="Times New Roman" w:eastAsia="Times New Roman" w:hAnsi="Times New Roman" w:cs="Times New Roman"/>
                <w:sz w:val="16"/>
                <w:szCs w:val="16"/>
              </w:rPr>
              <w:t>Sí, mascarillas</w:t>
            </w:r>
            <w:r>
              <w:rPr>
                <w:rFonts w:ascii="Times New Roman" w:eastAsia="Times New Roman" w:hAnsi="Times New Roman" w:cs="Times New Roman"/>
                <w:sz w:val="16"/>
                <w:szCs w:val="16"/>
                <w:vertAlign w:val="superscript"/>
              </w:rPr>
              <w:t>4</w:t>
            </w:r>
            <w:r>
              <w:rPr>
                <w:rFonts w:ascii="Times New Roman" w:eastAsia="Times New Roman" w:hAnsi="Times New Roman" w:cs="Times New Roman"/>
                <w:sz w:val="16"/>
                <w:szCs w:val="16"/>
              </w:rPr>
              <w:t xml:space="preserve"> para personas cercanas al paciente</w:t>
            </w:r>
          </w:p>
        </w:tc>
        <w:tc>
          <w:tcPr>
            <w:tcW w:w="859" w:type="dxa"/>
            <w:shd w:val="clear" w:color="auto" w:fill="FFFFFF"/>
          </w:tcPr>
          <w:p w14:paraId="37BC591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No</w:t>
            </w:r>
            <w:r>
              <w:rPr>
                <w:rFonts w:ascii="Times New Roman" w:eastAsia="Times New Roman" w:hAnsi="Times New Roman" w:cs="Times New Roman"/>
                <w:sz w:val="16"/>
                <w:szCs w:val="16"/>
                <w:vertAlign w:val="superscript"/>
              </w:rPr>
              <w:t>2</w:t>
            </w:r>
          </w:p>
        </w:tc>
        <w:tc>
          <w:tcPr>
            <w:tcW w:w="1248" w:type="dxa"/>
            <w:shd w:val="clear" w:color="auto" w:fill="FFFFFF"/>
          </w:tcPr>
          <w:p w14:paraId="4FB3516D" w14:textId="77777777" w:rsidR="0072615D" w:rsidRDefault="0072615D">
            <w:pPr>
              <w:pStyle w:val="Other0"/>
              <w:spacing w:line="240" w:lineRule="auto"/>
              <w:ind w:firstLine="260"/>
              <w:rPr>
                <w:sz w:val="16"/>
                <w:szCs w:val="16"/>
              </w:rPr>
            </w:pPr>
            <w:r>
              <w:rPr>
                <w:rFonts w:ascii="Times New Roman" w:eastAsia="Times New Roman" w:hAnsi="Times New Roman" w:cs="Times New Roman"/>
                <w:sz w:val="16"/>
                <w:szCs w:val="16"/>
              </w:rPr>
              <w:t>No</w:t>
            </w:r>
            <w:r>
              <w:rPr>
                <w:rFonts w:ascii="Times New Roman" w:eastAsia="Times New Roman" w:hAnsi="Times New Roman" w:cs="Times New Roman"/>
                <w:sz w:val="16"/>
                <w:szCs w:val="16"/>
                <w:vertAlign w:val="superscript"/>
              </w:rPr>
              <w:t>2</w:t>
            </w:r>
          </w:p>
        </w:tc>
      </w:tr>
      <w:tr w:rsidR="0072615D" w14:paraId="2CA0F98A" w14:textId="77777777">
        <w:tblPrEx>
          <w:tblCellMar>
            <w:top w:w="0" w:type="dxa"/>
            <w:bottom w:w="0" w:type="dxa"/>
          </w:tblCellMar>
        </w:tblPrEx>
        <w:trPr>
          <w:trHeight w:hRule="exact" w:val="307"/>
          <w:jc w:val="center"/>
        </w:trPr>
        <w:tc>
          <w:tcPr>
            <w:tcW w:w="1589" w:type="dxa"/>
            <w:tcBorders>
              <w:bottom w:val="single" w:sz="4" w:space="0" w:color="auto"/>
            </w:tcBorders>
            <w:shd w:val="clear" w:color="auto" w:fill="FFFFFF"/>
          </w:tcPr>
          <w:p w14:paraId="2F51E5F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Contacto</w:t>
            </w:r>
          </w:p>
        </w:tc>
        <w:tc>
          <w:tcPr>
            <w:tcW w:w="1541" w:type="dxa"/>
            <w:tcBorders>
              <w:bottom w:val="single" w:sz="4" w:space="0" w:color="auto"/>
            </w:tcBorders>
            <w:shd w:val="clear" w:color="auto" w:fill="FFFFFF"/>
          </w:tcPr>
          <w:p w14:paraId="73F04E7B" w14:textId="77777777" w:rsidR="0072615D" w:rsidRDefault="0072615D">
            <w:pPr>
              <w:pStyle w:val="Other0"/>
              <w:spacing w:line="240" w:lineRule="auto"/>
              <w:ind w:firstLine="160"/>
              <w:jc w:val="both"/>
              <w:rPr>
                <w:sz w:val="16"/>
                <w:szCs w:val="16"/>
              </w:rPr>
            </w:pPr>
            <w:r>
              <w:rPr>
                <w:rFonts w:ascii="Times New Roman" w:eastAsia="Times New Roman" w:hAnsi="Times New Roman" w:cs="Times New Roman"/>
                <w:sz w:val="16"/>
                <w:szCs w:val="16"/>
              </w:rPr>
              <w:t>Sí</w:t>
            </w:r>
            <w:r>
              <w:rPr>
                <w:rFonts w:ascii="Times New Roman" w:eastAsia="Times New Roman" w:hAnsi="Times New Roman" w:cs="Times New Roman"/>
                <w:sz w:val="16"/>
                <w:szCs w:val="16"/>
                <w:vertAlign w:val="superscript"/>
              </w:rPr>
              <w:t>3</w:t>
            </w:r>
          </w:p>
        </w:tc>
        <w:tc>
          <w:tcPr>
            <w:tcW w:w="1603" w:type="dxa"/>
            <w:tcBorders>
              <w:bottom w:val="single" w:sz="4" w:space="0" w:color="auto"/>
            </w:tcBorders>
            <w:shd w:val="clear" w:color="auto" w:fill="FFFFFF"/>
          </w:tcPr>
          <w:p w14:paraId="64FFBA6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No</w:t>
            </w:r>
          </w:p>
        </w:tc>
        <w:tc>
          <w:tcPr>
            <w:tcW w:w="859" w:type="dxa"/>
            <w:tcBorders>
              <w:bottom w:val="single" w:sz="4" w:space="0" w:color="auto"/>
            </w:tcBorders>
            <w:shd w:val="clear" w:color="auto" w:fill="FFFFFF"/>
          </w:tcPr>
          <w:p w14:paraId="419E9C5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w:t>
            </w:r>
          </w:p>
        </w:tc>
        <w:tc>
          <w:tcPr>
            <w:tcW w:w="1248" w:type="dxa"/>
            <w:tcBorders>
              <w:bottom w:val="single" w:sz="4" w:space="0" w:color="auto"/>
            </w:tcBorders>
            <w:shd w:val="clear" w:color="auto" w:fill="FFFFFF"/>
          </w:tcPr>
          <w:p w14:paraId="7CDFB147" w14:textId="77777777" w:rsidR="0072615D" w:rsidRDefault="0072615D">
            <w:pPr>
              <w:pStyle w:val="Other0"/>
              <w:spacing w:line="240" w:lineRule="auto"/>
              <w:ind w:firstLine="260"/>
              <w:rPr>
                <w:sz w:val="16"/>
                <w:szCs w:val="16"/>
              </w:rPr>
            </w:pPr>
            <w:r>
              <w:rPr>
                <w:rFonts w:ascii="Times New Roman" w:eastAsia="Times New Roman" w:hAnsi="Times New Roman" w:cs="Times New Roman"/>
                <w:sz w:val="16"/>
                <w:szCs w:val="16"/>
              </w:rPr>
              <w:t>Sí</w:t>
            </w:r>
          </w:p>
        </w:tc>
      </w:tr>
    </w:tbl>
    <w:p w14:paraId="3691E9A4" w14:textId="77777777" w:rsidR="0072615D" w:rsidRDefault="0072615D">
      <w:pPr>
        <w:pStyle w:val="Tablecaption0"/>
        <w:numPr>
          <w:ilvl w:val="0"/>
          <w:numId w:val="44"/>
        </w:numPr>
        <w:tabs>
          <w:tab w:val="left" w:pos="211"/>
        </w:tabs>
        <w:spacing w:line="254" w:lineRule="auto"/>
        <w:ind w:left="43"/>
      </w:pPr>
      <w:r>
        <w:t xml:space="preserve">Estas recomendaciones se agregan a las de las </w:t>
      </w:r>
      <w:r>
        <w:rPr>
          <w:b/>
          <w:bCs/>
        </w:rPr>
        <w:t xml:space="preserve">Precauciones estándar </w:t>
      </w:r>
      <w:r>
        <w:t>para todos los pacientes.</w:t>
      </w:r>
    </w:p>
    <w:p w14:paraId="16BD0F7F" w14:textId="77777777" w:rsidR="0072615D" w:rsidRDefault="0072615D">
      <w:pPr>
        <w:pStyle w:val="Tablecaption0"/>
        <w:numPr>
          <w:ilvl w:val="0"/>
          <w:numId w:val="44"/>
        </w:numPr>
        <w:tabs>
          <w:tab w:val="left" w:pos="26"/>
        </w:tabs>
        <w:spacing w:line="254" w:lineRule="auto"/>
        <w:ind w:left="43"/>
      </w:pPr>
      <w:r>
        <w:t xml:space="preserve">A veces se necesitan batas y guantes como componente de las </w:t>
      </w:r>
      <w:r>
        <w:rPr>
          <w:b/>
          <w:bCs/>
        </w:rPr>
        <w:t xml:space="preserve">Precauciones estándar </w:t>
      </w:r>
      <w:r>
        <w:t>(p. ej., para la obtención de sangre o durante métodos en que posiblemente haya dispersión de ella).</w:t>
      </w:r>
    </w:p>
    <w:p w14:paraId="6E084996" w14:textId="77777777" w:rsidR="0072615D" w:rsidRDefault="0072615D">
      <w:pPr>
        <w:pStyle w:val="Tablecaption0"/>
        <w:numPr>
          <w:ilvl w:val="0"/>
          <w:numId w:val="44"/>
        </w:numPr>
        <w:tabs>
          <w:tab w:val="left" w:pos="36"/>
        </w:tabs>
        <w:spacing w:line="254" w:lineRule="auto"/>
        <w:ind w:left="43"/>
      </w:pPr>
      <w:r>
        <w:t>Preferible aunque no necesaria. Es necesario agrupar en cohortes a los niños infectados con el mismo patógeno.</w:t>
      </w:r>
    </w:p>
    <w:p w14:paraId="4EFBE026" w14:textId="77777777" w:rsidR="0072615D" w:rsidRDefault="0072615D">
      <w:pPr>
        <w:pStyle w:val="Tablecaption0"/>
        <w:numPr>
          <w:ilvl w:val="0"/>
          <w:numId w:val="44"/>
        </w:numPr>
        <w:tabs>
          <w:tab w:val="left" w:pos="206"/>
        </w:tabs>
        <w:spacing w:line="254" w:lineRule="auto"/>
        <w:ind w:left="43"/>
      </w:pPr>
      <w:r>
        <w:t>Véase el texto.</w:t>
      </w:r>
      <w:r>
        <w:br w:type="page"/>
      </w:r>
    </w:p>
    <w:p w14:paraId="2FD2F7EF" w14:textId="77777777" w:rsidR="0072615D" w:rsidRDefault="0072615D">
      <w:pPr>
        <w:pStyle w:val="Other0"/>
        <w:spacing w:after="80" w:line="216" w:lineRule="auto"/>
        <w:ind w:firstLine="0"/>
        <w:jc w:val="center"/>
        <w:rPr>
          <w:sz w:val="26"/>
          <w:szCs w:val="26"/>
        </w:rPr>
      </w:pPr>
      <w:r>
        <w:rPr>
          <w:rFonts w:ascii="Arial" w:eastAsia="Arial" w:hAnsi="Arial" w:cs="Arial"/>
          <w:w w:val="70"/>
          <w:sz w:val="26"/>
          <w:szCs w:val="26"/>
        </w:rPr>
        <w:t xml:space="preserve">Cuadro 2-9. </w:t>
      </w:r>
      <w:r>
        <w:rPr>
          <w:rFonts w:ascii="Arial" w:eastAsia="Arial" w:hAnsi="Arial" w:cs="Arial"/>
          <w:b/>
          <w:bCs/>
          <w:w w:val="70"/>
          <w:sz w:val="26"/>
          <w:szCs w:val="26"/>
        </w:rPr>
        <w:t>Síndromes clínicos o cuadros que obligan a precauciones</w:t>
      </w:r>
      <w:r>
        <w:rPr>
          <w:rFonts w:ascii="Arial" w:eastAsia="Arial" w:hAnsi="Arial" w:cs="Arial"/>
          <w:b/>
          <w:bCs/>
          <w:w w:val="70"/>
          <w:sz w:val="26"/>
          <w:szCs w:val="26"/>
        </w:rPr>
        <w:br/>
        <w:t>además de las Precauciones estándar para evitar la transmisión</w:t>
      </w:r>
      <w:r>
        <w:rPr>
          <w:rFonts w:ascii="Arial" w:eastAsia="Arial" w:hAnsi="Arial" w:cs="Arial"/>
          <w:b/>
          <w:bCs/>
          <w:w w:val="70"/>
          <w:sz w:val="26"/>
          <w:szCs w:val="26"/>
        </w:rPr>
        <w:br/>
        <w:t>de patógenos epidemiológicamente importantes mientras se confirma</w:t>
      </w:r>
      <w:r>
        <w:rPr>
          <w:rFonts w:ascii="Arial" w:eastAsia="Arial" w:hAnsi="Arial" w:cs="Arial"/>
          <w:b/>
          <w:bCs/>
          <w:w w:val="70"/>
          <w:sz w:val="26"/>
          <w:szCs w:val="26"/>
        </w:rPr>
        <w:br/>
        <w:t>el diagnóstico</w:t>
      </w:r>
      <w:r>
        <w:rPr>
          <w:rFonts w:ascii="Arial" w:eastAsia="Arial" w:hAnsi="Arial" w:cs="Arial"/>
          <w:b/>
          <w:bCs/>
          <w:w w:val="70"/>
          <w:sz w:val="26"/>
          <w:szCs w:val="26"/>
          <w:vertAlign w:val="superscript"/>
        </w:rPr>
        <w:t>1</w:t>
      </w:r>
    </w:p>
    <w:tbl>
      <w:tblPr>
        <w:tblOverlap w:val="never"/>
        <w:tblW w:w="0" w:type="auto"/>
        <w:jc w:val="center"/>
        <w:tblLayout w:type="fixed"/>
        <w:tblCellMar>
          <w:left w:w="10" w:type="dxa"/>
          <w:right w:w="10" w:type="dxa"/>
        </w:tblCellMar>
        <w:tblLook w:val="04A0" w:firstRow="1" w:lastRow="0" w:firstColumn="1" w:lastColumn="0" w:noHBand="0" w:noVBand="1"/>
      </w:tblPr>
      <w:tblGrid>
        <w:gridCol w:w="3168"/>
        <w:gridCol w:w="1886"/>
        <w:gridCol w:w="1704"/>
      </w:tblGrid>
      <w:tr w:rsidR="0072615D" w14:paraId="06800BED" w14:textId="77777777">
        <w:tblPrEx>
          <w:tblCellMar>
            <w:top w:w="0" w:type="dxa"/>
            <w:bottom w:w="0" w:type="dxa"/>
          </w:tblCellMar>
        </w:tblPrEx>
        <w:trPr>
          <w:trHeight w:hRule="exact" w:val="523"/>
          <w:jc w:val="center"/>
        </w:trPr>
        <w:tc>
          <w:tcPr>
            <w:tcW w:w="3168" w:type="dxa"/>
            <w:shd w:val="clear" w:color="auto" w:fill="231F20"/>
          </w:tcPr>
          <w:p w14:paraId="4B7E5567"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8" w:lineRule="auto"/>
              <w:ind w:firstLine="0"/>
              <w:rPr>
                <w:sz w:val="8"/>
                <w:szCs w:val="8"/>
              </w:rPr>
            </w:pPr>
            <w:r>
              <w:rPr>
                <w:rFonts w:ascii="Arial" w:eastAsia="Arial" w:hAnsi="Arial" w:cs="Arial"/>
                <w:b/>
                <w:bCs/>
                <w:color w:val="FFFFFF"/>
                <w:w w:val="70"/>
                <w:sz w:val="24"/>
                <w:szCs w:val="24"/>
              </w:rPr>
              <w:t>Síndrome clínico o cuadro</w:t>
            </w:r>
            <w:r>
              <w:rPr>
                <w:rFonts w:ascii="Times New Roman" w:eastAsia="Times New Roman" w:hAnsi="Times New Roman" w:cs="Times New Roman"/>
                <w:color w:val="FFFFFF"/>
                <w:sz w:val="8"/>
                <w:szCs w:val="8"/>
                <w:vertAlign w:val="superscript"/>
              </w:rPr>
              <w:footnoteReference w:id="53"/>
            </w:r>
            <w:r>
              <w:rPr>
                <w:rFonts w:ascii="Times New Roman" w:eastAsia="Times New Roman" w:hAnsi="Times New Roman" w:cs="Times New Roman"/>
                <w:color w:val="FFFFFF"/>
                <w:sz w:val="8"/>
                <w:szCs w:val="8"/>
                <w:vertAlign w:val="superscript"/>
              </w:rPr>
              <w:t xml:space="preserve"> </w:t>
            </w:r>
            <w:r>
              <w:rPr>
                <w:rFonts w:ascii="Times New Roman" w:eastAsia="Times New Roman" w:hAnsi="Times New Roman" w:cs="Times New Roman"/>
                <w:color w:val="FFFFFF"/>
                <w:sz w:val="8"/>
                <w:szCs w:val="8"/>
                <w:vertAlign w:val="superscript"/>
              </w:rPr>
              <w:footnoteReference w:id="54"/>
            </w:r>
          </w:p>
        </w:tc>
        <w:tc>
          <w:tcPr>
            <w:tcW w:w="1886" w:type="dxa"/>
            <w:shd w:val="clear" w:color="auto" w:fill="231F20"/>
          </w:tcPr>
          <w:p w14:paraId="489F387E"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8" w:lineRule="auto"/>
              <w:ind w:firstLine="0"/>
              <w:rPr>
                <w:sz w:val="8"/>
                <w:szCs w:val="8"/>
              </w:rPr>
            </w:pPr>
            <w:r>
              <w:rPr>
                <w:rFonts w:ascii="Arial" w:eastAsia="Arial" w:hAnsi="Arial" w:cs="Arial"/>
                <w:b/>
                <w:bCs/>
                <w:color w:val="FFFFFF"/>
                <w:w w:val="70"/>
                <w:sz w:val="24"/>
                <w:szCs w:val="24"/>
              </w:rPr>
              <w:t>Patógenos potenciales</w:t>
            </w:r>
            <w:r>
              <w:rPr>
                <w:rFonts w:ascii="Times New Roman" w:eastAsia="Times New Roman" w:hAnsi="Times New Roman" w:cs="Times New Roman"/>
                <w:color w:val="FFFFFF"/>
                <w:sz w:val="8"/>
                <w:szCs w:val="8"/>
                <w:vertAlign w:val="superscript"/>
              </w:rPr>
              <w:footnoteReference w:id="55"/>
            </w:r>
          </w:p>
        </w:tc>
        <w:tc>
          <w:tcPr>
            <w:tcW w:w="1704" w:type="dxa"/>
            <w:shd w:val="clear" w:color="auto" w:fill="231F20"/>
          </w:tcPr>
          <w:p w14:paraId="1F471F1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21" w:lineRule="auto"/>
              <w:ind w:firstLine="0"/>
              <w:rPr>
                <w:sz w:val="8"/>
                <w:szCs w:val="8"/>
              </w:rPr>
            </w:pPr>
            <w:r>
              <w:rPr>
                <w:rFonts w:ascii="Arial" w:eastAsia="Arial" w:hAnsi="Arial" w:cs="Arial"/>
                <w:b/>
                <w:bCs/>
                <w:color w:val="FFFFFF"/>
                <w:w w:val="70"/>
                <w:sz w:val="24"/>
                <w:szCs w:val="24"/>
              </w:rPr>
              <w:t>Precauciones empíricas</w:t>
            </w:r>
            <w:r>
              <w:rPr>
                <w:rFonts w:ascii="Times New Roman" w:eastAsia="Times New Roman" w:hAnsi="Times New Roman" w:cs="Times New Roman"/>
                <w:color w:val="FFFFFF"/>
                <w:sz w:val="8"/>
                <w:szCs w:val="8"/>
                <w:vertAlign w:val="superscript"/>
              </w:rPr>
              <w:footnoteReference w:id="56"/>
            </w:r>
          </w:p>
        </w:tc>
      </w:tr>
      <w:tr w:rsidR="0072615D" w14:paraId="7B6745FB" w14:textId="77777777">
        <w:tblPrEx>
          <w:tblCellMar>
            <w:top w:w="0" w:type="dxa"/>
            <w:bottom w:w="0" w:type="dxa"/>
          </w:tblCellMar>
        </w:tblPrEx>
        <w:trPr>
          <w:trHeight w:hRule="exact" w:val="274"/>
          <w:jc w:val="center"/>
        </w:trPr>
        <w:tc>
          <w:tcPr>
            <w:tcW w:w="3168" w:type="dxa"/>
            <w:shd w:val="clear" w:color="auto" w:fill="FFFFFF"/>
            <w:vAlign w:val="bottom"/>
          </w:tcPr>
          <w:p w14:paraId="79562569"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Diarrea</w:t>
            </w:r>
          </w:p>
        </w:tc>
        <w:tc>
          <w:tcPr>
            <w:tcW w:w="1886" w:type="dxa"/>
            <w:shd w:val="clear" w:color="auto" w:fill="FFFFFF"/>
          </w:tcPr>
          <w:p w14:paraId="78E634B0" w14:textId="77777777" w:rsidR="0072615D" w:rsidRDefault="0072615D">
            <w:pPr>
              <w:rPr>
                <w:sz w:val="10"/>
                <w:szCs w:val="10"/>
              </w:rPr>
            </w:pPr>
          </w:p>
        </w:tc>
        <w:tc>
          <w:tcPr>
            <w:tcW w:w="1704" w:type="dxa"/>
            <w:shd w:val="clear" w:color="auto" w:fill="FFFFFF"/>
          </w:tcPr>
          <w:p w14:paraId="32803468" w14:textId="77777777" w:rsidR="0072615D" w:rsidRDefault="0072615D">
            <w:pPr>
              <w:rPr>
                <w:sz w:val="10"/>
                <w:szCs w:val="10"/>
              </w:rPr>
            </w:pPr>
          </w:p>
        </w:tc>
      </w:tr>
      <w:tr w:rsidR="0072615D" w14:paraId="675B6F59" w14:textId="77777777">
        <w:tblPrEx>
          <w:tblCellMar>
            <w:top w:w="0" w:type="dxa"/>
            <w:bottom w:w="0" w:type="dxa"/>
          </w:tblCellMar>
        </w:tblPrEx>
        <w:trPr>
          <w:trHeight w:hRule="exact" w:val="240"/>
          <w:jc w:val="center"/>
        </w:trPr>
        <w:tc>
          <w:tcPr>
            <w:tcW w:w="3168" w:type="dxa"/>
            <w:shd w:val="clear" w:color="auto" w:fill="FFFFFF"/>
            <w:vAlign w:val="bottom"/>
          </w:tcPr>
          <w:p w14:paraId="43F4A3F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Diarrea aguda de posible origen infeccioso</w:t>
            </w:r>
          </w:p>
        </w:tc>
        <w:tc>
          <w:tcPr>
            <w:tcW w:w="1886" w:type="dxa"/>
            <w:shd w:val="clear" w:color="auto" w:fill="FFFFFF"/>
            <w:vAlign w:val="bottom"/>
          </w:tcPr>
          <w:p w14:paraId="1B434F9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Patógenos intestinales</w:t>
            </w:r>
            <w:r>
              <w:rPr>
                <w:rFonts w:ascii="Times New Roman" w:eastAsia="Times New Roman" w:hAnsi="Times New Roman" w:cs="Times New Roman"/>
                <w:sz w:val="16"/>
                <w:szCs w:val="16"/>
                <w:vertAlign w:val="superscript"/>
              </w:rPr>
              <w:footnoteReference w:id="57"/>
            </w:r>
          </w:p>
        </w:tc>
        <w:tc>
          <w:tcPr>
            <w:tcW w:w="1704" w:type="dxa"/>
            <w:shd w:val="clear" w:color="auto" w:fill="FFFFFF"/>
            <w:vAlign w:val="bottom"/>
          </w:tcPr>
          <w:p w14:paraId="005210C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Contacto</w:t>
            </w:r>
          </w:p>
        </w:tc>
      </w:tr>
      <w:tr w:rsidR="0072615D" w14:paraId="6E9F8F38" w14:textId="77777777">
        <w:tblPrEx>
          <w:tblCellMar>
            <w:top w:w="0" w:type="dxa"/>
            <w:bottom w:w="0" w:type="dxa"/>
          </w:tblCellMar>
        </w:tblPrEx>
        <w:trPr>
          <w:trHeight w:hRule="exact" w:val="202"/>
          <w:jc w:val="center"/>
        </w:trPr>
        <w:tc>
          <w:tcPr>
            <w:tcW w:w="3168" w:type="dxa"/>
            <w:shd w:val="clear" w:color="auto" w:fill="FFFFFF"/>
          </w:tcPr>
          <w:p w14:paraId="39CB923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Diarrea en un niño con el antecedente</w:t>
            </w:r>
          </w:p>
        </w:tc>
        <w:tc>
          <w:tcPr>
            <w:tcW w:w="1886" w:type="dxa"/>
            <w:shd w:val="clear" w:color="auto" w:fill="FFFFFF"/>
          </w:tcPr>
          <w:p w14:paraId="51B5D50C"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Clostridium difficile</w:t>
            </w:r>
          </w:p>
        </w:tc>
        <w:tc>
          <w:tcPr>
            <w:tcW w:w="1704" w:type="dxa"/>
            <w:shd w:val="clear" w:color="auto" w:fill="FFFFFF"/>
          </w:tcPr>
          <w:p w14:paraId="47BB119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Contacto</w:t>
            </w:r>
          </w:p>
        </w:tc>
      </w:tr>
      <w:tr w:rsidR="0072615D" w14:paraId="45FE4729" w14:textId="77777777">
        <w:tblPrEx>
          <w:tblCellMar>
            <w:top w:w="0" w:type="dxa"/>
            <w:bottom w:w="0" w:type="dxa"/>
          </w:tblCellMar>
        </w:tblPrEx>
        <w:trPr>
          <w:trHeight w:hRule="exact" w:val="211"/>
          <w:jc w:val="center"/>
        </w:trPr>
        <w:tc>
          <w:tcPr>
            <w:tcW w:w="3168" w:type="dxa"/>
            <w:shd w:val="clear" w:color="auto" w:fill="FFFFFF"/>
          </w:tcPr>
          <w:p w14:paraId="7A4659B7"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reciente de uso de antimicrobianos</w:t>
            </w:r>
          </w:p>
        </w:tc>
        <w:tc>
          <w:tcPr>
            <w:tcW w:w="1886" w:type="dxa"/>
            <w:shd w:val="clear" w:color="auto" w:fill="FFFFFF"/>
          </w:tcPr>
          <w:p w14:paraId="77ECC3C7" w14:textId="77777777" w:rsidR="0072615D" w:rsidRDefault="0072615D">
            <w:pPr>
              <w:rPr>
                <w:sz w:val="10"/>
                <w:szCs w:val="10"/>
              </w:rPr>
            </w:pPr>
          </w:p>
        </w:tc>
        <w:tc>
          <w:tcPr>
            <w:tcW w:w="1704" w:type="dxa"/>
            <w:shd w:val="clear" w:color="auto" w:fill="FFFFFF"/>
          </w:tcPr>
          <w:p w14:paraId="511FA4B3" w14:textId="77777777" w:rsidR="0072615D" w:rsidRDefault="0072615D">
            <w:pPr>
              <w:rPr>
                <w:sz w:val="10"/>
                <w:szCs w:val="10"/>
              </w:rPr>
            </w:pPr>
          </w:p>
        </w:tc>
      </w:tr>
      <w:tr w:rsidR="0072615D" w14:paraId="188740F0" w14:textId="77777777">
        <w:tblPrEx>
          <w:tblCellMar>
            <w:top w:w="0" w:type="dxa"/>
            <w:bottom w:w="0" w:type="dxa"/>
          </w:tblCellMar>
        </w:tblPrEx>
        <w:trPr>
          <w:trHeight w:hRule="exact" w:val="240"/>
          <w:jc w:val="center"/>
        </w:trPr>
        <w:tc>
          <w:tcPr>
            <w:tcW w:w="3168" w:type="dxa"/>
            <w:shd w:val="clear" w:color="auto" w:fill="FFFFFF"/>
            <w:vAlign w:val="bottom"/>
          </w:tcPr>
          <w:p w14:paraId="46FCCB75"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Meningitis</w:t>
            </w:r>
          </w:p>
        </w:tc>
        <w:tc>
          <w:tcPr>
            <w:tcW w:w="1886" w:type="dxa"/>
            <w:shd w:val="clear" w:color="auto" w:fill="FFFFFF"/>
            <w:vAlign w:val="bottom"/>
          </w:tcPr>
          <w:p w14:paraId="6B161FFE"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Neisseria meningitidis</w:t>
            </w:r>
          </w:p>
        </w:tc>
        <w:tc>
          <w:tcPr>
            <w:tcW w:w="1704" w:type="dxa"/>
            <w:shd w:val="clear" w:color="auto" w:fill="FFFFFF"/>
            <w:vAlign w:val="bottom"/>
          </w:tcPr>
          <w:p w14:paraId="4AD640F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Gotículas</w:t>
            </w:r>
          </w:p>
        </w:tc>
      </w:tr>
      <w:tr w:rsidR="0072615D" w14:paraId="6756470F" w14:textId="77777777">
        <w:tblPrEx>
          <w:tblCellMar>
            <w:top w:w="0" w:type="dxa"/>
            <w:bottom w:w="0" w:type="dxa"/>
          </w:tblCellMar>
        </w:tblPrEx>
        <w:trPr>
          <w:trHeight w:hRule="exact" w:val="216"/>
          <w:jc w:val="center"/>
        </w:trPr>
        <w:tc>
          <w:tcPr>
            <w:tcW w:w="3168" w:type="dxa"/>
            <w:shd w:val="clear" w:color="auto" w:fill="FFFFFF"/>
          </w:tcPr>
          <w:p w14:paraId="17D2FEAC"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 xml:space="preserve">Erupciones </w:t>
            </w:r>
            <w:r>
              <w:rPr>
                <w:rFonts w:ascii="Times New Roman" w:eastAsia="Times New Roman" w:hAnsi="Times New Roman" w:cs="Times New Roman"/>
                <w:sz w:val="16"/>
                <w:szCs w:val="16"/>
              </w:rPr>
              <w:t>o exantemas, generalizadas,</w:t>
            </w:r>
          </w:p>
        </w:tc>
        <w:tc>
          <w:tcPr>
            <w:tcW w:w="1886" w:type="dxa"/>
            <w:shd w:val="clear" w:color="auto" w:fill="FFFFFF"/>
          </w:tcPr>
          <w:p w14:paraId="1480CAE7" w14:textId="77777777" w:rsidR="0072615D" w:rsidRDefault="0072615D">
            <w:pPr>
              <w:rPr>
                <w:sz w:val="10"/>
                <w:szCs w:val="10"/>
              </w:rPr>
            </w:pPr>
          </w:p>
        </w:tc>
        <w:tc>
          <w:tcPr>
            <w:tcW w:w="1704" w:type="dxa"/>
            <w:shd w:val="clear" w:color="auto" w:fill="FFFFFF"/>
          </w:tcPr>
          <w:p w14:paraId="2BF4BF29" w14:textId="77777777" w:rsidR="0072615D" w:rsidRDefault="0072615D">
            <w:pPr>
              <w:rPr>
                <w:sz w:val="10"/>
                <w:szCs w:val="10"/>
              </w:rPr>
            </w:pPr>
          </w:p>
        </w:tc>
      </w:tr>
      <w:tr w:rsidR="0072615D" w14:paraId="3D041DC4" w14:textId="77777777">
        <w:tblPrEx>
          <w:tblCellMar>
            <w:top w:w="0" w:type="dxa"/>
            <w:bottom w:w="0" w:type="dxa"/>
          </w:tblCellMar>
        </w:tblPrEx>
        <w:trPr>
          <w:trHeight w:hRule="exact" w:val="211"/>
          <w:jc w:val="center"/>
        </w:trPr>
        <w:tc>
          <w:tcPr>
            <w:tcW w:w="3168" w:type="dxa"/>
            <w:shd w:val="clear" w:color="auto" w:fill="FFFFFF"/>
            <w:vAlign w:val="bottom"/>
          </w:tcPr>
          <w:p w14:paraId="73F0E90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de origen desconocido</w:t>
            </w:r>
          </w:p>
        </w:tc>
        <w:tc>
          <w:tcPr>
            <w:tcW w:w="1886" w:type="dxa"/>
            <w:shd w:val="clear" w:color="auto" w:fill="FFFFFF"/>
          </w:tcPr>
          <w:p w14:paraId="7C27D467" w14:textId="77777777" w:rsidR="0072615D" w:rsidRDefault="0072615D">
            <w:pPr>
              <w:rPr>
                <w:sz w:val="10"/>
                <w:szCs w:val="10"/>
              </w:rPr>
            </w:pPr>
          </w:p>
        </w:tc>
        <w:tc>
          <w:tcPr>
            <w:tcW w:w="1704" w:type="dxa"/>
            <w:shd w:val="clear" w:color="auto" w:fill="FFFFFF"/>
          </w:tcPr>
          <w:p w14:paraId="1F0C7C2A" w14:textId="77777777" w:rsidR="0072615D" w:rsidRDefault="0072615D">
            <w:pPr>
              <w:rPr>
                <w:sz w:val="10"/>
                <w:szCs w:val="10"/>
              </w:rPr>
            </w:pPr>
          </w:p>
        </w:tc>
      </w:tr>
      <w:tr w:rsidR="0072615D" w14:paraId="7A0865E7" w14:textId="77777777">
        <w:tblPrEx>
          <w:tblCellMar>
            <w:top w:w="0" w:type="dxa"/>
            <w:bottom w:w="0" w:type="dxa"/>
          </w:tblCellMar>
        </w:tblPrEx>
        <w:trPr>
          <w:trHeight w:hRule="exact" w:val="216"/>
          <w:jc w:val="center"/>
        </w:trPr>
        <w:tc>
          <w:tcPr>
            <w:tcW w:w="3168" w:type="dxa"/>
            <w:shd w:val="clear" w:color="auto" w:fill="FFFFFF"/>
          </w:tcPr>
          <w:p w14:paraId="61F6BF1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Petequias o equimosis con fiebre</w:t>
            </w:r>
          </w:p>
        </w:tc>
        <w:tc>
          <w:tcPr>
            <w:tcW w:w="1886" w:type="dxa"/>
            <w:shd w:val="clear" w:color="auto" w:fill="FFFFFF"/>
          </w:tcPr>
          <w:p w14:paraId="520ED6B6"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N. meningitidis</w:t>
            </w:r>
          </w:p>
        </w:tc>
        <w:tc>
          <w:tcPr>
            <w:tcW w:w="1704" w:type="dxa"/>
            <w:shd w:val="clear" w:color="auto" w:fill="FFFFFF"/>
          </w:tcPr>
          <w:p w14:paraId="1E4FE4C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Gotículas</w:t>
            </w:r>
          </w:p>
        </w:tc>
      </w:tr>
      <w:tr w:rsidR="0072615D" w14:paraId="622C2575" w14:textId="77777777">
        <w:tblPrEx>
          <w:tblCellMar>
            <w:top w:w="0" w:type="dxa"/>
            <w:bottom w:w="0" w:type="dxa"/>
          </w:tblCellMar>
        </w:tblPrEx>
        <w:trPr>
          <w:trHeight w:hRule="exact" w:val="202"/>
          <w:jc w:val="center"/>
        </w:trPr>
        <w:tc>
          <w:tcPr>
            <w:tcW w:w="3168" w:type="dxa"/>
            <w:shd w:val="clear" w:color="auto" w:fill="FFFFFF"/>
          </w:tcPr>
          <w:p w14:paraId="2F3A574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Vesículas</w:t>
            </w:r>
          </w:p>
        </w:tc>
        <w:tc>
          <w:tcPr>
            <w:tcW w:w="1886" w:type="dxa"/>
            <w:shd w:val="clear" w:color="auto" w:fill="FFFFFF"/>
          </w:tcPr>
          <w:p w14:paraId="6C337BD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varicela</w:t>
            </w:r>
          </w:p>
        </w:tc>
        <w:tc>
          <w:tcPr>
            <w:tcW w:w="1704" w:type="dxa"/>
            <w:shd w:val="clear" w:color="auto" w:fill="FFFFFF"/>
          </w:tcPr>
          <w:p w14:paraId="0E22A54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Aeróforas y por contacto</w:t>
            </w:r>
          </w:p>
        </w:tc>
      </w:tr>
      <w:tr w:rsidR="0072615D" w14:paraId="41918B4E" w14:textId="77777777">
        <w:tblPrEx>
          <w:tblCellMar>
            <w:top w:w="0" w:type="dxa"/>
            <w:bottom w:w="0" w:type="dxa"/>
          </w:tblCellMar>
        </w:tblPrEx>
        <w:trPr>
          <w:trHeight w:hRule="exact" w:val="230"/>
          <w:jc w:val="center"/>
        </w:trPr>
        <w:tc>
          <w:tcPr>
            <w:tcW w:w="3168" w:type="dxa"/>
            <w:shd w:val="clear" w:color="auto" w:fill="FFFFFF"/>
            <w:vAlign w:val="bottom"/>
          </w:tcPr>
          <w:p w14:paraId="52A5D2F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Maculopápulas con coriza y fiebre</w:t>
            </w:r>
          </w:p>
        </w:tc>
        <w:tc>
          <w:tcPr>
            <w:tcW w:w="1886" w:type="dxa"/>
            <w:shd w:val="clear" w:color="auto" w:fill="FFFFFF"/>
            <w:vAlign w:val="bottom"/>
          </w:tcPr>
          <w:p w14:paraId="3E9B494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sarampión</w:t>
            </w:r>
          </w:p>
        </w:tc>
        <w:tc>
          <w:tcPr>
            <w:tcW w:w="1704" w:type="dxa"/>
            <w:shd w:val="clear" w:color="auto" w:fill="FFFFFF"/>
            <w:vAlign w:val="bottom"/>
          </w:tcPr>
          <w:p w14:paraId="6657638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Aeróforas</w:t>
            </w:r>
          </w:p>
        </w:tc>
      </w:tr>
      <w:tr w:rsidR="0072615D" w14:paraId="1A744B03" w14:textId="77777777">
        <w:tblPrEx>
          <w:tblCellMar>
            <w:top w:w="0" w:type="dxa"/>
            <w:bottom w:w="0" w:type="dxa"/>
          </w:tblCellMar>
        </w:tblPrEx>
        <w:trPr>
          <w:trHeight w:hRule="exact" w:val="216"/>
          <w:jc w:val="center"/>
        </w:trPr>
        <w:tc>
          <w:tcPr>
            <w:tcW w:w="3168" w:type="dxa"/>
            <w:shd w:val="clear" w:color="auto" w:fill="FFFFFF"/>
            <w:vAlign w:val="bottom"/>
          </w:tcPr>
          <w:p w14:paraId="079A0CB3"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Infecciones de vías respiratorias</w:t>
            </w:r>
          </w:p>
        </w:tc>
        <w:tc>
          <w:tcPr>
            <w:tcW w:w="1886" w:type="dxa"/>
            <w:shd w:val="clear" w:color="auto" w:fill="FFFFFF"/>
          </w:tcPr>
          <w:p w14:paraId="3BE5EEF1" w14:textId="77777777" w:rsidR="0072615D" w:rsidRDefault="0072615D">
            <w:pPr>
              <w:rPr>
                <w:sz w:val="10"/>
                <w:szCs w:val="10"/>
              </w:rPr>
            </w:pPr>
          </w:p>
        </w:tc>
        <w:tc>
          <w:tcPr>
            <w:tcW w:w="1704" w:type="dxa"/>
            <w:shd w:val="clear" w:color="auto" w:fill="FFFFFF"/>
          </w:tcPr>
          <w:p w14:paraId="7F0C6B10" w14:textId="77777777" w:rsidR="0072615D" w:rsidRDefault="0072615D">
            <w:pPr>
              <w:rPr>
                <w:sz w:val="10"/>
                <w:szCs w:val="10"/>
              </w:rPr>
            </w:pPr>
          </w:p>
        </w:tc>
      </w:tr>
      <w:tr w:rsidR="0072615D" w14:paraId="191AA081" w14:textId="77777777">
        <w:tblPrEx>
          <w:tblCellMar>
            <w:top w:w="0" w:type="dxa"/>
            <w:bottom w:w="0" w:type="dxa"/>
          </w:tblCellMar>
        </w:tblPrEx>
        <w:trPr>
          <w:trHeight w:hRule="exact" w:val="211"/>
          <w:jc w:val="center"/>
        </w:trPr>
        <w:tc>
          <w:tcPr>
            <w:tcW w:w="3168" w:type="dxa"/>
            <w:shd w:val="clear" w:color="auto" w:fill="FFFFFF"/>
          </w:tcPr>
          <w:p w14:paraId="7A6E71D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Enfermedad cavitaria pulmonar</w:t>
            </w:r>
          </w:p>
        </w:tc>
        <w:tc>
          <w:tcPr>
            <w:tcW w:w="1886" w:type="dxa"/>
            <w:shd w:val="clear" w:color="auto" w:fill="FFFFFF"/>
          </w:tcPr>
          <w:p w14:paraId="7A12A823"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Mycobacterium tuberculosis</w:t>
            </w:r>
          </w:p>
        </w:tc>
        <w:tc>
          <w:tcPr>
            <w:tcW w:w="1704" w:type="dxa"/>
            <w:shd w:val="clear" w:color="auto" w:fill="FFFFFF"/>
          </w:tcPr>
          <w:p w14:paraId="38C92EF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Aeróforas</w:t>
            </w:r>
          </w:p>
        </w:tc>
      </w:tr>
      <w:tr w:rsidR="0072615D" w14:paraId="254E65E0" w14:textId="77777777">
        <w:tblPrEx>
          <w:tblCellMar>
            <w:top w:w="0" w:type="dxa"/>
            <w:bottom w:w="0" w:type="dxa"/>
          </w:tblCellMar>
        </w:tblPrEx>
        <w:trPr>
          <w:trHeight w:hRule="exact" w:val="221"/>
          <w:jc w:val="center"/>
        </w:trPr>
        <w:tc>
          <w:tcPr>
            <w:tcW w:w="3168" w:type="dxa"/>
            <w:shd w:val="clear" w:color="auto" w:fill="FFFFFF"/>
          </w:tcPr>
          <w:p w14:paraId="2D8C3D3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Tos paroxística o persistente intensa en</w:t>
            </w:r>
          </w:p>
        </w:tc>
        <w:tc>
          <w:tcPr>
            <w:tcW w:w="1886" w:type="dxa"/>
            <w:shd w:val="clear" w:color="auto" w:fill="FFFFFF"/>
          </w:tcPr>
          <w:p w14:paraId="78165F31"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Bordetella pertussis</w:t>
            </w:r>
          </w:p>
        </w:tc>
        <w:tc>
          <w:tcPr>
            <w:tcW w:w="1704" w:type="dxa"/>
            <w:shd w:val="clear" w:color="auto" w:fill="FFFFFF"/>
          </w:tcPr>
          <w:p w14:paraId="0D4EDBA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Gotículas</w:t>
            </w:r>
          </w:p>
        </w:tc>
      </w:tr>
      <w:tr w:rsidR="0072615D" w14:paraId="3F77CB17" w14:textId="77777777">
        <w:tblPrEx>
          <w:tblCellMar>
            <w:top w:w="0" w:type="dxa"/>
            <w:bottom w:w="0" w:type="dxa"/>
          </w:tblCellMar>
        </w:tblPrEx>
        <w:trPr>
          <w:trHeight w:hRule="exact" w:val="202"/>
          <w:jc w:val="center"/>
        </w:trPr>
        <w:tc>
          <w:tcPr>
            <w:tcW w:w="3168" w:type="dxa"/>
            <w:shd w:val="clear" w:color="auto" w:fill="FFFFFF"/>
            <w:vAlign w:val="bottom"/>
          </w:tcPr>
          <w:p w14:paraId="4BA6F6AD"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periodos de actividad de tos ferina en la</w:t>
            </w:r>
          </w:p>
        </w:tc>
        <w:tc>
          <w:tcPr>
            <w:tcW w:w="1886" w:type="dxa"/>
            <w:shd w:val="clear" w:color="auto" w:fill="FFFFFF"/>
          </w:tcPr>
          <w:p w14:paraId="5F521C71" w14:textId="77777777" w:rsidR="0072615D" w:rsidRDefault="0072615D">
            <w:pPr>
              <w:rPr>
                <w:sz w:val="10"/>
                <w:szCs w:val="10"/>
              </w:rPr>
            </w:pPr>
          </w:p>
        </w:tc>
        <w:tc>
          <w:tcPr>
            <w:tcW w:w="1704" w:type="dxa"/>
            <w:shd w:val="clear" w:color="auto" w:fill="FFFFFF"/>
          </w:tcPr>
          <w:p w14:paraId="6C1A13D5" w14:textId="77777777" w:rsidR="0072615D" w:rsidRDefault="0072615D">
            <w:pPr>
              <w:rPr>
                <w:sz w:val="10"/>
                <w:szCs w:val="10"/>
              </w:rPr>
            </w:pPr>
          </w:p>
        </w:tc>
      </w:tr>
      <w:tr w:rsidR="0072615D" w14:paraId="287F1C63" w14:textId="77777777">
        <w:tblPrEx>
          <w:tblCellMar>
            <w:top w:w="0" w:type="dxa"/>
            <w:bottom w:w="0" w:type="dxa"/>
          </w:tblCellMar>
        </w:tblPrEx>
        <w:trPr>
          <w:trHeight w:hRule="exact" w:val="216"/>
          <w:jc w:val="center"/>
        </w:trPr>
        <w:tc>
          <w:tcPr>
            <w:tcW w:w="3168" w:type="dxa"/>
            <w:shd w:val="clear" w:color="auto" w:fill="FFFFFF"/>
          </w:tcPr>
          <w:p w14:paraId="71B6FCCE"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comunidad</w:t>
            </w:r>
          </w:p>
        </w:tc>
        <w:tc>
          <w:tcPr>
            <w:tcW w:w="1886" w:type="dxa"/>
            <w:shd w:val="clear" w:color="auto" w:fill="FFFFFF"/>
          </w:tcPr>
          <w:p w14:paraId="140D67AB" w14:textId="77777777" w:rsidR="0072615D" w:rsidRDefault="0072615D">
            <w:pPr>
              <w:rPr>
                <w:sz w:val="10"/>
                <w:szCs w:val="10"/>
              </w:rPr>
            </w:pPr>
          </w:p>
        </w:tc>
        <w:tc>
          <w:tcPr>
            <w:tcW w:w="1704" w:type="dxa"/>
            <w:shd w:val="clear" w:color="auto" w:fill="FFFFFF"/>
          </w:tcPr>
          <w:p w14:paraId="614ED646" w14:textId="77777777" w:rsidR="0072615D" w:rsidRDefault="0072615D">
            <w:pPr>
              <w:rPr>
                <w:sz w:val="10"/>
                <w:szCs w:val="10"/>
              </w:rPr>
            </w:pPr>
          </w:p>
        </w:tc>
      </w:tr>
      <w:tr w:rsidR="0072615D" w14:paraId="0A735B17" w14:textId="77777777">
        <w:tblPrEx>
          <w:tblCellMar>
            <w:top w:w="0" w:type="dxa"/>
            <w:bottom w:w="0" w:type="dxa"/>
          </w:tblCellMar>
        </w:tblPrEx>
        <w:trPr>
          <w:trHeight w:hRule="exact" w:val="230"/>
          <w:jc w:val="center"/>
        </w:trPr>
        <w:tc>
          <w:tcPr>
            <w:tcW w:w="3168" w:type="dxa"/>
            <w:shd w:val="clear" w:color="auto" w:fill="FFFFFF"/>
            <w:vAlign w:val="bottom"/>
          </w:tcPr>
          <w:p w14:paraId="2F70DD7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Infecciones víricas, en particular</w:t>
            </w:r>
          </w:p>
        </w:tc>
        <w:tc>
          <w:tcPr>
            <w:tcW w:w="1886" w:type="dxa"/>
            <w:shd w:val="clear" w:color="auto" w:fill="FFFFFF"/>
            <w:vAlign w:val="bottom"/>
          </w:tcPr>
          <w:p w14:paraId="17EC7CAA"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sincitial respiratorio</w:t>
            </w:r>
          </w:p>
        </w:tc>
        <w:tc>
          <w:tcPr>
            <w:tcW w:w="1704" w:type="dxa"/>
            <w:shd w:val="clear" w:color="auto" w:fill="FFFFFF"/>
            <w:vAlign w:val="bottom"/>
          </w:tcPr>
          <w:p w14:paraId="6677513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Contacto y gotículas</w:t>
            </w:r>
          </w:p>
        </w:tc>
      </w:tr>
      <w:tr w:rsidR="0072615D" w14:paraId="6A5FA39C" w14:textId="77777777">
        <w:tblPrEx>
          <w:tblCellMar>
            <w:top w:w="0" w:type="dxa"/>
            <w:bottom w:w="0" w:type="dxa"/>
          </w:tblCellMar>
        </w:tblPrEx>
        <w:trPr>
          <w:trHeight w:hRule="exact" w:val="221"/>
          <w:jc w:val="center"/>
        </w:trPr>
        <w:tc>
          <w:tcPr>
            <w:tcW w:w="3168" w:type="dxa"/>
            <w:shd w:val="clear" w:color="auto" w:fill="FFFFFF"/>
            <w:vAlign w:val="bottom"/>
          </w:tcPr>
          <w:p w14:paraId="067A2600"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 xml:space="preserve">bronquiolitis y laringotraqueítis </w:t>
            </w:r>
            <w:r>
              <w:rPr>
                <w:rFonts w:ascii="Times New Roman" w:eastAsia="Times New Roman" w:hAnsi="Times New Roman" w:cs="Times New Roman"/>
                <w:i/>
                <w:iCs/>
                <w:sz w:val="15"/>
                <w:szCs w:val="15"/>
              </w:rPr>
              <w:t>(</w:t>
            </w:r>
            <w:r>
              <w:rPr>
                <w:rFonts w:ascii="Times New Roman" w:eastAsia="Times New Roman" w:hAnsi="Times New Roman" w:cs="Times New Roman"/>
                <w:i/>
                <w:iCs/>
                <w:sz w:val="16"/>
                <w:szCs w:val="16"/>
              </w:rPr>
              <w:t>croup)</w:t>
            </w:r>
          </w:p>
        </w:tc>
        <w:tc>
          <w:tcPr>
            <w:tcW w:w="1886" w:type="dxa"/>
            <w:shd w:val="clear" w:color="auto" w:fill="FFFFFF"/>
            <w:vAlign w:val="bottom"/>
          </w:tcPr>
          <w:p w14:paraId="17107AA9"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o virus de parainfluenza</w:t>
            </w:r>
          </w:p>
        </w:tc>
        <w:tc>
          <w:tcPr>
            <w:tcW w:w="1704" w:type="dxa"/>
            <w:shd w:val="clear" w:color="auto" w:fill="FFFFFF"/>
          </w:tcPr>
          <w:p w14:paraId="6E3E62C2" w14:textId="77777777" w:rsidR="0072615D" w:rsidRDefault="0072615D">
            <w:pPr>
              <w:rPr>
                <w:sz w:val="10"/>
                <w:szCs w:val="10"/>
              </w:rPr>
            </w:pPr>
          </w:p>
        </w:tc>
      </w:tr>
      <w:tr w:rsidR="0072615D" w14:paraId="1842DF41" w14:textId="77777777">
        <w:tblPrEx>
          <w:tblCellMar>
            <w:top w:w="0" w:type="dxa"/>
            <w:bottom w:w="0" w:type="dxa"/>
          </w:tblCellMar>
        </w:tblPrEx>
        <w:trPr>
          <w:trHeight w:hRule="exact" w:val="202"/>
          <w:jc w:val="center"/>
        </w:trPr>
        <w:tc>
          <w:tcPr>
            <w:tcW w:w="3168" w:type="dxa"/>
            <w:shd w:val="clear" w:color="auto" w:fill="FFFFFF"/>
            <w:vAlign w:val="bottom"/>
          </w:tcPr>
          <w:p w14:paraId="721490AE"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en lactantes y niños de corta edad</w:t>
            </w:r>
          </w:p>
        </w:tc>
        <w:tc>
          <w:tcPr>
            <w:tcW w:w="1886" w:type="dxa"/>
            <w:shd w:val="clear" w:color="auto" w:fill="FFFFFF"/>
          </w:tcPr>
          <w:p w14:paraId="19FF4A77" w14:textId="77777777" w:rsidR="0072615D" w:rsidRDefault="0072615D">
            <w:pPr>
              <w:rPr>
                <w:sz w:val="10"/>
                <w:szCs w:val="10"/>
              </w:rPr>
            </w:pPr>
          </w:p>
        </w:tc>
        <w:tc>
          <w:tcPr>
            <w:tcW w:w="1704" w:type="dxa"/>
            <w:shd w:val="clear" w:color="auto" w:fill="FFFFFF"/>
          </w:tcPr>
          <w:p w14:paraId="71D87664" w14:textId="77777777" w:rsidR="0072615D" w:rsidRDefault="0072615D">
            <w:pPr>
              <w:rPr>
                <w:sz w:val="10"/>
                <w:szCs w:val="10"/>
              </w:rPr>
            </w:pPr>
          </w:p>
        </w:tc>
      </w:tr>
      <w:tr w:rsidR="0072615D" w14:paraId="52031061" w14:textId="77777777">
        <w:tblPrEx>
          <w:tblCellMar>
            <w:top w:w="0" w:type="dxa"/>
            <w:bottom w:w="0" w:type="dxa"/>
          </w:tblCellMar>
        </w:tblPrEx>
        <w:trPr>
          <w:trHeight w:hRule="exact" w:val="235"/>
          <w:jc w:val="center"/>
        </w:trPr>
        <w:tc>
          <w:tcPr>
            <w:tcW w:w="3168" w:type="dxa"/>
            <w:shd w:val="clear" w:color="auto" w:fill="FFFFFF"/>
            <w:vAlign w:val="bottom"/>
          </w:tcPr>
          <w:p w14:paraId="587B7D14"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Riesgo de ataque por microorganismos</w:t>
            </w:r>
          </w:p>
        </w:tc>
        <w:tc>
          <w:tcPr>
            <w:tcW w:w="1886" w:type="dxa"/>
            <w:shd w:val="clear" w:color="auto" w:fill="FFFFFF"/>
          </w:tcPr>
          <w:p w14:paraId="147A5883" w14:textId="77777777" w:rsidR="0072615D" w:rsidRDefault="0072615D">
            <w:pPr>
              <w:rPr>
                <w:sz w:val="10"/>
                <w:szCs w:val="10"/>
              </w:rPr>
            </w:pPr>
          </w:p>
        </w:tc>
        <w:tc>
          <w:tcPr>
            <w:tcW w:w="1704" w:type="dxa"/>
            <w:shd w:val="clear" w:color="auto" w:fill="FFFFFF"/>
          </w:tcPr>
          <w:p w14:paraId="34A250D0" w14:textId="77777777" w:rsidR="0072615D" w:rsidRDefault="0072615D">
            <w:pPr>
              <w:rPr>
                <w:sz w:val="10"/>
                <w:szCs w:val="10"/>
              </w:rPr>
            </w:pPr>
          </w:p>
        </w:tc>
      </w:tr>
      <w:tr w:rsidR="0072615D" w14:paraId="1EBCDB11" w14:textId="77777777">
        <w:tblPrEx>
          <w:tblCellMar>
            <w:top w:w="0" w:type="dxa"/>
            <w:bottom w:w="0" w:type="dxa"/>
          </w:tblCellMar>
        </w:tblPrEx>
        <w:trPr>
          <w:trHeight w:hRule="exact" w:val="221"/>
          <w:jc w:val="center"/>
        </w:trPr>
        <w:tc>
          <w:tcPr>
            <w:tcW w:w="3168" w:type="dxa"/>
            <w:shd w:val="clear" w:color="auto" w:fill="FFFFFF"/>
          </w:tcPr>
          <w:p w14:paraId="5A984AC1"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polirresistentes</w:t>
            </w:r>
            <w:r>
              <w:rPr>
                <w:rFonts w:ascii="Times New Roman" w:eastAsia="Times New Roman" w:hAnsi="Times New Roman" w:cs="Times New Roman"/>
                <w:b/>
                <w:bCs/>
                <w:sz w:val="16"/>
                <w:szCs w:val="16"/>
                <w:vertAlign w:val="superscript"/>
              </w:rPr>
              <w:footnoteReference w:id="58"/>
            </w:r>
          </w:p>
        </w:tc>
        <w:tc>
          <w:tcPr>
            <w:tcW w:w="1886" w:type="dxa"/>
            <w:shd w:val="clear" w:color="auto" w:fill="FFFFFF"/>
          </w:tcPr>
          <w:p w14:paraId="1F78AF13" w14:textId="77777777" w:rsidR="0072615D" w:rsidRDefault="0072615D">
            <w:pPr>
              <w:rPr>
                <w:sz w:val="10"/>
                <w:szCs w:val="10"/>
              </w:rPr>
            </w:pPr>
          </w:p>
        </w:tc>
        <w:tc>
          <w:tcPr>
            <w:tcW w:w="1704" w:type="dxa"/>
            <w:shd w:val="clear" w:color="auto" w:fill="FFFFFF"/>
          </w:tcPr>
          <w:p w14:paraId="73E12106" w14:textId="77777777" w:rsidR="0072615D" w:rsidRDefault="0072615D">
            <w:pPr>
              <w:rPr>
                <w:sz w:val="10"/>
                <w:szCs w:val="10"/>
              </w:rPr>
            </w:pPr>
          </w:p>
        </w:tc>
      </w:tr>
      <w:tr w:rsidR="0072615D" w14:paraId="2588FDC0" w14:textId="77777777">
        <w:tblPrEx>
          <w:tblCellMar>
            <w:top w:w="0" w:type="dxa"/>
            <w:bottom w:w="0" w:type="dxa"/>
          </w:tblCellMar>
        </w:tblPrEx>
        <w:trPr>
          <w:trHeight w:hRule="exact" w:val="197"/>
          <w:jc w:val="center"/>
        </w:trPr>
        <w:tc>
          <w:tcPr>
            <w:tcW w:w="3168" w:type="dxa"/>
            <w:shd w:val="clear" w:color="auto" w:fill="FFFFFF"/>
          </w:tcPr>
          <w:p w14:paraId="4E2CE6A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Antecedente de infección o colonización</w:t>
            </w:r>
          </w:p>
        </w:tc>
        <w:tc>
          <w:tcPr>
            <w:tcW w:w="1886" w:type="dxa"/>
            <w:shd w:val="clear" w:color="auto" w:fill="FFFFFF"/>
          </w:tcPr>
          <w:p w14:paraId="2B9884F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Bacteria resistente</w:t>
            </w:r>
          </w:p>
        </w:tc>
        <w:tc>
          <w:tcPr>
            <w:tcW w:w="1704" w:type="dxa"/>
            <w:shd w:val="clear" w:color="auto" w:fill="FFFFFF"/>
          </w:tcPr>
          <w:p w14:paraId="1531760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Contacto</w:t>
            </w:r>
          </w:p>
        </w:tc>
      </w:tr>
      <w:tr w:rsidR="0072615D" w14:paraId="7D7AD17F" w14:textId="77777777">
        <w:tblPrEx>
          <w:tblCellMar>
            <w:top w:w="0" w:type="dxa"/>
            <w:bottom w:w="0" w:type="dxa"/>
          </w:tblCellMar>
        </w:tblPrEx>
        <w:trPr>
          <w:trHeight w:hRule="exact" w:val="235"/>
          <w:jc w:val="center"/>
        </w:trPr>
        <w:tc>
          <w:tcPr>
            <w:tcW w:w="3168" w:type="dxa"/>
            <w:shd w:val="clear" w:color="auto" w:fill="FFFFFF"/>
            <w:vAlign w:val="bottom"/>
          </w:tcPr>
          <w:p w14:paraId="137B6C1F"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por microorganismos polirresistentes</w:t>
            </w:r>
          </w:p>
        </w:tc>
        <w:tc>
          <w:tcPr>
            <w:tcW w:w="1886" w:type="dxa"/>
            <w:shd w:val="clear" w:color="auto" w:fill="FFFFFF"/>
          </w:tcPr>
          <w:p w14:paraId="00EF8BAD" w14:textId="77777777" w:rsidR="0072615D" w:rsidRDefault="0072615D">
            <w:pPr>
              <w:rPr>
                <w:sz w:val="10"/>
                <w:szCs w:val="10"/>
              </w:rPr>
            </w:pPr>
          </w:p>
        </w:tc>
        <w:tc>
          <w:tcPr>
            <w:tcW w:w="1704" w:type="dxa"/>
            <w:shd w:val="clear" w:color="auto" w:fill="FFFFFF"/>
          </w:tcPr>
          <w:p w14:paraId="00CE17FC" w14:textId="77777777" w:rsidR="0072615D" w:rsidRDefault="0072615D">
            <w:pPr>
              <w:rPr>
                <w:sz w:val="10"/>
                <w:szCs w:val="10"/>
              </w:rPr>
            </w:pPr>
          </w:p>
        </w:tc>
      </w:tr>
      <w:tr w:rsidR="0072615D" w14:paraId="546B7B85" w14:textId="77777777">
        <w:tblPrEx>
          <w:tblCellMar>
            <w:top w:w="0" w:type="dxa"/>
            <w:bottom w:w="0" w:type="dxa"/>
          </w:tblCellMar>
        </w:tblPrEx>
        <w:trPr>
          <w:trHeight w:hRule="exact" w:val="202"/>
          <w:jc w:val="center"/>
        </w:trPr>
        <w:tc>
          <w:tcPr>
            <w:tcW w:w="3168" w:type="dxa"/>
            <w:shd w:val="clear" w:color="auto" w:fill="FFFFFF"/>
          </w:tcPr>
          <w:p w14:paraId="6BC3EE41"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Infecciones de piel, heridas o vías urinarias</w:t>
            </w:r>
          </w:p>
        </w:tc>
        <w:tc>
          <w:tcPr>
            <w:tcW w:w="1886" w:type="dxa"/>
            <w:shd w:val="clear" w:color="auto" w:fill="FFFFFF"/>
          </w:tcPr>
          <w:p w14:paraId="5698218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Bacteria resistente</w:t>
            </w:r>
          </w:p>
        </w:tc>
        <w:tc>
          <w:tcPr>
            <w:tcW w:w="1704" w:type="dxa"/>
            <w:shd w:val="clear" w:color="auto" w:fill="FFFFFF"/>
          </w:tcPr>
          <w:p w14:paraId="254B4A3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Contacto</w:t>
            </w:r>
          </w:p>
        </w:tc>
      </w:tr>
      <w:tr w:rsidR="0072615D" w14:paraId="3AFE04E0" w14:textId="77777777">
        <w:tblPrEx>
          <w:tblCellMar>
            <w:top w:w="0" w:type="dxa"/>
            <w:bottom w:w="0" w:type="dxa"/>
          </w:tblCellMar>
        </w:tblPrEx>
        <w:trPr>
          <w:trHeight w:hRule="exact" w:val="230"/>
          <w:jc w:val="center"/>
        </w:trPr>
        <w:tc>
          <w:tcPr>
            <w:tcW w:w="3168" w:type="dxa"/>
            <w:shd w:val="clear" w:color="auto" w:fill="FFFFFF"/>
            <w:vAlign w:val="bottom"/>
          </w:tcPr>
          <w:p w14:paraId="3A6E7F19"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en un paciente con permanencia</w:t>
            </w:r>
          </w:p>
        </w:tc>
        <w:tc>
          <w:tcPr>
            <w:tcW w:w="1886" w:type="dxa"/>
            <w:shd w:val="clear" w:color="auto" w:fill="FFFFFF"/>
          </w:tcPr>
          <w:p w14:paraId="3C0EBD7F" w14:textId="77777777" w:rsidR="0072615D" w:rsidRDefault="0072615D">
            <w:pPr>
              <w:rPr>
                <w:sz w:val="10"/>
                <w:szCs w:val="10"/>
              </w:rPr>
            </w:pPr>
          </w:p>
        </w:tc>
        <w:tc>
          <w:tcPr>
            <w:tcW w:w="1704" w:type="dxa"/>
            <w:shd w:val="clear" w:color="auto" w:fill="FFFFFF"/>
          </w:tcPr>
          <w:p w14:paraId="1C887BB1" w14:textId="77777777" w:rsidR="0072615D" w:rsidRDefault="0072615D">
            <w:pPr>
              <w:rPr>
                <w:sz w:val="10"/>
                <w:szCs w:val="10"/>
              </w:rPr>
            </w:pPr>
          </w:p>
        </w:tc>
      </w:tr>
      <w:tr w:rsidR="0072615D" w14:paraId="4C42E589" w14:textId="77777777">
        <w:tblPrEx>
          <w:tblCellMar>
            <w:top w:w="0" w:type="dxa"/>
            <w:bottom w:w="0" w:type="dxa"/>
          </w:tblCellMar>
        </w:tblPrEx>
        <w:trPr>
          <w:trHeight w:hRule="exact" w:val="211"/>
          <w:jc w:val="center"/>
        </w:trPr>
        <w:tc>
          <w:tcPr>
            <w:tcW w:w="3168" w:type="dxa"/>
            <w:shd w:val="clear" w:color="auto" w:fill="FFFFFF"/>
            <w:vAlign w:val="bottom"/>
          </w:tcPr>
          <w:p w14:paraId="3E0DDB78"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reciente en hospital o guardería, en una</w:t>
            </w:r>
          </w:p>
        </w:tc>
        <w:tc>
          <w:tcPr>
            <w:tcW w:w="1886" w:type="dxa"/>
            <w:shd w:val="clear" w:color="auto" w:fill="FFFFFF"/>
          </w:tcPr>
          <w:p w14:paraId="34A9591F" w14:textId="77777777" w:rsidR="0072615D" w:rsidRDefault="0072615D">
            <w:pPr>
              <w:rPr>
                <w:sz w:val="10"/>
                <w:szCs w:val="10"/>
              </w:rPr>
            </w:pPr>
          </w:p>
        </w:tc>
        <w:tc>
          <w:tcPr>
            <w:tcW w:w="1704" w:type="dxa"/>
            <w:shd w:val="clear" w:color="auto" w:fill="FFFFFF"/>
          </w:tcPr>
          <w:p w14:paraId="5FCCBB86" w14:textId="77777777" w:rsidR="0072615D" w:rsidRDefault="0072615D">
            <w:pPr>
              <w:rPr>
                <w:sz w:val="10"/>
                <w:szCs w:val="10"/>
              </w:rPr>
            </w:pPr>
          </w:p>
        </w:tc>
      </w:tr>
      <w:tr w:rsidR="0072615D" w14:paraId="7A65AFC2" w14:textId="77777777">
        <w:tblPrEx>
          <w:tblCellMar>
            <w:top w:w="0" w:type="dxa"/>
            <w:bottom w:w="0" w:type="dxa"/>
          </w:tblCellMar>
        </w:tblPrEx>
        <w:trPr>
          <w:trHeight w:hRule="exact" w:val="221"/>
          <w:jc w:val="center"/>
        </w:trPr>
        <w:tc>
          <w:tcPr>
            <w:tcW w:w="3168" w:type="dxa"/>
            <w:shd w:val="clear" w:color="auto" w:fill="FFFFFF"/>
            <w:vAlign w:val="bottom"/>
          </w:tcPr>
          <w:p w14:paraId="3D6C9B27"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institución en que prevalecen los</w:t>
            </w:r>
          </w:p>
        </w:tc>
        <w:tc>
          <w:tcPr>
            <w:tcW w:w="1886" w:type="dxa"/>
            <w:shd w:val="clear" w:color="auto" w:fill="FFFFFF"/>
          </w:tcPr>
          <w:p w14:paraId="0A88ED9B" w14:textId="77777777" w:rsidR="0072615D" w:rsidRDefault="0072615D">
            <w:pPr>
              <w:rPr>
                <w:sz w:val="10"/>
                <w:szCs w:val="10"/>
              </w:rPr>
            </w:pPr>
          </w:p>
        </w:tc>
        <w:tc>
          <w:tcPr>
            <w:tcW w:w="1704" w:type="dxa"/>
            <w:shd w:val="clear" w:color="auto" w:fill="FFFFFF"/>
          </w:tcPr>
          <w:p w14:paraId="420FFCE5" w14:textId="77777777" w:rsidR="0072615D" w:rsidRDefault="0072615D">
            <w:pPr>
              <w:rPr>
                <w:sz w:val="10"/>
                <w:szCs w:val="10"/>
              </w:rPr>
            </w:pPr>
          </w:p>
        </w:tc>
      </w:tr>
      <w:tr w:rsidR="0072615D" w14:paraId="0A57C355" w14:textId="77777777">
        <w:tblPrEx>
          <w:tblCellMar>
            <w:top w:w="0" w:type="dxa"/>
            <w:bottom w:w="0" w:type="dxa"/>
          </w:tblCellMar>
        </w:tblPrEx>
        <w:trPr>
          <w:trHeight w:hRule="exact" w:val="211"/>
          <w:jc w:val="center"/>
        </w:trPr>
        <w:tc>
          <w:tcPr>
            <w:tcW w:w="3168" w:type="dxa"/>
            <w:shd w:val="clear" w:color="auto" w:fill="FFFFFF"/>
            <w:vAlign w:val="bottom"/>
          </w:tcPr>
          <w:p w14:paraId="2A14AC20" w14:textId="77777777" w:rsidR="0072615D" w:rsidRDefault="0072615D">
            <w:pPr>
              <w:pStyle w:val="Other0"/>
              <w:spacing w:line="240" w:lineRule="auto"/>
              <w:ind w:firstLine="220"/>
              <w:rPr>
                <w:sz w:val="16"/>
                <w:szCs w:val="16"/>
              </w:rPr>
            </w:pPr>
            <w:r>
              <w:rPr>
                <w:rFonts w:ascii="Times New Roman" w:eastAsia="Times New Roman" w:hAnsi="Times New Roman" w:cs="Times New Roman"/>
                <w:sz w:val="16"/>
                <w:szCs w:val="16"/>
              </w:rPr>
              <w:t>microorganismos polirresistentes</w:t>
            </w:r>
          </w:p>
        </w:tc>
        <w:tc>
          <w:tcPr>
            <w:tcW w:w="1886" w:type="dxa"/>
            <w:shd w:val="clear" w:color="auto" w:fill="FFFFFF"/>
          </w:tcPr>
          <w:p w14:paraId="761C0AD5" w14:textId="77777777" w:rsidR="0072615D" w:rsidRDefault="0072615D">
            <w:pPr>
              <w:rPr>
                <w:sz w:val="10"/>
                <w:szCs w:val="10"/>
              </w:rPr>
            </w:pPr>
          </w:p>
        </w:tc>
        <w:tc>
          <w:tcPr>
            <w:tcW w:w="1704" w:type="dxa"/>
            <w:shd w:val="clear" w:color="auto" w:fill="FFFFFF"/>
          </w:tcPr>
          <w:p w14:paraId="2CD88AF6" w14:textId="77777777" w:rsidR="0072615D" w:rsidRDefault="0072615D">
            <w:pPr>
              <w:rPr>
                <w:sz w:val="10"/>
                <w:szCs w:val="10"/>
              </w:rPr>
            </w:pPr>
          </w:p>
        </w:tc>
      </w:tr>
      <w:tr w:rsidR="0072615D" w14:paraId="141B4E39" w14:textId="77777777">
        <w:tblPrEx>
          <w:tblCellMar>
            <w:top w:w="0" w:type="dxa"/>
            <w:bottom w:w="0" w:type="dxa"/>
          </w:tblCellMar>
        </w:tblPrEx>
        <w:trPr>
          <w:trHeight w:hRule="exact" w:val="202"/>
          <w:jc w:val="center"/>
        </w:trPr>
        <w:tc>
          <w:tcPr>
            <w:tcW w:w="3168" w:type="dxa"/>
            <w:shd w:val="clear" w:color="auto" w:fill="FFFFFF"/>
            <w:vAlign w:val="bottom"/>
          </w:tcPr>
          <w:p w14:paraId="63ED3DB0" w14:textId="77777777" w:rsidR="0072615D" w:rsidRDefault="0072615D">
            <w:pPr>
              <w:pStyle w:val="Other0"/>
              <w:spacing w:line="240" w:lineRule="auto"/>
              <w:ind w:firstLine="0"/>
              <w:rPr>
                <w:sz w:val="16"/>
                <w:szCs w:val="16"/>
              </w:rPr>
            </w:pPr>
            <w:r>
              <w:rPr>
                <w:rFonts w:ascii="Times New Roman" w:eastAsia="Times New Roman" w:hAnsi="Times New Roman" w:cs="Times New Roman"/>
                <w:b/>
                <w:bCs/>
                <w:sz w:val="16"/>
                <w:szCs w:val="16"/>
              </w:rPr>
              <w:t>Infecciones de piel o heridas</w:t>
            </w:r>
          </w:p>
        </w:tc>
        <w:tc>
          <w:tcPr>
            <w:tcW w:w="1886" w:type="dxa"/>
            <w:shd w:val="clear" w:color="auto" w:fill="FFFFFF"/>
          </w:tcPr>
          <w:p w14:paraId="1F64706A" w14:textId="77777777" w:rsidR="0072615D" w:rsidRDefault="0072615D">
            <w:pPr>
              <w:rPr>
                <w:sz w:val="10"/>
                <w:szCs w:val="10"/>
              </w:rPr>
            </w:pPr>
          </w:p>
        </w:tc>
        <w:tc>
          <w:tcPr>
            <w:tcW w:w="1704" w:type="dxa"/>
            <w:shd w:val="clear" w:color="auto" w:fill="FFFFFF"/>
          </w:tcPr>
          <w:p w14:paraId="6B39666D" w14:textId="77777777" w:rsidR="0072615D" w:rsidRDefault="0072615D">
            <w:pPr>
              <w:rPr>
                <w:sz w:val="10"/>
                <w:szCs w:val="10"/>
              </w:rPr>
            </w:pPr>
          </w:p>
        </w:tc>
      </w:tr>
      <w:tr w:rsidR="0072615D" w14:paraId="365809BC" w14:textId="77777777">
        <w:tblPrEx>
          <w:tblCellMar>
            <w:top w:w="0" w:type="dxa"/>
            <w:bottom w:w="0" w:type="dxa"/>
          </w:tblCellMar>
        </w:tblPrEx>
        <w:trPr>
          <w:trHeight w:hRule="exact" w:val="230"/>
          <w:jc w:val="center"/>
        </w:trPr>
        <w:tc>
          <w:tcPr>
            <w:tcW w:w="3168" w:type="dxa"/>
            <w:shd w:val="clear" w:color="auto" w:fill="FFFFFF"/>
            <w:vAlign w:val="bottom"/>
          </w:tcPr>
          <w:p w14:paraId="7694A676"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Absceso o herida húmeda que no puede</w:t>
            </w:r>
          </w:p>
        </w:tc>
        <w:tc>
          <w:tcPr>
            <w:tcW w:w="1886" w:type="dxa"/>
            <w:shd w:val="clear" w:color="auto" w:fill="FFFFFF"/>
            <w:vAlign w:val="bottom"/>
          </w:tcPr>
          <w:p w14:paraId="3FC30131"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Staphylococcus aureus,</w:t>
            </w:r>
          </w:p>
        </w:tc>
        <w:tc>
          <w:tcPr>
            <w:tcW w:w="1704" w:type="dxa"/>
            <w:shd w:val="clear" w:color="auto" w:fill="FFFFFF"/>
            <w:vAlign w:val="bottom"/>
          </w:tcPr>
          <w:p w14:paraId="3711864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Contacto</w:t>
            </w:r>
          </w:p>
        </w:tc>
      </w:tr>
      <w:tr w:rsidR="0072615D" w14:paraId="28182D63" w14:textId="77777777">
        <w:tblPrEx>
          <w:tblCellMar>
            <w:top w:w="0" w:type="dxa"/>
            <w:bottom w:w="0" w:type="dxa"/>
          </w:tblCellMar>
        </w:tblPrEx>
        <w:trPr>
          <w:trHeight w:hRule="exact" w:val="230"/>
          <w:jc w:val="center"/>
        </w:trPr>
        <w:tc>
          <w:tcPr>
            <w:tcW w:w="3168" w:type="dxa"/>
            <w:tcBorders>
              <w:bottom w:val="single" w:sz="4" w:space="0" w:color="auto"/>
            </w:tcBorders>
            <w:shd w:val="clear" w:color="auto" w:fill="FFFFFF"/>
          </w:tcPr>
          <w:p w14:paraId="6A7A4BE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cubrirse</w:t>
            </w:r>
          </w:p>
        </w:tc>
        <w:tc>
          <w:tcPr>
            <w:tcW w:w="1886" w:type="dxa"/>
            <w:tcBorders>
              <w:bottom w:val="single" w:sz="4" w:space="0" w:color="auto"/>
            </w:tcBorders>
            <w:shd w:val="clear" w:color="auto" w:fill="FFFFFF"/>
          </w:tcPr>
          <w:p w14:paraId="70BE0E17" w14:textId="77777777" w:rsidR="0072615D" w:rsidRDefault="0072615D">
            <w:pPr>
              <w:pStyle w:val="Other0"/>
              <w:spacing w:line="240" w:lineRule="auto"/>
              <w:ind w:firstLine="180"/>
              <w:rPr>
                <w:sz w:val="16"/>
                <w:szCs w:val="16"/>
              </w:rPr>
            </w:pPr>
            <w:r>
              <w:rPr>
                <w:rFonts w:ascii="Times New Roman" w:eastAsia="Times New Roman" w:hAnsi="Times New Roman" w:cs="Times New Roman"/>
                <w:sz w:val="16"/>
                <w:szCs w:val="16"/>
              </w:rPr>
              <w:t>estreptococo del grupo A</w:t>
            </w:r>
          </w:p>
        </w:tc>
        <w:tc>
          <w:tcPr>
            <w:tcW w:w="1704" w:type="dxa"/>
            <w:tcBorders>
              <w:bottom w:val="single" w:sz="4" w:space="0" w:color="auto"/>
            </w:tcBorders>
            <w:shd w:val="clear" w:color="auto" w:fill="FFFFFF"/>
          </w:tcPr>
          <w:p w14:paraId="462F8543" w14:textId="77777777" w:rsidR="0072615D" w:rsidRDefault="0072615D">
            <w:pPr>
              <w:rPr>
                <w:sz w:val="10"/>
                <w:szCs w:val="10"/>
              </w:rPr>
            </w:pPr>
          </w:p>
        </w:tc>
      </w:tr>
    </w:tbl>
    <w:p w14:paraId="429204D5" w14:textId="77777777" w:rsidR="0072615D" w:rsidRDefault="0072615D">
      <w:pPr>
        <w:pStyle w:val="BodyText"/>
        <w:spacing w:after="220"/>
        <w:ind w:firstLine="0"/>
      </w:pPr>
      <w:r>
        <w:t>CONSIDERACIONES EN NIÑOS</w:t>
      </w:r>
    </w:p>
    <w:p w14:paraId="76D03F5C" w14:textId="77777777" w:rsidR="0072615D" w:rsidRDefault="0072615D">
      <w:pPr>
        <w:pStyle w:val="BodyText"/>
        <w:ind w:firstLine="0"/>
      </w:pPr>
      <w:r>
        <w:t>Las diferencias peculiares en la atención de niños en comparación con la que se brinda a los adultos obliga a hacer modificaciones posibles de estas directrices, que incluyen: 1) cambio de pañales; 2) empleo de aislamiento en una sola estancia, y 3) uso de áreas comunes, como serían las salas de espera de los hospitales, salitas de juego o salones de clases.</w:t>
      </w:r>
    </w:p>
    <w:p w14:paraId="2E1BA06A" w14:textId="77777777" w:rsidR="0072615D" w:rsidRDefault="0072615D">
      <w:pPr>
        <w:pStyle w:val="BodyText"/>
        <w:ind w:firstLine="360"/>
      </w:pPr>
      <w:r>
        <w:t>El cambio de pañales no ensucia siempre las manos y por ello no es indispensable usar guantes, excepto cuando se exigen estos últimos como parte de las precauciones conforme al tipo de transmisión.</w:t>
      </w:r>
    </w:p>
    <w:p w14:paraId="74E5BCE0" w14:textId="77777777" w:rsidR="0072615D" w:rsidRDefault="0072615D">
      <w:pPr>
        <w:pStyle w:val="BodyText"/>
        <w:ind w:firstLine="360"/>
      </w:pPr>
      <w:r>
        <w:t xml:space="preserve">Se recomienda usar estancias privadas en todos los pacientes que serán sometidos a precauciones para </w:t>
      </w:r>
      <w:r>
        <w:rPr>
          <w:b/>
          <w:bCs/>
        </w:rPr>
        <w:t xml:space="preserve">evitar la transmisión </w:t>
      </w:r>
      <w:r>
        <w:t>(</w:t>
      </w:r>
      <w:r>
        <w:rPr>
          <w:b/>
          <w:bCs/>
        </w:rPr>
        <w:t xml:space="preserve">aerófora, por gotículas </w:t>
      </w:r>
      <w:r>
        <w:t xml:space="preserve">y por </w:t>
      </w:r>
      <w:r>
        <w:rPr>
          <w:b/>
          <w:bCs/>
        </w:rPr>
        <w:t>contacto</w:t>
      </w:r>
      <w:r>
        <w:t xml:space="preserve">). Los niños sometidos a dicha forma de aislamiento no pueden salir de su cuarto para usar áreas comunes, como cuartos de juego, salones de clase o áreas de espera. Las directrices para las </w:t>
      </w:r>
      <w:r>
        <w:rPr>
          <w:b/>
          <w:bCs/>
        </w:rPr>
        <w:t xml:space="preserve">precauciones estándar </w:t>
      </w:r>
      <w:r>
        <w:t>indican que deben estar en cuartos solos los niños que no pueden controlar sus eliminaciones corporales. Casi todos los niños de corta edad no son continentes, y por ello tal recomendación no es adecuada para el cuidado sistemático de niños no infectados.</w:t>
      </w:r>
    </w:p>
    <w:p w14:paraId="2C8BCA52" w14:textId="77777777" w:rsidR="0072615D" w:rsidRDefault="0072615D">
      <w:pPr>
        <w:pStyle w:val="BodyText"/>
        <w:spacing w:after="100"/>
        <w:ind w:firstLine="360"/>
      </w:pPr>
      <w:r>
        <w:t>Se recomienda de manera específica seguir directrices de aislamiento que ha planteado el CDC para atender niños hospitalizados; es importante no extrapolarlas a escuelas, centros de asistencia extrahogareños y otros sitios en que se congregan y comparten espacios los niños sanos.</w:t>
      </w:r>
    </w:p>
    <w:p w14:paraId="09DD89D4" w14:textId="77777777" w:rsidR="0072615D" w:rsidRDefault="0072615D">
      <w:pPr>
        <w:pStyle w:val="Bodytext70"/>
        <w:spacing w:after="220"/>
      </w:pPr>
      <w:r>
        <w:t>Salud ocupacional</w:t>
      </w:r>
    </w:p>
    <w:p w14:paraId="12FD3BEC" w14:textId="77777777" w:rsidR="0072615D" w:rsidRDefault="0072615D">
      <w:pPr>
        <w:pStyle w:val="BodyText"/>
        <w:ind w:firstLine="0"/>
      </w:pPr>
      <w:r>
        <w:t xml:space="preserve">En la atención de niños es importante evitar la transmisión de agentes infecciosos entre los menores y el personal asistencial. Las mujeres del personal que están embarazadas y que cumplen con las precauciones recomendadas no deben estar expuestas a un mayor riesgo de infecciones que pudieran tener efectos adversos en el feto (como parvovirus B19, virus citomegálico, rubéola y varicela). En el caso de miembros del personal inmunodeficientes y que están expuestos a un mayor peligro de infecciones graves (como </w:t>
      </w:r>
      <w:r>
        <w:rPr>
          <w:rFonts w:ascii="Times New Roman" w:eastAsia="Times New Roman" w:hAnsi="Times New Roman" w:cs="Times New Roman"/>
          <w:i/>
          <w:iCs/>
          <w:sz w:val="16"/>
          <w:szCs w:val="16"/>
        </w:rPr>
        <w:t>M. tuberculosis</w:t>
      </w:r>
      <w:r>
        <w:rPr>
          <w:i/>
          <w:iCs/>
        </w:rPr>
        <w:t>,</w:t>
      </w:r>
      <w:r>
        <w:t xml:space="preserve"> virus de sarampión, herpes simple y varicela-zoster), es necesario buscar consejo y orientación del profesional en asistencia.</w:t>
      </w:r>
    </w:p>
    <w:p w14:paraId="17F07F2A" w14:textId="77777777" w:rsidR="0072615D" w:rsidRDefault="0072615D">
      <w:pPr>
        <w:pStyle w:val="BodyText"/>
        <w:ind w:firstLine="360"/>
      </w:pPr>
      <w:r>
        <w:t>Contagiarse de infecciones de los adultos tiene consecuencias notables para los niños. Los menores muy a menudo no tienen inmunidad contra muchos virus y bacterias comunes y por ello constituyen una población altamente susceptible. Las enfermedades benignas o leves en adultos, como las gastroenteritis víricas (infecciones por virus en vías respiratorias altas, como el virus sincitial respiratorio), la tos ferina, el herpes simple o la tuberculosis, pueden ocasionar cuadros letales en lactantes y niños. Los individuos expuestos a mayor riesgo son los prematuros, los niños con cardiopatías o neumopatías crónicas y los pacientes inmunodeficientes.</w:t>
      </w:r>
    </w:p>
    <w:p w14:paraId="004B2B1B" w14:textId="77777777" w:rsidR="0072615D" w:rsidRDefault="0072615D">
      <w:pPr>
        <w:pStyle w:val="BodyText"/>
        <w:ind w:firstLine="360"/>
      </w:pPr>
      <w:r>
        <w:t>La transmisión de agentes infecciosos dentro de los nosocomios se facilita por el contacto cercano e inevitable entre los pacientes y el personal asistencial. Además, los niños no siempre cumplen las prácticas de higiene.</w:t>
      </w:r>
    </w:p>
    <w:p w14:paraId="5EC14ACD" w14:textId="77777777" w:rsidR="0072615D" w:rsidRDefault="0072615D">
      <w:pPr>
        <w:pStyle w:val="BodyText"/>
        <w:spacing w:after="220"/>
        <w:ind w:firstLine="360"/>
      </w:pPr>
      <w:r>
        <w:t>Los hospitales deben haber establecido normas y servicios para su personal, para así frenar los peligros de infección entre los niños y dicho personal, y viceversa. Asume importancia particular asegurar que el personal esté protegido contra sarampión, rubéola, parotiditis, hepatitis B, varicela, influenza, poliomielitis, tos ferina, tétanos y difteria, por el establecimiento de normas adecuadas de selección y de vacunaciones.</w:t>
      </w:r>
    </w:p>
    <w:p w14:paraId="385F89D1" w14:textId="77777777" w:rsidR="0072615D" w:rsidRDefault="0072615D">
      <w:pPr>
        <w:pStyle w:val="BodyText"/>
        <w:ind w:firstLine="360"/>
      </w:pPr>
      <w:r>
        <w:t>*En el caso de infecciones que no son evitables con vacunas, habrá que orientar al personal sobre las exposiciones y la posible necesidad de ausentarse si están expuestos a un portador de un patógeno específico (o enfermos), no importa que la exposición ocurra en el hogar, la comunidad o dentro del centro hospitalario o asistencial.</w:t>
      </w:r>
    </w:p>
    <w:p w14:paraId="4436FC01" w14:textId="77777777" w:rsidR="0072615D" w:rsidRDefault="0072615D">
      <w:pPr>
        <w:pStyle w:val="BodyText"/>
        <w:ind w:firstLine="360"/>
      </w:pPr>
      <w:r>
        <w:t>Los datos de epidemiología de la localidad serán los que rijan la frecuencia y la necesidad de detección sistemática de bacilos tuberculosos y la tuberculosis en el personal asistencial. Es importante valorar a personas con infecciones corrientes como gastroenteritis, dermatitis, lesiones de herpes simple en piel al descubierto o infecciones de vías respiratorias altas para valorar el riesgo resultante de transmisión a pacientes u otro personal asistencial.</w:t>
      </w:r>
    </w:p>
    <w:p w14:paraId="0C6E8D7B" w14:textId="77777777" w:rsidR="0072615D" w:rsidRDefault="0072615D">
      <w:pPr>
        <w:pStyle w:val="BodyText"/>
        <w:ind w:firstLine="360"/>
      </w:pPr>
      <w:r>
        <w:t>El personal asistencial, incluidas las embarazadas, debe recibir enseñanza sobre patógenos a los cuales están expuestos (o no) con mayor riesgo, en caso de cumplir las precauciones estándar.</w:t>
      </w:r>
    </w:p>
    <w:p w14:paraId="0836565E" w14:textId="77777777" w:rsidR="0072615D" w:rsidRDefault="0072615D">
      <w:pPr>
        <w:pStyle w:val="BodyText"/>
        <w:spacing w:after="100"/>
        <w:ind w:firstLine="360"/>
        <w:rPr>
          <w:sz w:val="11"/>
          <w:szCs w:val="11"/>
        </w:rPr>
      </w:pPr>
      <w:r>
        <w:t>La enseñanza del personal mencionado asume importancia prioritaria en la erradicación de infecciones. Los profesionales asistenciales en pediatría deben conocer los mecanismos de transmisión de agentes infecciosos, las técnicas apropiadas de higiene manual y los posibles riesgos graves que imponen a los niños algunas infecciones leves de adultos. Por medio de sesiones frecuentes se reforzará el cumplimiento de técnicas seguras y también la importancia de normas de erradicación de infecciones. OSHAf señala en forma obligatoria la adopción de normas y métodos escritos en cuanto a lesiones por pinchazos de aguja o instrumentos cortantes. También los empleados deben recibir enseñanza sobre normas de hospital. Se cuenta con recomendaciones para la profilaxia después de lesiones (véanse “Humana, infección por virus de inmunodeficiencia [VIH]”, y cuadro 3-36).</w:t>
      </w:r>
      <w:r>
        <w:rPr>
          <w:rFonts w:ascii="Arial" w:eastAsia="Arial" w:hAnsi="Arial" w:cs="Arial"/>
          <w:sz w:val="11"/>
          <w:szCs w:val="11"/>
        </w:rPr>
        <w:footnoteReference w:id="59"/>
      </w:r>
      <w:r>
        <w:rPr>
          <w:rFonts w:ascii="Arial" w:eastAsia="Arial" w:hAnsi="Arial" w:cs="Arial"/>
          <w:sz w:val="11"/>
          <w:szCs w:val="11"/>
        </w:rPr>
        <w:t xml:space="preserve"> </w:t>
      </w:r>
      <w:r>
        <w:rPr>
          <w:rFonts w:ascii="Arial" w:eastAsia="Arial" w:hAnsi="Arial" w:cs="Arial"/>
          <w:sz w:val="11"/>
          <w:szCs w:val="11"/>
        </w:rPr>
        <w:footnoteReference w:id="60"/>
      </w:r>
    </w:p>
    <w:p w14:paraId="279C0DD8" w14:textId="77777777" w:rsidR="0072615D" w:rsidRDefault="0072615D">
      <w:pPr>
        <w:pStyle w:val="Bodytext70"/>
      </w:pPr>
      <w:r>
        <w:t>Visitas de hermanos</w:t>
      </w:r>
    </w:p>
    <w:p w14:paraId="28CBEC11" w14:textId="77777777" w:rsidR="0072615D" w:rsidRDefault="0072615D">
      <w:pPr>
        <w:pStyle w:val="BodyText"/>
        <w:ind w:firstLine="0"/>
      </w:pPr>
      <w:r>
        <w:t>Es importante alentar la visita de hermanos y otros parientes a centros obstétricos, salas de posparto, pabellones pediátricos y unidades de cuidado intensivo. Las medidas intensivas en neonatos, cada vez más complejas, hacen que los neonatos enfermos permanezcan cada vez mayor tiempo en los hospitales y asumen importancia la visita de los familiares. Si se cumplen las directrices, no aumentará la frecuencia de infecciones ulteriores en los pequeños enfermos o en los sanos cuando reciben la visita de hermanos y otros parientes.</w:t>
      </w:r>
    </w:p>
    <w:p w14:paraId="322BFE6D" w14:textId="77777777" w:rsidR="0072615D" w:rsidRDefault="0072615D">
      <w:pPr>
        <w:pStyle w:val="BodyText"/>
        <w:spacing w:after="160"/>
        <w:ind w:firstLine="360"/>
      </w:pPr>
      <w:r>
        <w:t>Las directrices para las visitas de hermanos y familiares deben establecerse para llevar al máximo las oportunidades de visitar a los pequeños y reducir al mínimo los riesgos de propagación de patógenos que los visitantes jóvenes lleven al hospital. A veces es necesario que enfermeras, pediatras, obstetras y el personal de infectología locales modifiquen tales pautas para abordar problemas específicos dentro del hospital. Las pautas básicas para las visitas de hermanos o parientes a los niños son:</w:t>
      </w:r>
    </w:p>
    <w:p w14:paraId="5CCC628E" w14:textId="77777777" w:rsidR="0072615D" w:rsidRDefault="0072615D">
      <w:pPr>
        <w:pStyle w:val="BodyText"/>
        <w:numPr>
          <w:ilvl w:val="0"/>
          <w:numId w:val="43"/>
        </w:numPr>
        <w:tabs>
          <w:tab w:val="left" w:pos="339"/>
        </w:tabs>
        <w:ind w:left="360" w:hanging="360"/>
      </w:pPr>
      <w:bookmarkStart w:id="470" w:name="bookmark470"/>
      <w:bookmarkEnd w:id="470"/>
      <w:r>
        <w:t>En el caso de todos los lactantes y niños hospitalizados habrá que alentar las visitas de sus hermanos y parientes.</w:t>
      </w:r>
    </w:p>
    <w:p w14:paraId="27EDBBF4" w14:textId="77777777" w:rsidR="0072615D" w:rsidRDefault="0072615D">
      <w:pPr>
        <w:pStyle w:val="BodyText"/>
        <w:numPr>
          <w:ilvl w:val="0"/>
          <w:numId w:val="43"/>
        </w:numPr>
        <w:tabs>
          <w:tab w:val="left" w:pos="339"/>
        </w:tabs>
        <w:ind w:left="360" w:hanging="360"/>
      </w:pPr>
      <w:bookmarkStart w:id="471" w:name="bookmark471"/>
      <w:bookmarkEnd w:id="471"/>
      <w:r>
        <w:t>Antes de la visita, un profesional asistencial experto entrevistará a los progenitores fuera de la unidad para valorar el estado que tiene cada hermano o hermana visitantes. No se permitirá la visita de niños con fiebres o síntomas de alguna enfermedad aguda como infecciones de vías respiratorias altas, gastroenteritis o dermatitis. Tampoco se permitirá que entren los hermanos que en fecha reciente estuvieron expuestos a una persona con una enfermedad transmisible diagnosticada y que son susceptibles. Las entrevistas deben registrarse por escrito en el expediente clínico y habrá que anotar el permiso para la visita de cada hermano o pariente.</w:t>
      </w:r>
    </w:p>
    <w:p w14:paraId="6650355D" w14:textId="77777777" w:rsidR="0072615D" w:rsidRDefault="0072615D">
      <w:pPr>
        <w:pStyle w:val="BodyText"/>
        <w:numPr>
          <w:ilvl w:val="0"/>
          <w:numId w:val="43"/>
        </w:numPr>
        <w:tabs>
          <w:tab w:val="left" w:pos="339"/>
        </w:tabs>
        <w:ind w:left="360" w:hanging="360"/>
      </w:pPr>
      <w:bookmarkStart w:id="472" w:name="bookmark472"/>
      <w:bookmarkEnd w:id="472"/>
      <w:r>
        <w:t>Se supone que están ya inmunes los hermanos asintomáticos recientemente expuestos a la varicela pero que habían sido vacunados previamente.</w:t>
      </w:r>
    </w:p>
    <w:p w14:paraId="2E1C13B1" w14:textId="77777777" w:rsidR="0072615D" w:rsidRDefault="0072615D">
      <w:pPr>
        <w:pStyle w:val="BodyText"/>
        <w:numPr>
          <w:ilvl w:val="0"/>
          <w:numId w:val="43"/>
        </w:numPr>
        <w:tabs>
          <w:tab w:val="left" w:pos="339"/>
        </w:tabs>
        <w:ind w:firstLine="0"/>
      </w:pPr>
      <w:bookmarkStart w:id="473" w:name="bookmark473"/>
      <w:bookmarkEnd w:id="473"/>
      <w:r>
        <w:t>El visitante debe estar solo con su hermano o hermana.</w:t>
      </w:r>
    </w:p>
    <w:p w14:paraId="062C3E27" w14:textId="77777777" w:rsidR="0072615D" w:rsidRDefault="0072615D">
      <w:pPr>
        <w:pStyle w:val="BodyText"/>
        <w:numPr>
          <w:ilvl w:val="0"/>
          <w:numId w:val="43"/>
        </w:numPr>
        <w:tabs>
          <w:tab w:val="left" w:pos="339"/>
        </w:tabs>
        <w:ind w:left="360" w:hanging="360"/>
      </w:pPr>
      <w:bookmarkStart w:id="474" w:name="bookmark474"/>
      <w:bookmarkEnd w:id="474"/>
      <w:r>
        <w:t>Los niños deben lavarse lo mejor posible las manos antes del contacto con cualquier paciente.</w:t>
      </w:r>
    </w:p>
    <w:p w14:paraId="6A591144" w14:textId="77777777" w:rsidR="0072615D" w:rsidRDefault="0072615D">
      <w:pPr>
        <w:pStyle w:val="BodyText"/>
        <w:numPr>
          <w:ilvl w:val="0"/>
          <w:numId w:val="43"/>
        </w:numPr>
        <w:tabs>
          <w:tab w:val="left" w:pos="339"/>
        </w:tabs>
        <w:ind w:left="360" w:hanging="360"/>
      </w:pPr>
      <w:bookmarkStart w:id="475" w:name="bookmark475"/>
      <w:bookmarkEnd w:id="475"/>
      <w:r>
        <w:t>En el tiempo que dure la visita, los padres o un adulto responsable supervisarán la actividad de los hermanos visitantes y sólo se podrá estar en la estancia privada de la madre o el paciente o en otras zonas asignadas.</w:t>
      </w:r>
    </w:p>
    <w:p w14:paraId="75F85942" w14:textId="77777777" w:rsidR="0072615D" w:rsidRDefault="0072615D">
      <w:pPr>
        <w:pStyle w:val="BodyText"/>
        <w:spacing w:after="100"/>
        <w:ind w:firstLine="0"/>
      </w:pPr>
      <w:r>
        <w:t>Deben establecerse pautas para las visitas de otros parientes y amigos cercanos. No se permitirá la entrada a ninguna persona con fiebre o enfermedades contagiosas. El personal médico y de enfermería debe vigilar la posibilidad de que los padres y otros adultos visitantes tengan enfermedades transmisibles (p. ej., un pariente con tos que pudiera tener tuberculosis; el progenitor con un resfriado que visita a un niño fuertemente inmunodeficiente).</w:t>
      </w:r>
    </w:p>
    <w:p w14:paraId="538526F8" w14:textId="77777777" w:rsidR="0072615D" w:rsidRDefault="0072615D">
      <w:pPr>
        <w:pStyle w:val="Bodytext70"/>
      </w:pPr>
      <w:r>
        <w:t>Visitas de mascotas</w:t>
      </w:r>
    </w:p>
    <w:p w14:paraId="3634EACF" w14:textId="77777777" w:rsidR="0072615D" w:rsidRDefault="0072615D">
      <w:pPr>
        <w:pStyle w:val="BodyText"/>
        <w:ind w:firstLine="0"/>
      </w:pPr>
      <w:r>
        <w:t>Las visitas de ese tipo dentro de hospitales se pueden dividir en dos categorías: visitas de una mascota personal del niño y visita de la mascota como parte de los programas terapéuticos en pediatría. Es importante definir las pautas para la vista de mascotas y así llevar al mínimo los peligros de transmisión de patógenos de ellas a los humanos, o de alguna lesión que ellas inflijan. El entorno hospitalario y el nivel de precauciones contra zoonosis serán los elementos que influyan en la imposición de normas de visita de los animales. Las normas hospitalarias deben ser elaboradas en consulta con pediatras, infectólogos, personal de enfermería, el epidemiólogo del hospital y veterinarios. Entre los principios básicos para las normas de visita de mascotas a hospitales están:</w:t>
      </w:r>
    </w:p>
    <w:p w14:paraId="2720E490" w14:textId="77777777" w:rsidR="0072615D" w:rsidRDefault="0072615D">
      <w:pPr>
        <w:pStyle w:val="BodyText"/>
        <w:numPr>
          <w:ilvl w:val="0"/>
          <w:numId w:val="43"/>
        </w:numPr>
        <w:tabs>
          <w:tab w:val="left" w:pos="339"/>
        </w:tabs>
        <w:ind w:left="360" w:hanging="360"/>
      </w:pPr>
      <w:bookmarkStart w:id="476" w:name="bookmark476"/>
      <w:bookmarkEnd w:id="476"/>
      <w:r>
        <w:t>Deben excluirse del hospital mascotas personales, excepto gatos y perros. No se podrán llevar al nosocomio reptiles (iguanas, tortugas, serpientes), anfibios, pájaros, primates, hurones o roedores.</w:t>
      </w:r>
    </w:p>
    <w:p w14:paraId="33ED283A" w14:textId="77777777" w:rsidR="0072615D" w:rsidRDefault="0072615D">
      <w:pPr>
        <w:pStyle w:val="BodyText"/>
        <w:numPr>
          <w:ilvl w:val="0"/>
          <w:numId w:val="43"/>
        </w:numPr>
        <w:tabs>
          <w:tab w:val="left" w:pos="339"/>
        </w:tabs>
        <w:ind w:left="360" w:hanging="360"/>
      </w:pPr>
      <w:bookmarkStart w:id="477" w:name="bookmark477"/>
      <w:bookmarkEnd w:id="477"/>
      <w:r>
        <w:t>Las mascotas deben tener un certificado de vacunación expedido por un veterinario con permiso de ejercicio profesional y verificación de que la mascota no tiene enfermedades contagiosas.</w:t>
      </w:r>
    </w:p>
    <w:p w14:paraId="2C2D1097" w14:textId="77777777" w:rsidR="0072615D" w:rsidRDefault="0072615D">
      <w:pPr>
        <w:pStyle w:val="BodyText"/>
        <w:numPr>
          <w:ilvl w:val="0"/>
          <w:numId w:val="43"/>
        </w:numPr>
        <w:tabs>
          <w:tab w:val="left" w:pos="339"/>
        </w:tabs>
        <w:ind w:firstLine="0"/>
      </w:pPr>
      <w:bookmarkStart w:id="478" w:name="bookmark478"/>
      <w:bookmarkEnd w:id="478"/>
      <w:r>
        <w:t>La mascota debe haber sido bañada y arreglada para la visita.</w:t>
      </w:r>
    </w:p>
    <w:p w14:paraId="57E22A53" w14:textId="77777777" w:rsidR="0072615D" w:rsidRDefault="0072615D">
      <w:pPr>
        <w:pStyle w:val="BodyText"/>
        <w:numPr>
          <w:ilvl w:val="0"/>
          <w:numId w:val="43"/>
        </w:numPr>
        <w:tabs>
          <w:tab w:val="left" w:pos="339"/>
        </w:tabs>
        <w:ind w:firstLine="0"/>
      </w:pPr>
      <w:bookmarkStart w:id="479" w:name="bookmark479"/>
      <w:bookmarkEnd w:id="479"/>
      <w:r>
        <w:t>En la unidad de cuidados intensivos no son apropiadas las visitas de mascotas.</w:t>
      </w:r>
    </w:p>
    <w:p w14:paraId="1A7E9835" w14:textId="77777777" w:rsidR="0072615D" w:rsidRDefault="0072615D">
      <w:pPr>
        <w:pStyle w:val="BodyText"/>
        <w:numPr>
          <w:ilvl w:val="0"/>
          <w:numId w:val="43"/>
        </w:numPr>
        <w:tabs>
          <w:tab w:val="left" w:pos="339"/>
        </w:tabs>
        <w:ind w:left="360" w:hanging="360"/>
        <w:sectPr w:rsidR="0072615D" w:rsidSect="0072615D">
          <w:headerReference w:type="even" r:id="rId340"/>
          <w:headerReference w:type="default" r:id="rId341"/>
          <w:footerReference w:type="even" r:id="rId342"/>
          <w:footerReference w:type="default" r:id="rId343"/>
          <w:footnotePr>
            <w:numFmt w:val="chicago"/>
          </w:footnotePr>
          <w:type w:val="continuous"/>
          <w:pgSz w:w="8501" w:h="13022"/>
          <w:pgMar w:top="699" w:right="614" w:bottom="429" w:left="518" w:header="0" w:footer="3" w:gutter="0"/>
          <w:cols w:space="720"/>
          <w:noEndnote/>
          <w:docGrid w:linePitch="360"/>
          <w15:footnoteColumns w:val="1"/>
        </w:sectPr>
      </w:pPr>
      <w:r>
        <w:t xml:space="preserve">El personal hospitalario apropiado debe aprobar la visita de la mascota (p. ej., el director del programa terapéutico en pediatría), y debe observar el temperamento y el estado general de la mascota en el momento de la visita. El animal no debe </w:t>
      </w:r>
    </w:p>
    <w:p w14:paraId="05A1EBDE" w14:textId="77777777" w:rsidR="0072615D" w:rsidRDefault="0072615D">
      <w:pPr>
        <w:pStyle w:val="BodyText"/>
        <w:tabs>
          <w:tab w:val="left" w:pos="339"/>
        </w:tabs>
        <w:ind w:left="360" w:firstLine="0"/>
      </w:pPr>
      <w:bookmarkStart w:id="480" w:name="bookmark480"/>
      <w:bookmarkEnd w:id="480"/>
      <w:r>
        <w:t>tener infecciones cutáneas bacterianas manifiestas, infecciones causadas por dermatofitos superficiales ni ectoparásitos (pulgas y garrapatas).</w:t>
      </w:r>
    </w:p>
    <w:p w14:paraId="2FE2697C" w14:textId="77777777" w:rsidR="0072615D" w:rsidRDefault="0072615D">
      <w:pPr>
        <w:pStyle w:val="BodyText"/>
        <w:ind w:left="360" w:firstLine="0"/>
      </w:pPr>
      <w:r>
        <w:t>La visita de las mascotas se concentrará en zonas designadas. El contacto debe limitarse a caricias y sostener al animal con las manos si así conviene. Todas las formas de contacto serán supervisadas en la visita por parte del personal hospitalario adecuado. Los supervisores deben conocer a fondo las normas hospitalarias para tratar mordeduras de animales y limpiar orina, heces o vómito de ellos.</w:t>
      </w:r>
    </w:p>
    <w:p w14:paraId="1BF5789D" w14:textId="77777777" w:rsidR="0072615D" w:rsidRDefault="0072615D">
      <w:pPr>
        <w:pStyle w:val="BodyText"/>
        <w:ind w:left="360" w:firstLine="0"/>
      </w:pPr>
      <w:r>
        <w:t>Los niños que entran en contacto con mascotas deben haber recibido la aprobación de un representante del médico o el propio médico antes de estar en presencia del animal. Hay que pensar antes de aprobar el contacto en la alergia corroborada a perros y gatos. En el caso de pacientes inmunodeficientes o que reciben inmunosupresores, los peligros de exposición a la microflora de mascotas pueden ser mayores que los beneficios del contacto. Es importante aprobar a nivel individual el contacto de los niños con sus mascotas.</w:t>
      </w:r>
    </w:p>
    <w:p w14:paraId="3320EC36" w14:textId="77777777" w:rsidR="0072615D" w:rsidRDefault="0072615D">
      <w:pPr>
        <w:pStyle w:val="BodyText"/>
        <w:ind w:left="360" w:firstLine="0"/>
      </w:pPr>
      <w:r>
        <w:t>Se tendrá enorme cuidado de proteger los sitios en que están los catéteres a permanencia; estos contarán con apósitos que aporten una barrera eficaz al contacto con el animal, que incluya lamidas. Hay que pensar a nivel individual todo lo referente a contaminación de otras zonas corporales.</w:t>
      </w:r>
    </w:p>
    <w:p w14:paraId="1112B0E8" w14:textId="77777777" w:rsidR="0072615D" w:rsidRDefault="0072615D">
      <w:pPr>
        <w:pStyle w:val="BodyText"/>
        <w:ind w:left="360" w:firstLine="0"/>
      </w:pPr>
      <w:r>
        <w:t>Los niños deben seguir técnicas adecuadas de higiene manual después de contacto con las mascotas.</w:t>
      </w:r>
    </w:p>
    <w:p w14:paraId="15196D3B" w14:textId="77777777" w:rsidR="0072615D" w:rsidRDefault="0072615D">
      <w:pPr>
        <w:pStyle w:val="BodyText"/>
        <w:spacing w:after="560"/>
        <w:ind w:left="360" w:firstLine="0"/>
      </w:pPr>
      <w:r>
        <w:t>La norma hacia mascotas no es válida para animales “lazarillos” entrenados por profesionales como los perros que guían ciegos. Ellos no son mascotas, y su uso y presencia en el hospital debe seguir normas separadas.</w:t>
      </w:r>
    </w:p>
    <w:p w14:paraId="0B8025B6" w14:textId="77777777" w:rsidR="0072615D" w:rsidRDefault="0072615D">
      <w:pPr>
        <w:pStyle w:val="Bodytext100"/>
      </w:pPr>
      <w:r>
        <w:rPr>
          <w:sz w:val="34"/>
          <w:szCs w:val="34"/>
        </w:rPr>
        <w:t>C</w:t>
      </w:r>
      <w:r>
        <w:t>ontrol infectológico en el consultorio</w:t>
      </w:r>
    </w:p>
    <w:p w14:paraId="4E337036" w14:textId="77777777" w:rsidR="0072615D" w:rsidRDefault="0072615D">
      <w:pPr>
        <w:pStyle w:val="BodyText"/>
        <w:ind w:firstLine="0"/>
      </w:pPr>
      <w:r>
        <w:t xml:space="preserve">El control de infecciones es parte integral de la práctica pediátrica fuera de los hospitales y dentro de ellos. Todo el personal asistencial debe conocer los mecanismos y vías de transmisión y técnicas utilizadas para evitar el contagio de agentes infecciosos. Es importante que las normas de control y prevención de infecciones estén escritas, se disponga de ellas fácilmente y se cumplan en la práctica. Las precauciones estándar, como se señalaron para el niño hospitalizado (véase antes en esta sección “control infectológico de niños hospitalizados”), con las modificaciones de la </w:t>
      </w:r>
      <w:r>
        <w:rPr>
          <w:rFonts w:ascii="Times New Roman" w:eastAsia="Times New Roman" w:hAnsi="Times New Roman" w:cs="Times New Roman"/>
          <w:i/>
          <w:iCs/>
          <w:sz w:val="16"/>
          <w:szCs w:val="16"/>
        </w:rPr>
        <w:t>American Academy of Pediatrics</w:t>
      </w:r>
      <w:r>
        <w:rPr>
          <w:i/>
          <w:iCs/>
        </w:rPr>
        <w:t>,</w:t>
      </w:r>
      <w:r>
        <w:rPr>
          <w:i/>
          <w:iCs/>
        </w:rPr>
        <w:footnoteReference w:id="61"/>
      </w:r>
      <w:r>
        <w:t xml:space="preserve"> son adecuadas para casi todos los encuentros con los pacientes. Los principios básicos de erradicación de infecciones fuera de los hospitales son los siguientes:</w:t>
      </w:r>
    </w:p>
    <w:p w14:paraId="2664B131" w14:textId="77777777" w:rsidR="0072615D" w:rsidRDefault="0072615D">
      <w:pPr>
        <w:pStyle w:val="BodyText"/>
        <w:numPr>
          <w:ilvl w:val="0"/>
          <w:numId w:val="43"/>
        </w:numPr>
        <w:tabs>
          <w:tab w:val="left" w:pos="333"/>
        </w:tabs>
        <w:ind w:firstLine="0"/>
      </w:pPr>
      <w:bookmarkStart w:id="481" w:name="bookmark481"/>
      <w:bookmarkEnd w:id="481"/>
      <w:r>
        <w:t>Todo el personal asistencial se someterá a medidas de higiene de manos antes</w:t>
      </w:r>
    </w:p>
    <w:p w14:paraId="7FEE7C04" w14:textId="77777777" w:rsidR="0072615D" w:rsidRDefault="0072615D">
      <w:pPr>
        <w:pStyle w:val="BodyText"/>
        <w:ind w:left="360" w:firstLine="0"/>
      </w:pPr>
      <w:r>
        <w:t>de contacto con el paciente y después de realizado. Es necesario enseñar a padres e hijos la importancia de la higiene manual.t</w:t>
      </w:r>
    </w:p>
    <w:p w14:paraId="7B188FC6" w14:textId="77777777" w:rsidR="0072615D" w:rsidRDefault="0072615D">
      <w:pPr>
        <w:pStyle w:val="BodyText"/>
        <w:numPr>
          <w:ilvl w:val="0"/>
          <w:numId w:val="43"/>
        </w:numPr>
        <w:tabs>
          <w:tab w:val="left" w:pos="333"/>
        </w:tabs>
        <w:ind w:firstLine="0"/>
      </w:pPr>
      <w:bookmarkStart w:id="482" w:name="bookmark482"/>
      <w:bookmarkEnd w:id="482"/>
      <w:r>
        <w:t>Al atender a todos los pacientes se seguirán precauciones estándar.</w:t>
      </w:r>
    </w:p>
    <w:p w14:paraId="7850958A" w14:textId="77777777" w:rsidR="0072615D" w:rsidRDefault="0072615D">
      <w:pPr>
        <w:pStyle w:val="BodyText"/>
        <w:numPr>
          <w:ilvl w:val="0"/>
          <w:numId w:val="43"/>
        </w:numPr>
        <w:tabs>
          <w:tab w:val="left" w:pos="333"/>
        </w:tabs>
        <w:ind w:left="360" w:hanging="360"/>
        <w:sectPr w:rsidR="0072615D" w:rsidSect="0072615D">
          <w:headerReference w:type="even" r:id="rId344"/>
          <w:headerReference w:type="default" r:id="rId345"/>
          <w:footerReference w:type="even" r:id="rId346"/>
          <w:footerReference w:type="default" r:id="rId347"/>
          <w:footnotePr>
            <w:numFmt w:val="chicago"/>
          </w:footnotePr>
          <w:type w:val="continuous"/>
          <w:pgSz w:w="8501" w:h="13022"/>
          <w:pgMar w:top="699" w:right="614" w:bottom="429" w:left="518" w:header="0" w:footer="1" w:gutter="0"/>
          <w:cols w:space="720"/>
          <w:noEndnote/>
          <w:docGrid w:linePitch="360"/>
          <w15:footnoteColumns w:val="1"/>
        </w:sectPr>
      </w:pPr>
      <w:r>
        <w:t xml:space="preserve">Hay que llevar al mínimo el contacto entre niños contagiosos y niños no infectados. Habrá que establecer normas para niños con la sospecha de infecciones como </w:t>
      </w:r>
    </w:p>
    <w:p w14:paraId="4685BDA7" w14:textId="77777777" w:rsidR="0072615D" w:rsidRDefault="0072615D">
      <w:pPr>
        <w:pStyle w:val="BodyText"/>
        <w:tabs>
          <w:tab w:val="left" w:pos="333"/>
        </w:tabs>
        <w:ind w:left="360" w:firstLine="0"/>
      </w:pPr>
      <w:bookmarkStart w:id="483" w:name="bookmark483"/>
      <w:bookmarkEnd w:id="483"/>
      <w:r>
        <w:t>tener infecciones cutáneas bacterianas manifiestas, infecciones causadas por dermatofitos superficiales ni ectoparásitos (pulgas y garrapatas).</w:t>
      </w:r>
    </w:p>
    <w:p w14:paraId="13C98683" w14:textId="77777777" w:rsidR="0072615D" w:rsidRDefault="0072615D">
      <w:pPr>
        <w:pStyle w:val="BodyText"/>
        <w:ind w:left="360" w:firstLine="0"/>
      </w:pPr>
      <w:r>
        <w:t>La visita de las mascotas se concentrará en zonas designadas. El contacto debe limitarse a caricias y sostener al animal con las manos si así conviene. Todas las formas de contacto serán supervisadas en la visita por parte del personal hospitalario adecuado. Los supervisores deben conocer a fondo las normas hospitalarias para tratar mordeduras de animales y limpiar orina, heces o vómito de ellos.</w:t>
      </w:r>
    </w:p>
    <w:p w14:paraId="353A1713" w14:textId="77777777" w:rsidR="0072615D" w:rsidRDefault="0072615D">
      <w:pPr>
        <w:pStyle w:val="BodyText"/>
        <w:ind w:left="360" w:firstLine="0"/>
      </w:pPr>
      <w:r>
        <w:t>Los niños que entran en contacto con mascotas deben haber recibido la aprobación de un representante del médico o el propio médico antes de estar en presencia del animal. Hay que pensar antes de aprobar el contacto en la alergia corroborada a perros y gatos. En el caso de pacientes inmunodeficientes o que reciben inmunosupresores, los peligros de exposición a la microflora de mascotas pueden ser mayores que los beneficios del contacto. Es importante aprobar a nivel individual el contacto de los niños con sus mascotas.</w:t>
      </w:r>
    </w:p>
    <w:p w14:paraId="1093F252" w14:textId="77777777" w:rsidR="0072615D" w:rsidRDefault="0072615D">
      <w:pPr>
        <w:pStyle w:val="BodyText"/>
        <w:ind w:left="360" w:firstLine="0"/>
      </w:pPr>
      <w:r>
        <w:t>Se tendrá enorme cuidado de proteger los sitios en que están los catéteres a permanencia; estos contarán con apósitos que aporten una barrera eficaz al contacto con el animal, que incluya lamidas. Hay que pensar a nivel individual todo lo referente a contaminación de otras zonas corporales.</w:t>
      </w:r>
    </w:p>
    <w:p w14:paraId="16C3F308" w14:textId="77777777" w:rsidR="0072615D" w:rsidRDefault="0072615D">
      <w:pPr>
        <w:pStyle w:val="BodyText"/>
        <w:ind w:left="360" w:firstLine="0"/>
      </w:pPr>
      <w:r>
        <w:t>Los niños deben seguir técnicas adecuadas de higiene manual después de contacto con las mascotas.</w:t>
      </w:r>
    </w:p>
    <w:p w14:paraId="764F3911" w14:textId="77777777" w:rsidR="0072615D" w:rsidRDefault="0072615D">
      <w:pPr>
        <w:pStyle w:val="BodyText"/>
        <w:spacing w:after="560"/>
        <w:ind w:left="360" w:firstLine="0"/>
      </w:pPr>
      <w:r>
        <w:t>La norma hacia mascotas no es válida para animales “lazarillos” entrenados por profesionales como los perros que guían ciegos. Ellos no son mascotas, y su uso y presencia en el hospital debe seguir normas separadas.</w:t>
      </w:r>
    </w:p>
    <w:p w14:paraId="584D4619" w14:textId="77777777" w:rsidR="0072615D" w:rsidRDefault="0072615D">
      <w:pPr>
        <w:pStyle w:val="Bodytext100"/>
      </w:pPr>
      <w:r>
        <w:rPr>
          <w:sz w:val="34"/>
          <w:szCs w:val="34"/>
        </w:rPr>
        <w:t>C</w:t>
      </w:r>
      <w:r>
        <w:t>ontrol infectológico en el consultorio</w:t>
      </w:r>
    </w:p>
    <w:p w14:paraId="27870FEA" w14:textId="77777777" w:rsidR="0072615D" w:rsidRDefault="0072615D">
      <w:pPr>
        <w:pStyle w:val="BodyText"/>
        <w:ind w:firstLine="0"/>
      </w:pPr>
      <w:r>
        <w:t xml:space="preserve">El control de infecciones es parte integral de la práctica pediátrica fuera de los hospitales y dentro de ellos. Todo el personal asistencial debe conocer los mecanismos y vías de transmisión y técnicas utilizadas para evitar el contagio de agentes infecciosos. Es importante que las normas de control y prevención de infecciones estén escritas, se disponga de ellas fácilmente y se cumplan en la práctica. Las precauciones estándar, como se señalaron para el niño hospitalizado (véase antes en esta sección “control infectológico de niños hospitalizados”), con las modificaciones de la </w:t>
      </w:r>
      <w:r>
        <w:rPr>
          <w:rFonts w:ascii="Times New Roman" w:eastAsia="Times New Roman" w:hAnsi="Times New Roman" w:cs="Times New Roman"/>
          <w:i/>
          <w:iCs/>
          <w:sz w:val="16"/>
          <w:szCs w:val="16"/>
        </w:rPr>
        <w:t>American Academy of Pediatrics</w:t>
      </w:r>
      <w:r>
        <w:rPr>
          <w:i/>
          <w:iCs/>
        </w:rPr>
        <w:t>,</w:t>
      </w:r>
      <w:r>
        <w:rPr>
          <w:i/>
          <w:iCs/>
        </w:rPr>
        <w:footnoteReference w:id="62"/>
      </w:r>
      <w:r>
        <w:t xml:space="preserve"> son adecuadas para casi todos los encuentros con los pacientes. Los principios básicos de erradicación de infecciones fuera de los hospitales son los siguientes:</w:t>
      </w:r>
    </w:p>
    <w:p w14:paraId="037A4DE4" w14:textId="77777777" w:rsidR="0072615D" w:rsidRDefault="0072615D">
      <w:pPr>
        <w:pStyle w:val="BodyText"/>
        <w:numPr>
          <w:ilvl w:val="0"/>
          <w:numId w:val="43"/>
        </w:numPr>
        <w:tabs>
          <w:tab w:val="left" w:pos="333"/>
        </w:tabs>
        <w:ind w:firstLine="0"/>
      </w:pPr>
      <w:bookmarkStart w:id="484" w:name="bookmark484"/>
      <w:bookmarkEnd w:id="484"/>
      <w:r>
        <w:t>Todo el personal asistencial se someterá a medidas de higiene de manos antes</w:t>
      </w:r>
    </w:p>
    <w:p w14:paraId="060ADB0E" w14:textId="77777777" w:rsidR="0072615D" w:rsidRDefault="0072615D">
      <w:pPr>
        <w:pStyle w:val="BodyText"/>
        <w:ind w:left="360" w:firstLine="0"/>
      </w:pPr>
      <w:r>
        <w:t>de contacto con el paciente y después de realizado. Es necesario enseñar a padres e hijos la importancia de la higiene manual.t</w:t>
      </w:r>
    </w:p>
    <w:p w14:paraId="6982568A" w14:textId="77777777" w:rsidR="0072615D" w:rsidRDefault="0072615D">
      <w:pPr>
        <w:pStyle w:val="BodyText"/>
        <w:numPr>
          <w:ilvl w:val="0"/>
          <w:numId w:val="43"/>
        </w:numPr>
        <w:tabs>
          <w:tab w:val="left" w:pos="333"/>
        </w:tabs>
        <w:ind w:firstLine="0"/>
      </w:pPr>
      <w:bookmarkStart w:id="485" w:name="bookmark485"/>
      <w:bookmarkEnd w:id="485"/>
      <w:r>
        <w:t>Al atender a todos los pacientes se seguirán precauciones estándar.</w:t>
      </w:r>
    </w:p>
    <w:p w14:paraId="483EDDA6" w14:textId="77777777" w:rsidR="0072615D" w:rsidRDefault="0072615D">
      <w:pPr>
        <w:pStyle w:val="BodyText"/>
        <w:numPr>
          <w:ilvl w:val="0"/>
          <w:numId w:val="43"/>
        </w:numPr>
        <w:tabs>
          <w:tab w:val="left" w:pos="333"/>
        </w:tabs>
        <w:ind w:left="360" w:hanging="360"/>
      </w:pPr>
      <w:bookmarkStart w:id="486" w:name="bookmark486"/>
      <w:bookmarkEnd w:id="486"/>
      <w:r>
        <w:t>Hay que llevar al mínimo el contacto entre niños contagiosos y niños no infectados. Habrá que establecer normas para niños con la sospecha de infecciones como varicela o sarampión. Sistemáticamente se hará la selección e identificación inmediata de niños inmunodeficientes.</w:t>
      </w:r>
    </w:p>
    <w:p w14:paraId="2ECA0A43" w14:textId="77777777" w:rsidR="0072615D" w:rsidRDefault="0072615D">
      <w:pPr>
        <w:pStyle w:val="BodyText"/>
        <w:ind w:left="360" w:firstLine="0"/>
      </w:pPr>
      <w:r>
        <w:t>Se prefiere el alcohol para la preparación de la piel antes de aplicar una vacuna o para la punción venosa corriente. Para la preparación cutánea antes de incisión, colocación de suturas u obtención de sangre para cultivos, se necesitan sustancias como la polividona (yodopolivinilpirrolidona al 10%), alcohol al 70%, tinturas alcohólicas de yodo o clorhexidina al 2 por ciento.</w:t>
      </w:r>
    </w:p>
    <w:p w14:paraId="17F887D4" w14:textId="77777777" w:rsidR="0072615D" w:rsidRDefault="0072615D">
      <w:pPr>
        <w:pStyle w:val="BodyText"/>
        <w:ind w:left="360" w:firstLine="0"/>
      </w:pPr>
      <w:r>
        <w:t>Los médicos deben conocer en detalle la técnica séptica, en particular la que se sigue en la colocación o manipulación de catéteres intravasculares.</w:t>
      </w:r>
      <w:r>
        <w:footnoteReference w:id="63"/>
      </w:r>
    </w:p>
    <w:p w14:paraId="347FA18A" w14:textId="77777777" w:rsidR="0072615D" w:rsidRDefault="0072615D">
      <w:pPr>
        <w:pStyle w:val="BodyText"/>
        <w:ind w:left="360" w:firstLine="0"/>
      </w:pPr>
      <w:r>
        <w:t>Es necesario manejar con enorme cuidado las agujas y objetos punzocortantes.</w:t>
      </w:r>
    </w:p>
    <w:p w14:paraId="1F64F697" w14:textId="77777777" w:rsidR="0072615D" w:rsidRDefault="0072615D">
      <w:pPr>
        <w:pStyle w:val="BodyText"/>
        <w:ind w:left="360" w:firstLine="0"/>
      </w:pPr>
      <w:r>
        <w:t>Es necesario contar junto a los espacios usados para las inyecciones o punciones venosas, con unidades de desechos de aguja que sean impermeables y resistan cualquier pinchazo. Los retenedores no deben estar demasiado llenos y se les conservará lejos del alcance de los niños. Habrá que establecer normas para la eliminación, incineración o esterilización del contenido.</w:t>
      </w:r>
    </w:p>
    <w:p w14:paraId="7F54AEF5" w14:textId="77777777" w:rsidR="0072615D" w:rsidRDefault="0072615D">
      <w:pPr>
        <w:pStyle w:val="BodyText"/>
        <w:ind w:left="360" w:firstLine="0"/>
      </w:pPr>
      <w:r>
        <w:t>Es importante colocar en sitios visibles las medidas para tratar lesiones como el pinchazo de aguja.</w:t>
      </w:r>
    </w:p>
    <w:p w14:paraId="6EC8DE5E" w14:textId="77777777" w:rsidR="0072615D" w:rsidRDefault="0072615D">
      <w:pPr>
        <w:pStyle w:val="BodyText"/>
        <w:ind w:left="360" w:firstLine="0"/>
      </w:pPr>
      <w:r>
        <w:t>Habrá que cumplir las pautas corrientes de descontaminación, desinfección y esterilización. Es esencial el uso apropiado de antimicrobianos para limitar la aparición y proliferación de fármacos polirresistentes (véase “Uso apropiado de antimicrobianos”, sección 4).</w:t>
      </w:r>
    </w:p>
    <w:p w14:paraId="2B07B59C" w14:textId="77777777" w:rsidR="0072615D" w:rsidRDefault="0072615D">
      <w:pPr>
        <w:pStyle w:val="BodyText"/>
        <w:ind w:left="360" w:firstLine="0"/>
      </w:pPr>
      <w:r>
        <w:t>Los consultorios y clínicas extrahospitalarios deben contar con normas y métodos para la comunicación con autoridades locales y estatales de salud en cuanto a enfermedades notificables y sospechas de brotes.</w:t>
      </w:r>
    </w:p>
    <w:p w14:paraId="61CEE614" w14:textId="77777777" w:rsidR="0072615D" w:rsidRDefault="0072615D">
      <w:pPr>
        <w:pStyle w:val="BodyText"/>
        <w:ind w:left="360" w:firstLine="0"/>
      </w:pPr>
      <w:r>
        <w:t>Hay que poner en práctica, exigir y valorar en forma regular programas de enseñanza constante que incluyan los aspectos apropiados de la erradicación de infecciones.</w:t>
      </w:r>
    </w:p>
    <w:p w14:paraId="595D873F" w14:textId="77777777" w:rsidR="0072615D" w:rsidRDefault="0072615D">
      <w:pPr>
        <w:pStyle w:val="BodyText"/>
        <w:spacing w:after="560" w:line="290" w:lineRule="auto"/>
        <w:ind w:left="360" w:firstLine="0"/>
      </w:pPr>
      <w:r>
        <w:t xml:space="preserve">Los médicos deben conocer las normas de las organizaciones gubernamentales como la </w:t>
      </w:r>
      <w:r>
        <w:rPr>
          <w:rFonts w:ascii="Times New Roman" w:eastAsia="Times New Roman" w:hAnsi="Times New Roman" w:cs="Times New Roman"/>
          <w:i/>
          <w:iCs/>
          <w:sz w:val="16"/>
          <w:szCs w:val="16"/>
        </w:rPr>
        <w:t>Occupational Safety and Health Administration</w:t>
      </w:r>
      <w:r>
        <w:t xml:space="preserve"> en Estados Unidos (OSHA).t</w:t>
      </w:r>
    </w:p>
    <w:p w14:paraId="741A70FF" w14:textId="77777777" w:rsidR="0072615D" w:rsidRDefault="0072615D">
      <w:pPr>
        <w:pStyle w:val="Bodytext100"/>
        <w:spacing w:after="160"/>
      </w:pPr>
      <w:r>
        <w:rPr>
          <w:sz w:val="34"/>
          <w:szCs w:val="34"/>
        </w:rPr>
        <w:t>E</w:t>
      </w:r>
      <w:r>
        <w:t>nfermedades de transmisión sexual</w:t>
      </w:r>
    </w:p>
    <w:p w14:paraId="356DE32B" w14:textId="77777777" w:rsidR="0072615D" w:rsidRDefault="0072615D">
      <w:pPr>
        <w:pStyle w:val="Other0"/>
        <w:spacing w:after="240" w:line="240" w:lineRule="auto"/>
        <w:ind w:firstLine="0"/>
        <w:jc w:val="center"/>
        <w:rPr>
          <w:sz w:val="26"/>
          <w:szCs w:val="26"/>
        </w:rPr>
      </w:pPr>
      <w:r>
        <w:rPr>
          <w:rFonts w:ascii="Times New Roman" w:eastAsia="Times New Roman" w:hAnsi="Times New Roman" w:cs="Times New Roman"/>
          <w:sz w:val="26"/>
          <w:szCs w:val="26"/>
        </w:rPr>
        <w:t>EN ADOLESCENTES Y NIÑOS</w:t>
      </w:r>
    </w:p>
    <w:p w14:paraId="53B0BE43" w14:textId="77777777" w:rsidR="0072615D" w:rsidRDefault="0072615D">
      <w:pPr>
        <w:pStyle w:val="BodyText"/>
        <w:ind w:firstLine="0"/>
      </w:pPr>
      <w:r>
        <w:t xml:space="preserve">Los médicos y otros profesionales asistenciales desempeñan una función importantísima en la prevención y el tratamiento de las enfermedades de transmisión sexual </w:t>
      </w:r>
      <w:r>
        <w:rPr>
          <w:i/>
          <w:iCs/>
        </w:rPr>
        <w:t>([</w:t>
      </w:r>
      <w:r>
        <w:rPr>
          <w:rFonts w:ascii="Times New Roman" w:eastAsia="Times New Roman" w:hAnsi="Times New Roman" w:cs="Times New Roman"/>
          <w:i/>
          <w:iCs/>
          <w:sz w:val="16"/>
          <w:szCs w:val="16"/>
        </w:rPr>
        <w:t>sexually transmitted diseases</w:t>
      </w:r>
      <w:r>
        <w:rPr>
          <w:i/>
          <w:iCs/>
        </w:rPr>
        <w:t>,</w:t>
      </w:r>
      <w:r>
        <w:t xml:space="preserve"> STD] o venéreas) en la población de niños. Este tipo de enfermedades constituye un grave problema en adolescentes y se ha calculado que en Estados Unidos 25% de ellos habrán padecido un trastorno de ese tipo antes de su graduación en la escuela preparatoria. En el caso de lactantes y niños, detectar una enfermedad STD constituye una varicela o sarampión. Sistemáticamente se hará la selección e identificación inmediata de niños inmunodeficientes.</w:t>
      </w:r>
    </w:p>
    <w:p w14:paraId="3E8001C8" w14:textId="77777777" w:rsidR="0072615D" w:rsidRDefault="0072615D">
      <w:pPr>
        <w:pStyle w:val="BodyText"/>
        <w:ind w:left="360" w:firstLine="0"/>
      </w:pPr>
      <w:r>
        <w:t>Se prefiere el alcohol para la preparación de la piel antes de aplicar una vacuna o para la punción venosa corriente. Para la preparación cutánea antes de incisión, colocación de suturas u obtención de sangre para cultivos, se necesitan sustancias como la polividona (yodopolivinilpirrolidona al 10%), alcohol al 70%, tinturas alcohólicas de yodo o clorhexidina al 2 por ciento.</w:t>
      </w:r>
    </w:p>
    <w:p w14:paraId="4FD12FA5" w14:textId="77777777" w:rsidR="0072615D" w:rsidRDefault="0072615D">
      <w:pPr>
        <w:pStyle w:val="BodyText"/>
        <w:ind w:left="360" w:firstLine="0"/>
      </w:pPr>
      <w:r>
        <w:t>Los médicos deben conocer en detalle la técnica séptica, en particular la que se sigue en la colocación o manipulación de catéteres intravasculares.</w:t>
      </w:r>
      <w:r>
        <w:footnoteReference w:id="64"/>
      </w:r>
    </w:p>
    <w:p w14:paraId="271DAC8D" w14:textId="77777777" w:rsidR="0072615D" w:rsidRDefault="0072615D">
      <w:pPr>
        <w:pStyle w:val="BodyText"/>
        <w:ind w:left="360" w:firstLine="0"/>
      </w:pPr>
      <w:r>
        <w:t>Es necesario manejar con enorme cuidado las agujas y objetos punzocortantes.</w:t>
      </w:r>
    </w:p>
    <w:p w14:paraId="38716E5F" w14:textId="77777777" w:rsidR="0072615D" w:rsidRDefault="0072615D">
      <w:pPr>
        <w:pStyle w:val="BodyText"/>
        <w:ind w:left="360" w:firstLine="0"/>
      </w:pPr>
      <w:r>
        <w:t>Es necesario contar junto a los espacios usados para las inyecciones o punciones venosas, con unidades de desechos de aguja que sean impermeables y resistan cualquier pinchazo. Los retenedores no deben estar demasiado llenos y se les conservará lejos del alcance de los niños. Habrá que establecer normas para la eliminación, incineración o esterilización del contenido.</w:t>
      </w:r>
    </w:p>
    <w:p w14:paraId="72A4017C" w14:textId="77777777" w:rsidR="0072615D" w:rsidRDefault="0072615D">
      <w:pPr>
        <w:pStyle w:val="BodyText"/>
        <w:ind w:left="360" w:firstLine="0"/>
      </w:pPr>
      <w:r>
        <w:t>Es importante colocar en sitios visibles las medidas para tratar lesiones como el pinchazo de aguja.</w:t>
      </w:r>
    </w:p>
    <w:p w14:paraId="18D9DD1F" w14:textId="77777777" w:rsidR="0072615D" w:rsidRDefault="0072615D">
      <w:pPr>
        <w:pStyle w:val="BodyText"/>
        <w:ind w:left="360" w:firstLine="0"/>
      </w:pPr>
      <w:r>
        <w:t>Habrá que cumplir las pautas corrientes de descontaminación, desinfección y esterilización. Es esencial el uso apropiado de antimicrobianos para limitar la aparición y proliferación de fármacos polirresistentes (véase “Uso apropiado de antimicrobianos”, sección 4).</w:t>
      </w:r>
    </w:p>
    <w:p w14:paraId="7904B777" w14:textId="77777777" w:rsidR="0072615D" w:rsidRDefault="0072615D">
      <w:pPr>
        <w:pStyle w:val="BodyText"/>
        <w:ind w:left="360" w:firstLine="0"/>
      </w:pPr>
      <w:r>
        <w:t>Los consultorios y clínicas extrahospitalarios deben contar con normas y métodos para la comunicación con autoridades locales y estatales de salud en cuanto a enfermedades notificables y sospechas de brotes.</w:t>
      </w:r>
    </w:p>
    <w:p w14:paraId="44FF3BD4" w14:textId="77777777" w:rsidR="0072615D" w:rsidRDefault="0072615D">
      <w:pPr>
        <w:pStyle w:val="BodyText"/>
        <w:ind w:left="360" w:firstLine="0"/>
      </w:pPr>
      <w:r>
        <w:t>Hay que poner en práctica, exigir y valorar en forma regular programas de enseñanza constante que incluyan los aspectos apropiados de la erradicación de infecciones.</w:t>
      </w:r>
    </w:p>
    <w:p w14:paraId="0EA70790" w14:textId="77777777" w:rsidR="0072615D" w:rsidRDefault="0072615D">
      <w:pPr>
        <w:pStyle w:val="BodyText"/>
        <w:spacing w:after="560" w:line="290" w:lineRule="auto"/>
        <w:ind w:left="360" w:firstLine="0"/>
      </w:pPr>
      <w:r>
        <w:t xml:space="preserve">Los médicos deben conocer las normas de las organizaciones gubernamentales como la </w:t>
      </w:r>
      <w:r>
        <w:rPr>
          <w:rFonts w:ascii="Times New Roman" w:eastAsia="Times New Roman" w:hAnsi="Times New Roman" w:cs="Times New Roman"/>
          <w:i/>
          <w:iCs/>
          <w:sz w:val="16"/>
          <w:szCs w:val="16"/>
        </w:rPr>
        <w:t>Occupational Safety and Health Administration</w:t>
      </w:r>
      <w:r>
        <w:t xml:space="preserve"> en Estados Unidos (OSHA).t</w:t>
      </w:r>
    </w:p>
    <w:p w14:paraId="38D9E718" w14:textId="77777777" w:rsidR="0072615D" w:rsidRDefault="0072615D">
      <w:pPr>
        <w:pStyle w:val="Bodytext100"/>
        <w:spacing w:after="160"/>
      </w:pPr>
      <w:r>
        <w:rPr>
          <w:sz w:val="34"/>
          <w:szCs w:val="34"/>
        </w:rPr>
        <w:t>E</w:t>
      </w:r>
      <w:r>
        <w:t>nfermedades de transmisión sexual</w:t>
      </w:r>
    </w:p>
    <w:p w14:paraId="1A835E03" w14:textId="77777777" w:rsidR="0072615D" w:rsidRDefault="0072615D">
      <w:pPr>
        <w:pStyle w:val="Other0"/>
        <w:spacing w:after="240" w:line="240" w:lineRule="auto"/>
        <w:ind w:firstLine="0"/>
        <w:jc w:val="center"/>
        <w:rPr>
          <w:sz w:val="26"/>
          <w:szCs w:val="26"/>
        </w:rPr>
      </w:pPr>
      <w:r>
        <w:rPr>
          <w:rFonts w:ascii="Times New Roman" w:eastAsia="Times New Roman" w:hAnsi="Times New Roman" w:cs="Times New Roman"/>
          <w:sz w:val="26"/>
          <w:szCs w:val="26"/>
        </w:rPr>
        <w:t>EN ADOLESCENTES Y NIÑOS</w:t>
      </w:r>
    </w:p>
    <w:p w14:paraId="3CBA47D8" w14:textId="77777777" w:rsidR="0072615D" w:rsidRDefault="0072615D">
      <w:pPr>
        <w:pStyle w:val="BodyText"/>
        <w:spacing w:after="100"/>
        <w:ind w:firstLine="0"/>
        <w:sectPr w:rsidR="0072615D" w:rsidSect="0072615D">
          <w:headerReference w:type="even" r:id="rId348"/>
          <w:headerReference w:type="default" r:id="rId349"/>
          <w:footerReference w:type="even" r:id="rId350"/>
          <w:footerReference w:type="default" r:id="rId351"/>
          <w:headerReference w:type="first" r:id="rId352"/>
          <w:footerReference w:type="first" r:id="rId353"/>
          <w:footnotePr>
            <w:numFmt w:val="chicago"/>
          </w:footnotePr>
          <w:pgSz w:w="8501" w:h="13022"/>
          <w:pgMar w:top="699" w:right="614" w:bottom="429" w:left="518" w:header="0" w:footer="3" w:gutter="0"/>
          <w:pgNumType w:start="209"/>
          <w:cols w:space="720"/>
          <w:noEndnote/>
          <w:titlePg/>
          <w:docGrid w:linePitch="360"/>
          <w15:footnoteColumns w:val="1"/>
        </w:sectPr>
      </w:pPr>
      <w:r>
        <w:t xml:space="preserve">Los médicos y otros profesionales asistenciales desempeñan una función importantísima en la prevención y el tratamiento de las enfermedades de transmisión sexual </w:t>
      </w:r>
      <w:r>
        <w:rPr>
          <w:i/>
          <w:iCs/>
        </w:rPr>
        <w:t>([</w:t>
      </w:r>
      <w:r>
        <w:rPr>
          <w:rFonts w:ascii="Times New Roman" w:eastAsia="Times New Roman" w:hAnsi="Times New Roman" w:cs="Times New Roman"/>
          <w:i/>
          <w:iCs/>
          <w:sz w:val="16"/>
          <w:szCs w:val="16"/>
        </w:rPr>
        <w:t>sexually transmitted diseases</w:t>
      </w:r>
      <w:r>
        <w:rPr>
          <w:i/>
          <w:iCs/>
        </w:rPr>
        <w:t>,</w:t>
      </w:r>
      <w:r>
        <w:t xml:space="preserve"> STD] o venéreas) en la población de niños. Este tipo de enfermedades constituye un grave problema en adolescentes y se ha calculado que en Estados Unidos 25% de ellos habrán padecido un trastorno de ese tipo antes de su graduación en la escuela preparatoria. En el caso de lactantes y niños, detectar una enfermedad STD constituye una </w:t>
      </w:r>
    </w:p>
    <w:p w14:paraId="5163107F" w14:textId="77777777" w:rsidR="0072615D" w:rsidRDefault="0072615D">
      <w:pPr>
        <w:pStyle w:val="BodyText"/>
        <w:spacing w:after="100"/>
        <w:ind w:firstLine="0"/>
      </w:pPr>
      <w:r>
        <w:t>señal importante que orienta hacia un posible abuso sexual. Este tipo de abuso en los niños ha estado presente durante muchas generaciones, pero sólo en fecha reciente se ha aceptado su prevalencia y los posibles efectos psicológicos devastadores que impone. Siempre que se sospecha abuso sexual, habrá que señalarlo a servicio social y organismos de cumplimiento de la ley para asegurar la protección del menor y la orientación adecuada.</w:t>
      </w:r>
    </w:p>
    <w:p w14:paraId="607CA89C" w14:textId="77777777" w:rsidR="0072615D" w:rsidRDefault="0072615D">
      <w:pPr>
        <w:pStyle w:val="Bodytext70"/>
        <w:spacing w:after="220"/>
      </w:pPr>
      <w:r>
        <w:t>Enfermedades de transmisión sexual en adolescentes</w:t>
      </w:r>
    </w:p>
    <w:p w14:paraId="295D45A9" w14:textId="77777777" w:rsidR="0072615D" w:rsidRDefault="0072615D">
      <w:pPr>
        <w:pStyle w:val="BodyText"/>
        <w:spacing w:after="220"/>
        <w:ind w:firstLine="0"/>
      </w:pPr>
      <w:r>
        <w:t>ASPECTOS EPIDEMIOLÓGICOS</w:t>
      </w:r>
    </w:p>
    <w:p w14:paraId="7A4627D4" w14:textId="77777777" w:rsidR="0072615D" w:rsidRDefault="0072615D">
      <w:pPr>
        <w:pStyle w:val="BodyText"/>
        <w:spacing w:after="220"/>
        <w:ind w:firstLine="0"/>
      </w:pPr>
      <w:r>
        <w:t>En los últimos 10 años ha disminuido la incidencia de todas las STD notificadas en Estados Unidos, pero los adolescentes y los adultos jóvenes siguen mostrando cifras altas de ellas, más que cualquier otro grupo de edad. Los adolescentes están en peligro particular y mayor de padecerlas porque a menudo tienen relaciones sexuales sin protección, biológicamente son más susceptibles a las infecciones y sus parejas amatorias duran poco tiempo, además de que se enfrentan a múltiples obstáculos en el uso de servicios asistenciales. En Estados Unidos en el año 2000, las cifras de notificación de casos de gonorrea fueron de 61 casos por 100 000 entre 40 y 44 años de vida, 307 por 100 000 entre los 25 y 29 años, 623 por 100 000 entre 20 y 24 años y 516 por 100 000 para las personas entre 15 y 19 años de edad. La máxima incidencia específica por edad en lo que toca al síndrome de inmunodeficiencia adquirida (SIDA) en 2000 fue de 34 por 100 000, en adultos de 25 a 39 años que posiblemente se contagiaron del virus de inmunodeficiencia humana (VIH) unos 10 años antes (más bien durante su adolescencia). En el año 2000, los señalamientos basados en datos de vigilancia de SIDA han indicado un decremento sustancial del número de casos de SIDA perinatal, lo cual refleja una tendencia cada vez menor a la transmisión de dicho virus en la fase mencionada. En el año 2000 en Estados Unidos los índices de clamidiasis fueron de 1 373 casos por 100 000 personas de 15 a 19 años y 521 por 100 000 personas de 25 a 29 años. Los datos en cuestión no reflejan en su verdadera magnitud la incidencia de STD entre adolescentes con experiencia sexual porque todos los miembros de este grupo, incluidos el 33% de todos los estudiantes estadounidenses de décimo, undécimo y duodécimo grados que nunca tuvieron relaciones sexuales, fueron incluidos en los denominadores usados para calcular las cifras de STD específicas por edad.</w:t>
      </w:r>
    </w:p>
    <w:p w14:paraId="7072DC22" w14:textId="77777777" w:rsidR="0072615D" w:rsidRDefault="0072615D">
      <w:pPr>
        <w:pStyle w:val="BodyText"/>
        <w:spacing w:after="220"/>
        <w:ind w:firstLine="0"/>
      </w:pPr>
      <w:r>
        <w:t>TRATAMIENTO</w:t>
      </w:r>
    </w:p>
    <w:p w14:paraId="017408C1" w14:textId="77777777" w:rsidR="0072615D" w:rsidRDefault="0072615D">
      <w:pPr>
        <w:pStyle w:val="BodyText"/>
        <w:spacing w:after="220" w:line="276" w:lineRule="auto"/>
        <w:ind w:firstLine="0"/>
        <w:rPr>
          <w:sz w:val="16"/>
          <w:szCs w:val="16"/>
        </w:rPr>
      </w:pPr>
      <w:r>
        <w:t xml:space="preserve">Los pediatras deben identificar enfermedades de transmisión sexual y el riesgo de ellas al interrogar a todos los adolescentes y al pedirles que señalen si han tenido relaciones sexuales o son sexualmente activos. Los adolescentes expuestos a un mayor peligro de mostrar las enfermedades en cuestión se incluyen en el cuadro 2-10. Los médicos pueden preparar a los progenitores y sus pacientes para esta cuestión delicada si informan a los primeros sobre las normas de confidencialidad y aseguran que la revisión anual de todos los adolescentes incluye una entrevista privada. En las publicaciones </w:t>
      </w:r>
      <w:r>
        <w:rPr>
          <w:rFonts w:ascii="Times New Roman" w:eastAsia="Times New Roman" w:hAnsi="Times New Roman" w:cs="Times New Roman"/>
          <w:i/>
          <w:iCs/>
          <w:sz w:val="16"/>
          <w:szCs w:val="16"/>
        </w:rPr>
        <w:t>Guidelines for Health Supervision</w:t>
      </w:r>
      <w:r>
        <w:t xml:space="preserve"> III</w:t>
      </w:r>
      <w:r>
        <w:footnoteReference w:id="65"/>
      </w:r>
      <w:r>
        <w:t xml:space="preserve"> de la </w:t>
      </w:r>
      <w:r>
        <w:rPr>
          <w:rFonts w:ascii="Times New Roman" w:eastAsia="Times New Roman" w:hAnsi="Times New Roman" w:cs="Times New Roman"/>
          <w:i/>
          <w:iCs/>
          <w:sz w:val="16"/>
          <w:szCs w:val="16"/>
        </w:rPr>
        <w:t>American Academy of Pediatrics y Guidelines</w:t>
      </w:r>
    </w:p>
    <w:p w14:paraId="5B808617" w14:textId="77777777" w:rsidR="0072615D" w:rsidRDefault="0072615D">
      <w:pPr>
        <w:pStyle w:val="Heading31"/>
        <w:keepNext/>
        <w:keepLines/>
        <w:pBdr>
          <w:bottom w:val="single" w:sz="4" w:space="0" w:color="auto"/>
        </w:pBdr>
        <w:spacing w:after="400" w:line="216" w:lineRule="auto"/>
        <w:jc w:val="center"/>
      </w:pPr>
      <w:bookmarkStart w:id="487" w:name="bookmark487"/>
      <w:bookmarkStart w:id="488" w:name="bookmark488"/>
      <w:bookmarkStart w:id="489" w:name="bookmark489"/>
      <w:r>
        <w:rPr>
          <w:b w:val="0"/>
          <w:bCs w:val="0"/>
        </w:rPr>
        <w:t xml:space="preserve">Cuadro 2-10. </w:t>
      </w:r>
      <w:r>
        <w:t>Se considera que los adolescentes con antecedentes que</w:t>
      </w:r>
      <w:r>
        <w:br/>
        <w:t>incluyen una o más de las situaciones siguientes están expuestos a mayor</w:t>
      </w:r>
      <w:r>
        <w:br/>
        <w:t>peligro de contraer alguna enfermedad de transmisión sexual (STD)</w:t>
      </w:r>
      <w:r>
        <w:rPr>
          <w:vertAlign w:val="superscript"/>
        </w:rPr>
        <w:t>1</w:t>
      </w:r>
      <w:bookmarkEnd w:id="487"/>
      <w:bookmarkEnd w:id="488"/>
      <w:bookmarkEnd w:id="489"/>
    </w:p>
    <w:p w14:paraId="6CA5001D" w14:textId="77777777" w:rsidR="0072615D" w:rsidRDefault="0072615D">
      <w:pPr>
        <w:pStyle w:val="Bodytext20"/>
        <w:numPr>
          <w:ilvl w:val="0"/>
          <w:numId w:val="43"/>
        </w:numPr>
        <w:tabs>
          <w:tab w:val="left" w:pos="231"/>
        </w:tabs>
      </w:pPr>
      <w:bookmarkStart w:id="490" w:name="bookmark490"/>
      <w:bookmarkEnd w:id="490"/>
      <w:r>
        <w:t>Contacto sexual con persona con STD identificadas o antecedentes de haberlas tenido</w:t>
      </w:r>
    </w:p>
    <w:p w14:paraId="11024316" w14:textId="77777777" w:rsidR="0072615D" w:rsidRDefault="0072615D">
      <w:pPr>
        <w:pStyle w:val="Bodytext20"/>
        <w:numPr>
          <w:ilvl w:val="0"/>
          <w:numId w:val="43"/>
        </w:numPr>
        <w:tabs>
          <w:tab w:val="left" w:pos="231"/>
        </w:tabs>
      </w:pPr>
      <w:bookmarkStart w:id="491" w:name="bookmark491"/>
      <w:bookmarkEnd w:id="491"/>
      <w:r>
        <w:t>Signos o síntomas de STD</w:t>
      </w:r>
    </w:p>
    <w:p w14:paraId="1ED461DC" w14:textId="77777777" w:rsidR="0072615D" w:rsidRDefault="0072615D">
      <w:pPr>
        <w:pStyle w:val="Bodytext20"/>
        <w:numPr>
          <w:ilvl w:val="0"/>
          <w:numId w:val="43"/>
        </w:numPr>
        <w:tabs>
          <w:tab w:val="left" w:pos="231"/>
        </w:tabs>
      </w:pPr>
      <w:bookmarkStart w:id="492" w:name="bookmark492"/>
      <w:bookmarkEnd w:id="492"/>
      <w:r>
        <w:t>Múltiples compañeros sexuales</w:t>
      </w:r>
    </w:p>
    <w:p w14:paraId="54BAF79B" w14:textId="77777777" w:rsidR="0072615D" w:rsidRDefault="0072615D">
      <w:pPr>
        <w:pStyle w:val="Bodytext20"/>
        <w:numPr>
          <w:ilvl w:val="0"/>
          <w:numId w:val="43"/>
        </w:numPr>
        <w:tabs>
          <w:tab w:val="left" w:pos="231"/>
        </w:tabs>
      </w:pPr>
      <w:bookmarkStart w:id="493" w:name="bookmark493"/>
      <w:bookmarkEnd w:id="493"/>
      <w:r>
        <w:t>Vida en las calles (como jovencitos sin hogar)</w:t>
      </w:r>
    </w:p>
    <w:p w14:paraId="23B9E87A" w14:textId="77777777" w:rsidR="0072615D" w:rsidRDefault="0072615D">
      <w:pPr>
        <w:pStyle w:val="Bodytext20"/>
        <w:numPr>
          <w:ilvl w:val="0"/>
          <w:numId w:val="43"/>
        </w:numPr>
        <w:tabs>
          <w:tab w:val="left" w:pos="231"/>
        </w:tabs>
      </w:pPr>
      <w:bookmarkStart w:id="494" w:name="bookmark494"/>
      <w:bookmarkEnd w:id="494"/>
      <w:r>
        <w:t>Coito con un nuevo compañero en los últimos dos meses</w:t>
      </w:r>
    </w:p>
    <w:p w14:paraId="2E184AC4" w14:textId="77777777" w:rsidR="0072615D" w:rsidRDefault="0072615D">
      <w:pPr>
        <w:pStyle w:val="Bodytext20"/>
        <w:numPr>
          <w:ilvl w:val="0"/>
          <w:numId w:val="43"/>
        </w:numPr>
        <w:tabs>
          <w:tab w:val="left" w:pos="231"/>
        </w:tabs>
      </w:pPr>
      <w:bookmarkStart w:id="495" w:name="bookmark495"/>
      <w:bookmarkEnd w:id="495"/>
      <w:r>
        <w:t>Más de dos compañeros sexuales en los 12 meses previos</w:t>
      </w:r>
    </w:p>
    <w:p w14:paraId="74F90EC0" w14:textId="77777777" w:rsidR="0072615D" w:rsidRDefault="0072615D">
      <w:pPr>
        <w:pStyle w:val="Bodytext20"/>
        <w:numPr>
          <w:ilvl w:val="0"/>
          <w:numId w:val="43"/>
        </w:numPr>
        <w:tabs>
          <w:tab w:val="left" w:pos="231"/>
        </w:tabs>
      </w:pPr>
      <w:bookmarkStart w:id="496" w:name="bookmark496"/>
      <w:bookmarkEnd w:id="496"/>
      <w:r>
        <w:t>Persona que no usa métodos anticonceptivos ni de barrera</w:t>
      </w:r>
    </w:p>
    <w:p w14:paraId="11B7DBE1" w14:textId="77777777" w:rsidR="0072615D" w:rsidRDefault="0072615D">
      <w:pPr>
        <w:pStyle w:val="Bodytext20"/>
        <w:numPr>
          <w:ilvl w:val="0"/>
          <w:numId w:val="43"/>
        </w:numPr>
        <w:tabs>
          <w:tab w:val="left" w:pos="231"/>
        </w:tabs>
      </w:pPr>
      <w:bookmarkStart w:id="497" w:name="bookmark497"/>
      <w:bookmarkEnd w:id="497"/>
      <w:r>
        <w:t>Usuario de drogas inyectables</w:t>
      </w:r>
    </w:p>
    <w:p w14:paraId="557B1197" w14:textId="77777777" w:rsidR="0072615D" w:rsidRDefault="0072615D">
      <w:pPr>
        <w:pStyle w:val="Bodytext20"/>
        <w:numPr>
          <w:ilvl w:val="0"/>
          <w:numId w:val="43"/>
        </w:numPr>
        <w:tabs>
          <w:tab w:val="left" w:pos="231"/>
        </w:tabs>
      </w:pPr>
      <w:bookmarkStart w:id="498" w:name="bookmark498"/>
      <w:bookmarkEnd w:id="498"/>
      <w:r>
        <w:t>Varón homosexual activo</w:t>
      </w:r>
    </w:p>
    <w:p w14:paraId="6D5EB94D" w14:textId="77777777" w:rsidR="0072615D" w:rsidRDefault="0072615D">
      <w:pPr>
        <w:pStyle w:val="Bodytext20"/>
        <w:numPr>
          <w:ilvl w:val="0"/>
          <w:numId w:val="43"/>
        </w:numPr>
        <w:tabs>
          <w:tab w:val="left" w:pos="231"/>
        </w:tabs>
        <w:ind w:left="340" w:hanging="340"/>
      </w:pPr>
      <w:bookmarkStart w:id="499" w:name="bookmark499"/>
      <w:bookmarkEnd w:id="499"/>
      <w:r>
        <w:t>“Sexo como forma de supervivencia” (tener contacto a cambio de dinero, drogas, refugio o alimento)</w:t>
      </w:r>
    </w:p>
    <w:p w14:paraId="65F7AAF1" w14:textId="77777777" w:rsidR="0072615D" w:rsidRDefault="0072615D">
      <w:pPr>
        <w:pStyle w:val="Bodytext20"/>
        <w:numPr>
          <w:ilvl w:val="0"/>
          <w:numId w:val="43"/>
        </w:numPr>
        <w:tabs>
          <w:tab w:val="left" w:pos="231"/>
        </w:tabs>
      </w:pPr>
      <w:bookmarkStart w:id="500" w:name="bookmark500"/>
      <w:bookmarkEnd w:id="500"/>
      <w:r>
        <w:t>Tiempo dentro de instituciones de detección</w:t>
      </w:r>
    </w:p>
    <w:p w14:paraId="6965D603" w14:textId="77777777" w:rsidR="0072615D" w:rsidRDefault="0072615D">
      <w:pPr>
        <w:pStyle w:val="Bodytext20"/>
        <w:numPr>
          <w:ilvl w:val="0"/>
          <w:numId w:val="43"/>
        </w:numPr>
        <w:pBdr>
          <w:bottom w:val="single" w:sz="4" w:space="0" w:color="auto"/>
        </w:pBdr>
        <w:tabs>
          <w:tab w:val="left" w:pos="231"/>
        </w:tabs>
        <w:spacing w:after="180"/>
      </w:pPr>
      <w:bookmarkStart w:id="501" w:name="bookmark501"/>
      <w:bookmarkEnd w:id="501"/>
      <w:r>
        <w:t>Haber sido paciente atendido en una clínica de STD</w:t>
      </w:r>
    </w:p>
    <w:p w14:paraId="02D0119A" w14:textId="77777777" w:rsidR="0072615D" w:rsidRDefault="0072615D">
      <w:pPr>
        <w:pStyle w:val="Bodytext20"/>
        <w:numPr>
          <w:ilvl w:val="0"/>
          <w:numId w:val="45"/>
        </w:numPr>
        <w:tabs>
          <w:tab w:val="left" w:pos="231"/>
        </w:tabs>
        <w:spacing w:after="520" w:line="298" w:lineRule="auto"/>
        <w:ind w:left="280" w:hanging="280"/>
        <w:rPr>
          <w:sz w:val="15"/>
          <w:szCs w:val="15"/>
        </w:rPr>
      </w:pPr>
      <w:bookmarkStart w:id="502" w:name="bookmark502"/>
      <w:bookmarkEnd w:id="502"/>
      <w:r>
        <w:rPr>
          <w:sz w:val="15"/>
          <w:szCs w:val="15"/>
        </w:rPr>
        <w:t xml:space="preserve">Modificado de Health Canada. </w:t>
      </w:r>
      <w:r>
        <w:rPr>
          <w:i/>
          <w:iCs/>
          <w:sz w:val="15"/>
          <w:szCs w:val="15"/>
        </w:rPr>
        <w:t>Canadian STD Guidelines: 1998 Edition.</w:t>
      </w:r>
      <w:r>
        <w:rPr>
          <w:sz w:val="15"/>
          <w:szCs w:val="15"/>
        </w:rPr>
        <w:t xml:space="preserve"> Ottawa, Ontario: Population and Public Health Branch, Health Canada; 1998. Disponible en: </w:t>
      </w:r>
      <w:hyperlink r:id="rId354" w:history="1">
        <w:r>
          <w:rPr>
            <w:sz w:val="15"/>
            <w:szCs w:val="15"/>
          </w:rPr>
          <w:t>www.hc-sc.gc.ca/hpb/lcdc/publicat/std98/index.html</w:t>
        </w:r>
      </w:hyperlink>
      <w:r>
        <w:rPr>
          <w:sz w:val="15"/>
          <w:szCs w:val="15"/>
        </w:rPr>
        <w:t>.</w:t>
      </w:r>
    </w:p>
    <w:p w14:paraId="033FF2A0" w14:textId="77777777" w:rsidR="0072615D" w:rsidRDefault="0072615D">
      <w:pPr>
        <w:pStyle w:val="BodyText"/>
        <w:ind w:firstLine="0"/>
      </w:pPr>
      <w:r>
        <w:rPr>
          <w:rFonts w:ascii="Times New Roman" w:eastAsia="Times New Roman" w:hAnsi="Times New Roman" w:cs="Times New Roman"/>
          <w:i/>
          <w:iCs/>
          <w:sz w:val="16"/>
          <w:szCs w:val="16"/>
        </w:rPr>
        <w:t>for Adolescent Preventive Services</w:t>
      </w:r>
      <w:r>
        <w:rPr>
          <w:i/>
          <w:iCs/>
        </w:rPr>
        <w:footnoteReference w:id="66"/>
      </w:r>
      <w:r>
        <w:t xml:space="preserve"> de la </w:t>
      </w:r>
      <w:r>
        <w:rPr>
          <w:rFonts w:ascii="Times New Roman" w:eastAsia="Times New Roman" w:hAnsi="Times New Roman" w:cs="Times New Roman"/>
          <w:i/>
          <w:iCs/>
          <w:sz w:val="16"/>
          <w:szCs w:val="16"/>
        </w:rPr>
        <w:t>American Medical Association</w:t>
      </w:r>
      <w:r>
        <w:t xml:space="preserve"> se incluyen recomendaciones más detalladas de medidas preventivas para los adolescentes. En Estados Unidos los 50 estados permiten a los menores expresar su consentimiento para el diagnóstico confidencial y tratamiento de enfermedades de transmisión sexual. A pesar de la prevalencia de este tipo de enfermedades en ellos, los profesionales a menudo no preguntan lo referente a comportamiento sexual, no valoran los riesgos de STD ni orientan sobre la disminución de los peligros.</w:t>
      </w:r>
    </w:p>
    <w:p w14:paraId="474BA803" w14:textId="77777777" w:rsidR="0072615D" w:rsidRDefault="0072615D">
      <w:pPr>
        <w:pStyle w:val="BodyText"/>
        <w:ind w:firstLine="360"/>
      </w:pPr>
      <w:r>
        <w:t xml:space="preserve">En toda adolescente que ha tenido actividad sexual, se hará cada año un </w:t>
      </w:r>
      <w:r>
        <w:rPr>
          <w:rFonts w:ascii="Times New Roman" w:eastAsia="Times New Roman" w:hAnsi="Times New Roman" w:cs="Times New Roman"/>
          <w:i/>
          <w:iCs/>
          <w:sz w:val="16"/>
          <w:szCs w:val="16"/>
        </w:rPr>
        <w:t>frotis</w:t>
      </w:r>
      <w:r>
        <w:t xml:space="preserve"> de </w:t>
      </w:r>
      <w:r>
        <w:rPr>
          <w:rFonts w:ascii="Times New Roman" w:eastAsia="Times New Roman" w:hAnsi="Times New Roman" w:cs="Times New Roman"/>
          <w:i/>
          <w:iCs/>
          <w:sz w:val="16"/>
          <w:szCs w:val="16"/>
        </w:rPr>
        <w:t>Papanicolaou</w:t>
      </w:r>
      <w:r>
        <w:t xml:space="preserve"> en busca de displasia cervical resultado de una infección por virus de papiloma humano. Además, muchos expertos recomiendan que toda adolescente sexualmente activa debe ser sometida a estudios en busca de gonorrea y clamidia, cada seis meses y recibir cada año orientación sobre VIH y elementos para detectar sífilis. Todos los adolescentes deben recibir la vacuna contra el virus de hepatitis B, si no han sido vacunados en etapas anteriores de la niñez (véase “Calendario recomendado de vacunaciones de niños y adolescentes”, fig. 1-1).</w:t>
      </w:r>
    </w:p>
    <w:p w14:paraId="3C795B4B" w14:textId="77777777" w:rsidR="0072615D" w:rsidRDefault="0072615D">
      <w:pPr>
        <w:pStyle w:val="BodyText"/>
        <w:spacing w:after="220"/>
        <w:ind w:firstLine="360"/>
      </w:pPr>
      <w:r>
        <w:t xml:space="preserve">En lo que toca a las recomendaciones terapéuticas contra enfermedades de transmisión sexual específicas conviene consultar los resúmenes de la sección 3 y el cuadro 4-3 que son específicos de ellas, “Directrices para el tratamiento de enfermedades de transmisión sexual en niños y adolescentes según síndromes”, sección 4. Es importante solicitar a todo paciente de gonorrea, infección por </w:t>
      </w:r>
      <w:r>
        <w:rPr>
          <w:rFonts w:ascii="Times New Roman" w:eastAsia="Times New Roman" w:hAnsi="Times New Roman" w:cs="Times New Roman"/>
          <w:i/>
          <w:iCs/>
          <w:sz w:val="16"/>
          <w:szCs w:val="16"/>
        </w:rPr>
        <w:t>Chlamydia trachomatis</w:t>
      </w:r>
      <w:r>
        <w:t xml:space="preserve"> y tricomoniasis, no tener actividad sexual durante una semana y hasta que su compañero sexual haya recibido tratamiento apropiado contra tales infecciones. Ya no se recomienda volver a practicar estudios para detectar ineficacia terapéutica (pruebas de cura) en pacientes que reciben regímenes terapéuticos recomendados contra infecciones por </w:t>
      </w:r>
      <w:r>
        <w:rPr>
          <w:rFonts w:ascii="Times New Roman" w:eastAsia="Times New Roman" w:hAnsi="Times New Roman" w:cs="Times New Roman"/>
          <w:i/>
          <w:iCs/>
          <w:sz w:val="16"/>
          <w:szCs w:val="16"/>
        </w:rPr>
        <w:t xml:space="preserve">Neisseria gonorrhoeae </w:t>
      </w:r>
      <w:r>
        <w:t xml:space="preserve">o </w:t>
      </w:r>
      <w:r>
        <w:rPr>
          <w:rFonts w:ascii="Times New Roman" w:eastAsia="Times New Roman" w:hAnsi="Times New Roman" w:cs="Times New Roman"/>
          <w:i/>
          <w:iCs/>
          <w:sz w:val="16"/>
          <w:szCs w:val="16"/>
        </w:rPr>
        <w:t>C. trachomatis</w:t>
      </w:r>
      <w:r>
        <w:rPr>
          <w:i/>
          <w:iCs/>
        </w:rPr>
        <w:t>,</w:t>
      </w:r>
      <w:r>
        <w:t xml:space="preserve"> salvo que haya dudas de que se cumplió el tratamiento o persistan los síntomas. Si se utiliza un régimen con múltiples dosis es posible que el paciente no cumpla con las órdenes terapéuticas. Los nuevos estudios para detectar infección por clamidias en un lapso menor de tres semanas después del tratamiento pueden arrojar resultados positivos falsos como consecuencia de la presencia de microorganismos residuales no viables. Algunos expertos recomiendan repetir las pruebas en los adolescentes cuatro a seis semanas después del tratamiento contra STD por la gran posibilidad de reinfección en dicho grupo de edad, en comparación con los adultos, a través de un compañero sexual corriente que no fue tratado o de un nuevo compañero sexual.</w:t>
      </w:r>
    </w:p>
    <w:p w14:paraId="16B02723" w14:textId="77777777" w:rsidR="0072615D" w:rsidRDefault="0072615D">
      <w:pPr>
        <w:pStyle w:val="BodyText"/>
        <w:spacing w:after="220"/>
        <w:ind w:firstLine="0"/>
      </w:pPr>
      <w:r>
        <w:t>PREVENCIÓN</w:t>
      </w:r>
    </w:p>
    <w:p w14:paraId="7EDA29DA" w14:textId="77777777" w:rsidR="0072615D" w:rsidRDefault="0072615D">
      <w:pPr>
        <w:pStyle w:val="BodyText"/>
        <w:spacing w:after="100"/>
        <w:ind w:firstLine="0"/>
      </w:pPr>
      <w:r>
        <w:t>Los pediatras pueden contribuir a la prevención primaria de las STD al alentar a los adolescentes a diferir el mayor tiempo posible el comienzo de su vida sexual, y en ellas, a estar preparadas a utilizar métodos anticonceptivos de barrera desde la primera experiencia en tales actividades. Los pediatras deben instar a las adolescentes que han tenido ya relaciones sexuales, a practicar abstinencia “secundaria” (celibato), reducir al mínimo el número de compañeros sexuales en toda su vida, utilizar métodos anticonceptivos de barrera en forma constante y precisa y tener conciencia del fuerte vínculo entre el consumo de alcohol o drogas y el hecho de no utilizar anticonceptivos de barrera. En los cuadros 2-11 y 2-12 se revisa el uso adecuado de los condones para varón y mujer.</w:t>
      </w:r>
    </w:p>
    <w:p w14:paraId="12847C9F" w14:textId="77777777" w:rsidR="0072615D" w:rsidRDefault="0072615D">
      <w:pPr>
        <w:pStyle w:val="Bodytext70"/>
        <w:spacing w:after="220"/>
      </w:pPr>
      <w:r>
        <w:t>Diagnóstico y tratamiento de STD en niños</w:t>
      </w:r>
      <w:r>
        <w:footnoteReference w:id="67"/>
      </w:r>
    </w:p>
    <w:p w14:paraId="7FAD8CF1" w14:textId="77777777" w:rsidR="0072615D" w:rsidRDefault="0072615D">
      <w:pPr>
        <w:pStyle w:val="BodyText"/>
        <w:ind w:firstLine="0"/>
      </w:pPr>
      <w:r>
        <w:t>Ante las consecuencias sociales y legales que tiene el diagnóstico de enfermedades de transmisión sexual en niños, es importante diagnosticarla por medio de pruebas de gran especificidad, porque la baja prevalencia de ellas en los menores incrementa la probabilidad de que las pruebas de detección rápida de tales enfermedades ocasionen resultados falsamente positivos. Por tal motivo, habrá que recurrir a estudios que permitan la identificación del microorganismo y tengan la máxima especificidad.</w:t>
      </w:r>
    </w:p>
    <w:p w14:paraId="4004E7B2" w14:textId="77777777" w:rsidR="0072615D" w:rsidRDefault="0072615D">
      <w:pPr>
        <w:pStyle w:val="BodyText"/>
        <w:spacing w:after="220" w:line="276" w:lineRule="auto"/>
        <w:ind w:firstLine="360"/>
      </w:pPr>
      <w:r>
        <w:t xml:space="preserve">Ante las consecuencias graves que tiene el diagnóstico de una STD en un niño, es importante no emprender la administración de antimicrobianos en niños en quienes se sospecha STD hasta que se sepa el resultado definitivo de los métodos diagnósticos. Es importante obtener de la vagina de niñas o jovencitas, de la uretra de niños y jovencitos y del área rectal, muestras para cultivos en busca de </w:t>
      </w:r>
      <w:r>
        <w:rPr>
          <w:rFonts w:ascii="Times New Roman" w:eastAsia="Times New Roman" w:hAnsi="Times New Roman" w:cs="Times New Roman"/>
          <w:i/>
          <w:iCs/>
          <w:sz w:val="16"/>
          <w:szCs w:val="16"/>
        </w:rPr>
        <w:t>N. gonorrhoeae</w:t>
      </w:r>
      <w:r>
        <w:t xml:space="preserve"> y </w:t>
      </w:r>
      <w:r>
        <w:rPr>
          <w:rFonts w:ascii="Times New Roman" w:eastAsia="Times New Roman" w:hAnsi="Times New Roman" w:cs="Times New Roman"/>
          <w:i/>
          <w:iCs/>
          <w:sz w:val="16"/>
          <w:szCs w:val="16"/>
        </w:rPr>
        <w:t>C. trachomatis,</w:t>
      </w:r>
      <w:r>
        <w:t xml:space="preserve"> y también de las áreas faríngeas para identificar </w:t>
      </w:r>
      <w:r>
        <w:rPr>
          <w:rFonts w:ascii="Times New Roman" w:eastAsia="Times New Roman" w:hAnsi="Times New Roman" w:cs="Times New Roman"/>
          <w:i/>
          <w:iCs/>
          <w:sz w:val="16"/>
          <w:szCs w:val="16"/>
        </w:rPr>
        <w:t>N. gonorrhoeae</w:t>
      </w:r>
      <w:r>
        <w:rPr>
          <w:i/>
          <w:iCs/>
        </w:rPr>
        <w:t>.</w:t>
      </w:r>
      <w:r>
        <w:t xml:space="preserve"> En niñas prepúberes no se recomienda obtener muestras endocervicales. Habrá que obtener muestras vaginales para cultivos, así como frotis húmedos, en busca de </w:t>
      </w:r>
      <w:r>
        <w:rPr>
          <w:rFonts w:ascii="Times New Roman" w:eastAsia="Times New Roman" w:hAnsi="Times New Roman" w:cs="Times New Roman"/>
          <w:i/>
          <w:iCs/>
          <w:sz w:val="16"/>
          <w:szCs w:val="16"/>
        </w:rPr>
        <w:t>Trichomonas vaginalis</w:t>
      </w:r>
      <w:r>
        <w:t xml:space="preserve"> y vaginosis bacteriana y muestras de suero para buscar treponema de sífilis, VIH y antígeno de superficie de hepatitis B. Para el diagnóstico detallado y las recomendaciones de tratamiento para STD específicas, véase la sección 3 y el cuadro 4-3, “Directrices para el tratamiento de enfermedades de transmisión sexual en niños y adolescentes, según los síndromes”.</w:t>
      </w:r>
    </w:p>
    <w:p w14:paraId="1739721B" w14:textId="77777777" w:rsidR="0072615D" w:rsidRDefault="0072615D">
      <w:pPr>
        <w:pStyle w:val="Heading31"/>
        <w:keepNext/>
        <w:keepLines/>
        <w:pBdr>
          <w:bottom w:val="single" w:sz="4" w:space="0" w:color="auto"/>
        </w:pBdr>
        <w:spacing w:after="400" w:line="221" w:lineRule="auto"/>
        <w:jc w:val="center"/>
      </w:pPr>
      <w:bookmarkStart w:id="503" w:name="bookmark503"/>
      <w:bookmarkStart w:id="504" w:name="bookmark504"/>
      <w:bookmarkStart w:id="505" w:name="bookmark505"/>
      <w:r>
        <w:rPr>
          <w:b w:val="0"/>
          <w:bCs w:val="0"/>
        </w:rPr>
        <w:t xml:space="preserve">Cuadro 2-11. </w:t>
      </w:r>
      <w:r>
        <w:t>Recomendaciones para el uso apropiado de condones para</w:t>
      </w:r>
      <w:r>
        <w:br/>
        <w:t>disminuir el peligro de contagio de enfermedades de transmisión sexual</w:t>
      </w:r>
      <w:r>
        <w:rPr>
          <w:vertAlign w:val="superscript"/>
        </w:rPr>
        <w:t>1</w:t>
      </w:r>
      <w:bookmarkEnd w:id="503"/>
      <w:bookmarkEnd w:id="504"/>
      <w:bookmarkEnd w:id="505"/>
    </w:p>
    <w:p w14:paraId="11DB3281" w14:textId="77777777" w:rsidR="0072615D" w:rsidRDefault="0072615D">
      <w:pPr>
        <w:pStyle w:val="Bodytext20"/>
      </w:pPr>
      <w:r>
        <w:rPr>
          <w:b/>
          <w:bCs/>
        </w:rPr>
        <w:t>Condones para varones</w:t>
      </w:r>
    </w:p>
    <w:p w14:paraId="212D3749" w14:textId="77777777" w:rsidR="0072615D" w:rsidRDefault="0072615D">
      <w:pPr>
        <w:pStyle w:val="Bodytext20"/>
        <w:numPr>
          <w:ilvl w:val="0"/>
          <w:numId w:val="43"/>
        </w:numPr>
        <w:tabs>
          <w:tab w:val="left" w:pos="192"/>
        </w:tabs>
      </w:pPr>
      <w:bookmarkStart w:id="506" w:name="bookmark506"/>
      <w:bookmarkEnd w:id="506"/>
      <w:r>
        <w:t>Utilizar un nuevo condón para cada contacto sexual (coito)</w:t>
      </w:r>
    </w:p>
    <w:p w14:paraId="5EAEBCBE" w14:textId="77777777" w:rsidR="0072615D" w:rsidRDefault="0072615D">
      <w:pPr>
        <w:pStyle w:val="Bodytext20"/>
        <w:numPr>
          <w:ilvl w:val="0"/>
          <w:numId w:val="43"/>
        </w:numPr>
        <w:tabs>
          <w:tab w:val="left" w:pos="192"/>
        </w:tabs>
        <w:ind w:left="240" w:hanging="240"/>
      </w:pPr>
      <w:bookmarkStart w:id="507" w:name="bookmark507"/>
      <w:bookmarkEnd w:id="507"/>
      <w:r>
        <w:t>Manipular con cuidado el condón para no dañarlo con uñas, dientes u otros objetos cortantes</w:t>
      </w:r>
    </w:p>
    <w:p w14:paraId="708B9AF7" w14:textId="77777777" w:rsidR="0072615D" w:rsidRDefault="0072615D">
      <w:pPr>
        <w:pStyle w:val="Bodytext20"/>
        <w:numPr>
          <w:ilvl w:val="0"/>
          <w:numId w:val="43"/>
        </w:numPr>
        <w:tabs>
          <w:tab w:val="left" w:pos="192"/>
        </w:tabs>
        <w:ind w:left="240" w:hanging="240"/>
      </w:pPr>
      <w:bookmarkStart w:id="508" w:name="bookmark508"/>
      <w:bookmarkEnd w:id="508"/>
      <w:r>
        <w:t>Colocar el condón después que esté erecto el pene y antes de contacto genital</w:t>
      </w:r>
    </w:p>
    <w:p w14:paraId="36C4DCAF" w14:textId="77777777" w:rsidR="0072615D" w:rsidRDefault="0072615D">
      <w:pPr>
        <w:pStyle w:val="Bodytext20"/>
        <w:numPr>
          <w:ilvl w:val="0"/>
          <w:numId w:val="43"/>
        </w:numPr>
        <w:tabs>
          <w:tab w:val="left" w:pos="192"/>
        </w:tabs>
        <w:ind w:left="240" w:hanging="240"/>
      </w:pPr>
      <w:bookmarkStart w:id="509" w:name="bookmark509"/>
      <w:bookmarkEnd w:id="509"/>
      <w:r>
        <w:t>Asegurar que no queda aire atrapado en el extremo del condón</w:t>
      </w:r>
    </w:p>
    <w:p w14:paraId="3952EF3B" w14:textId="77777777" w:rsidR="0072615D" w:rsidRDefault="0072615D">
      <w:pPr>
        <w:pStyle w:val="Bodytext20"/>
        <w:numPr>
          <w:ilvl w:val="0"/>
          <w:numId w:val="43"/>
        </w:numPr>
        <w:tabs>
          <w:tab w:val="left" w:pos="192"/>
        </w:tabs>
        <w:ind w:left="240" w:hanging="240"/>
      </w:pPr>
      <w:bookmarkStart w:id="510" w:name="bookmark510"/>
      <w:bookmarkEnd w:id="510"/>
      <w:r>
        <w:t>Asegurar que hay lubricación adecuada durante el coito, quizá con el uso de lubricantes externos</w:t>
      </w:r>
    </w:p>
    <w:p w14:paraId="3DB0731D" w14:textId="77777777" w:rsidR="0072615D" w:rsidRDefault="0072615D">
      <w:pPr>
        <w:pStyle w:val="Bodytext20"/>
        <w:numPr>
          <w:ilvl w:val="0"/>
          <w:numId w:val="43"/>
        </w:numPr>
        <w:tabs>
          <w:tab w:val="left" w:pos="192"/>
        </w:tabs>
        <w:ind w:left="240" w:hanging="240"/>
      </w:pPr>
      <w:bookmarkStart w:id="511" w:name="bookmark511"/>
      <w:bookmarkEnd w:id="511"/>
      <w:r>
        <w:t>Utilizar lubricantes hidrófilos (como la jalea K-Y,</w:t>
      </w:r>
      <w:r>
        <w:rPr>
          <w:vertAlign w:val="superscript"/>
        </w:rPr>
        <w:t>2</w:t>
      </w:r>
      <w:r>
        <w:t xml:space="preserve"> Astroglide,</w:t>
      </w:r>
      <w:r>
        <w:rPr>
          <w:vertAlign w:val="superscript"/>
        </w:rPr>
        <w:t>3</w:t>
      </w:r>
      <w:r>
        <w:t xml:space="preserve"> Aqua-Lube</w:t>
      </w:r>
      <w:r>
        <w:rPr>
          <w:vertAlign w:val="superscript"/>
        </w:rPr>
        <w:t>4</w:t>
      </w:r>
      <w:r>
        <w:t xml:space="preserve"> y glicerina) con condones de látex. El látex se debilita con los lubricantes oleosos (como vaselina, grasa, vegetal, aceite mineral, aceites para masaje, lociones corporales y aceites comestibles)</w:t>
      </w:r>
    </w:p>
    <w:p w14:paraId="353D00B8" w14:textId="77777777" w:rsidR="0072615D" w:rsidRDefault="0072615D">
      <w:pPr>
        <w:pStyle w:val="Bodytext20"/>
        <w:numPr>
          <w:ilvl w:val="0"/>
          <w:numId w:val="43"/>
        </w:numPr>
        <w:tabs>
          <w:tab w:val="left" w:pos="192"/>
        </w:tabs>
        <w:ind w:left="240" w:hanging="240"/>
      </w:pPr>
      <w:bookmarkStart w:id="512" w:name="bookmark512"/>
      <w:bookmarkEnd w:id="512"/>
      <w:r>
        <w:t>Sostener firmemente el condón contra la base del pene durante la maniobra de retiro y retirarlo cuando todavía está erecto el pene para evitar su desprendimiento</w:t>
      </w:r>
    </w:p>
    <w:p w14:paraId="00515CE1" w14:textId="77777777" w:rsidR="0072615D" w:rsidRDefault="0072615D">
      <w:pPr>
        <w:pStyle w:val="Bodytext20"/>
      </w:pPr>
      <w:r>
        <w:rPr>
          <w:b/>
          <w:bCs/>
        </w:rPr>
        <w:t>Condones para mujer (como Reality</w:t>
      </w:r>
      <w:r>
        <w:rPr>
          <w:b/>
          <w:bCs/>
          <w:vertAlign w:val="superscript"/>
        </w:rPr>
        <w:t>4</w:t>
      </w:r>
      <w:r>
        <w:rPr>
          <w:b/>
          <w:bCs/>
        </w:rPr>
        <w:t>)</w:t>
      </w:r>
    </w:p>
    <w:p w14:paraId="4C64C289" w14:textId="77777777" w:rsidR="0072615D" w:rsidRDefault="0072615D">
      <w:pPr>
        <w:pStyle w:val="Bodytext20"/>
        <w:numPr>
          <w:ilvl w:val="0"/>
          <w:numId w:val="43"/>
        </w:numPr>
        <w:tabs>
          <w:tab w:val="left" w:pos="192"/>
        </w:tabs>
        <w:ind w:left="240" w:hanging="240"/>
      </w:pPr>
      <w:bookmarkStart w:id="513" w:name="bookmark513"/>
      <w:bookmarkEnd w:id="513"/>
      <w:r>
        <w:t>Es una capa de poliuretano lubricado con un anillo en cada extremo, y se inserta uno en la vagina, sobre el cuello a manera de un diafragma y el otro fuera de la vagina para cubrir los genitales externos</w:t>
      </w:r>
    </w:p>
    <w:p w14:paraId="5087CE59" w14:textId="77777777" w:rsidR="0072615D" w:rsidRDefault="0072615D">
      <w:pPr>
        <w:pStyle w:val="Bodytext20"/>
        <w:numPr>
          <w:ilvl w:val="0"/>
          <w:numId w:val="43"/>
        </w:numPr>
        <w:pBdr>
          <w:bottom w:val="single" w:sz="4" w:space="0" w:color="auto"/>
        </w:pBdr>
        <w:tabs>
          <w:tab w:val="left" w:pos="192"/>
        </w:tabs>
        <w:spacing w:after="180"/>
        <w:ind w:left="240" w:hanging="240"/>
      </w:pPr>
      <w:bookmarkStart w:id="514" w:name="bookmark514"/>
      <w:bookmarkEnd w:id="514"/>
      <w:r>
        <w:t>En el caso de que no se pueda utilizar adecuadamente el condón de varón, pensar en el uso de un condón para mujer. Es posible que se necesiten instrucciones para su colocación</w:t>
      </w:r>
    </w:p>
    <w:p w14:paraId="050406A0" w14:textId="77777777" w:rsidR="0072615D" w:rsidRDefault="0072615D">
      <w:pPr>
        <w:pStyle w:val="Bodytext20"/>
        <w:numPr>
          <w:ilvl w:val="0"/>
          <w:numId w:val="46"/>
        </w:numPr>
        <w:tabs>
          <w:tab w:val="left" w:pos="168"/>
        </w:tabs>
        <w:spacing w:line="254" w:lineRule="auto"/>
        <w:ind w:left="240" w:hanging="240"/>
        <w:rPr>
          <w:sz w:val="15"/>
          <w:szCs w:val="15"/>
        </w:rPr>
      </w:pPr>
      <w:bookmarkStart w:id="515" w:name="bookmark515"/>
      <w:bookmarkEnd w:id="515"/>
      <w:r>
        <w:rPr>
          <w:sz w:val="15"/>
          <w:szCs w:val="15"/>
        </w:rPr>
        <w:t xml:space="preserve">De los Centers for Disease Control and Prevention: Sexually transmitted disease treatment guidelines 2002. </w:t>
      </w:r>
      <w:r>
        <w:rPr>
          <w:i/>
          <w:iCs/>
          <w:sz w:val="15"/>
          <w:szCs w:val="15"/>
        </w:rPr>
        <w:t>MMWR Recomm Rep.</w:t>
      </w:r>
      <w:r>
        <w:rPr>
          <w:sz w:val="15"/>
          <w:szCs w:val="15"/>
        </w:rPr>
        <w:t xml:space="preserve"> 2002;51(RR-6):1-80.</w:t>
      </w:r>
    </w:p>
    <w:p w14:paraId="067ED6E2" w14:textId="77777777" w:rsidR="0072615D" w:rsidRDefault="0072615D">
      <w:pPr>
        <w:pStyle w:val="Bodytext20"/>
        <w:numPr>
          <w:ilvl w:val="0"/>
          <w:numId w:val="46"/>
        </w:numPr>
        <w:tabs>
          <w:tab w:val="left" w:pos="183"/>
        </w:tabs>
        <w:spacing w:line="254" w:lineRule="auto"/>
        <w:rPr>
          <w:sz w:val="15"/>
          <w:szCs w:val="15"/>
        </w:rPr>
      </w:pPr>
      <w:bookmarkStart w:id="516" w:name="bookmark516"/>
      <w:bookmarkEnd w:id="516"/>
      <w:r>
        <w:rPr>
          <w:sz w:val="15"/>
          <w:szCs w:val="15"/>
        </w:rPr>
        <w:t>Personal Products Co, Skillman, NJ.</w:t>
      </w:r>
    </w:p>
    <w:p w14:paraId="4B065CC4" w14:textId="77777777" w:rsidR="0072615D" w:rsidRDefault="0072615D">
      <w:pPr>
        <w:pStyle w:val="Bodytext20"/>
        <w:numPr>
          <w:ilvl w:val="0"/>
          <w:numId w:val="46"/>
        </w:numPr>
        <w:tabs>
          <w:tab w:val="left" w:pos="183"/>
        </w:tabs>
        <w:spacing w:line="480" w:lineRule="auto"/>
        <w:rPr>
          <w:sz w:val="15"/>
          <w:szCs w:val="15"/>
        </w:rPr>
      </w:pPr>
      <w:bookmarkStart w:id="517" w:name="bookmark517"/>
      <w:bookmarkEnd w:id="517"/>
      <w:r>
        <w:rPr>
          <w:sz w:val="15"/>
          <w:szCs w:val="15"/>
        </w:rPr>
        <w:t>Biofilm, Vista, CA.</w:t>
      </w:r>
    </w:p>
    <w:p w14:paraId="4E219BAD" w14:textId="77777777" w:rsidR="0072615D" w:rsidRDefault="0072615D">
      <w:pPr>
        <w:pStyle w:val="Bodytext20"/>
        <w:numPr>
          <w:ilvl w:val="0"/>
          <w:numId w:val="46"/>
        </w:numPr>
        <w:tabs>
          <w:tab w:val="left" w:pos="188"/>
        </w:tabs>
        <w:spacing w:after="400" w:line="254" w:lineRule="auto"/>
        <w:rPr>
          <w:sz w:val="15"/>
          <w:szCs w:val="15"/>
        </w:rPr>
      </w:pPr>
      <w:bookmarkStart w:id="518" w:name="bookmark518"/>
      <w:bookmarkEnd w:id="518"/>
      <w:r>
        <w:rPr>
          <w:sz w:val="15"/>
          <w:szCs w:val="15"/>
        </w:rPr>
        <w:t>Mayer Laboratories Inc, Oakland, CA.</w:t>
      </w:r>
    </w:p>
    <w:p w14:paraId="7A5E18D5" w14:textId="77777777" w:rsidR="0072615D" w:rsidRDefault="0072615D">
      <w:pPr>
        <w:pStyle w:val="Bodytext70"/>
      </w:pPr>
      <w:r>
        <w:t>Repercusiones sociales de la STD en niños</w:t>
      </w:r>
    </w:p>
    <w:p w14:paraId="06EB8D2E" w14:textId="77777777" w:rsidR="0072615D" w:rsidRDefault="0072615D">
      <w:pPr>
        <w:pStyle w:val="BodyText"/>
        <w:ind w:firstLine="0"/>
      </w:pPr>
      <w:r>
        <w:t>Los niños pueden contagiarse de las STD por transmisión vertical, por autoinoculación o por contacto sexual. Hay que pensar con todo detenimiento en cada uno de estos mecanismos al valorar a un preadolescente con una enfermedad de transmisión sexual. Será mejor no emprender una valoración basada en la sola sospecha de tal tipo de enfermedad hasta que se haya confirmado su diagnóstico. Entre los factores que se considerarán al valorar la posibilidad de abuso sexual en un niño con STD están si él señala el antecedente de haber sido víctima sexual, características biológicas de la STD en cuestión y la edad del niño (véase cuadro 2-13).</w:t>
      </w:r>
    </w:p>
    <w:p w14:paraId="1593E379" w14:textId="77777777" w:rsidR="0072615D" w:rsidRDefault="0072615D">
      <w:pPr>
        <w:pStyle w:val="BodyText"/>
        <w:ind w:firstLine="360"/>
      </w:pPr>
      <w:r>
        <w:t>La gonorrea anogenital en un niño prepúber por lo común denota abuso en casi todos los casos. Tal enfermedad en los niños mencionados, más allá del periodo neonatal, debe ser notificada siempre a las organizaciones de servicios de protección infantil de la localidad para su investigación.</w:t>
      </w:r>
    </w:p>
    <w:p w14:paraId="658A508D" w14:textId="77777777" w:rsidR="0072615D" w:rsidRDefault="0072615D">
      <w:pPr>
        <w:pStyle w:val="BodyText"/>
        <w:spacing w:after="320"/>
        <w:ind w:firstLine="360"/>
      </w:pPr>
      <w:r>
        <w:t>El herpes simple tiene un periodo breve de incubación, pero puede ser transmitido por contacto sexual o no sexual con otra persona o por autoinoculación. En un lactante o en un niño que inicia la ambulación y que usa pañales, el herpes genital puede surgir por cualquiera de los mecanismos mencionados. En un niño prepuberal cuyo control de esfínteres es independiente, la aparición nueva de herpes genital debe obligar a hacer una investigación cuidadosa que incluya la investigación de servicios de protección infantil por supuesto abuso sexual.</w:t>
      </w:r>
      <w:r>
        <w:br w:type="page"/>
      </w:r>
    </w:p>
    <w:p w14:paraId="064128E3" w14:textId="77777777" w:rsidR="0072615D" w:rsidRDefault="0072615D">
      <w:pPr>
        <w:pStyle w:val="Heading31"/>
        <w:keepNext/>
        <w:keepLines/>
        <w:ind w:firstLine="320"/>
      </w:pPr>
      <w:bookmarkStart w:id="519" w:name="bookmark519"/>
      <w:bookmarkStart w:id="520" w:name="bookmark520"/>
      <w:bookmarkStart w:id="521" w:name="bookmark521"/>
      <w:r>
        <w:rPr>
          <w:b w:val="0"/>
          <w:bCs w:val="0"/>
        </w:rPr>
        <w:t xml:space="preserve">Cuadro 2-12. </w:t>
      </w:r>
      <w:r>
        <w:t>Obstáculos para uso del condón y formas de superarlos</w:t>
      </w:r>
      <w:r>
        <w:rPr>
          <w:vertAlign w:val="superscript"/>
        </w:rPr>
        <w:footnoteReference w:id="68"/>
      </w:r>
      <w:bookmarkEnd w:id="519"/>
      <w:bookmarkEnd w:id="520"/>
      <w:bookmarkEnd w:id="521"/>
    </w:p>
    <w:p w14:paraId="0CCA4304" w14:textId="77777777" w:rsidR="0072615D" w:rsidRDefault="0072615D">
      <w:pPr>
        <w:pStyle w:val="Heading41"/>
        <w:keepNext/>
        <w:keepLines/>
        <w:pBdr>
          <w:top w:val="single" w:sz="0" w:space="0" w:color="231F20"/>
          <w:left w:val="single" w:sz="0" w:space="0" w:color="231F20"/>
          <w:bottom w:val="single" w:sz="0" w:space="3" w:color="231F20"/>
          <w:right w:val="single" w:sz="0" w:space="0" w:color="231F20"/>
        </w:pBdr>
        <w:shd w:val="clear" w:color="auto" w:fill="231F20"/>
        <w:tabs>
          <w:tab w:val="left" w:pos="3394"/>
        </w:tabs>
        <w:spacing w:after="18"/>
      </w:pPr>
      <w:bookmarkStart w:id="522" w:name="bookmark522"/>
      <w:bookmarkStart w:id="523" w:name="bookmark523"/>
      <w:bookmarkStart w:id="524" w:name="bookmark524"/>
      <w:r>
        <w:rPr>
          <w:color w:val="FFFFFF"/>
        </w:rPr>
        <w:t>Obstáculo percibido</w:t>
      </w:r>
      <w:r>
        <w:rPr>
          <w:color w:val="FFFFFF"/>
        </w:rPr>
        <w:tab/>
        <w:t>Estrategias de intervención</w:t>
      </w:r>
      <w:bookmarkEnd w:id="522"/>
      <w:bookmarkEnd w:id="523"/>
      <w:bookmarkEnd w:id="524"/>
    </w:p>
    <w:p w14:paraId="4679ACEC" w14:textId="77777777" w:rsidR="0072615D" w:rsidRDefault="0072615D">
      <w:pPr>
        <w:pStyle w:val="Bodytext20"/>
      </w:pPr>
      <w:r>
        <w:rPr>
          <w:noProof/>
        </w:rPr>
        <mc:AlternateContent>
          <mc:Choice Requires="wps">
            <w:drawing>
              <wp:anchor distT="0" distB="4108450" distL="34290" distR="217805" simplePos="0" relativeHeight="251685888" behindDoc="0" locked="0" layoutInCell="1" allowOverlap="1" wp14:anchorId="362490BB" wp14:editId="33D11626">
                <wp:simplePos x="0" y="0"/>
                <wp:positionH relativeFrom="page">
                  <wp:posOffset>558800</wp:posOffset>
                </wp:positionH>
                <wp:positionV relativeFrom="margin">
                  <wp:posOffset>567690</wp:posOffset>
                </wp:positionV>
                <wp:extent cx="1908175" cy="429895"/>
                <wp:effectExtent l="0" t="0" r="0" b="0"/>
                <wp:wrapSquare wrapText="right"/>
                <wp:docPr id="370" name="Shape 370"/>
                <wp:cNvGraphicFramePr/>
                <a:graphic xmlns:a="http://schemas.openxmlformats.org/drawingml/2006/main">
                  <a:graphicData uri="http://schemas.microsoft.com/office/word/2010/wordprocessingShape">
                    <wps:wsp>
                      <wps:cNvSpPr txBox="1"/>
                      <wps:spPr>
                        <a:xfrm>
                          <a:off x="0" y="0"/>
                          <a:ext cx="1908175" cy="429895"/>
                        </a:xfrm>
                        <a:prstGeom prst="rect">
                          <a:avLst/>
                        </a:prstGeom>
                        <a:noFill/>
                      </wps:spPr>
                      <wps:txbx>
                        <w:txbxContent>
                          <w:p w14:paraId="72586666" w14:textId="77777777" w:rsidR="0072615D" w:rsidRDefault="0072615D">
                            <w:pPr>
                              <w:pStyle w:val="Bodytext20"/>
                            </w:pPr>
                            <w:r>
                              <w:t>Disminuye el placer sexual (sensibilidad) Nota: suele ser señalado por aquellos que nunca han usado condón</w:t>
                            </w:r>
                          </w:p>
                        </w:txbxContent>
                      </wps:txbx>
                      <wps:bodyPr lIns="0" tIns="0" rIns="0" bIns="0"/>
                    </wps:wsp>
                  </a:graphicData>
                </a:graphic>
              </wp:anchor>
            </w:drawing>
          </mc:Choice>
          <mc:Fallback>
            <w:pict>
              <v:shape w14:anchorId="362490BB" id="Shape 370" o:spid="_x0000_s1052" type="#_x0000_t202" style="position:absolute;margin-left:44pt;margin-top:44.7pt;width:150.25pt;height:33.85pt;z-index:251685888;visibility:visible;mso-wrap-style:square;mso-wrap-distance-left:2.7pt;mso-wrap-distance-top:0;mso-wrap-distance-right:17.15pt;mso-wrap-distance-bottom:323.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" filled="f" stroked="f">
                <v:textbox inset="0,0,0,0">
                  <w:txbxContent>
                    <w:p w14:paraId="72586666" w14:textId="77777777" w:rsidR="0072615D" w:rsidRDefault="0072615D">
                      <w:pPr>
                        <w:pStyle w:val="Bodytext20"/>
                      </w:pPr>
                      <w:r>
                        <w:t>Disminuye el placer sexual (sensibilidad) Nota: suele ser señalado por aquellos que nunca han usado condón</w:t>
                      </w:r>
                    </w:p>
                  </w:txbxContent>
                </v:textbox>
                <w10:wrap type="square" side="right" anchorx="page" anchory="margin"/>
              </v:shape>
            </w:pict>
          </mc:Fallback>
        </mc:AlternateContent>
      </w:r>
      <w:r>
        <w:rPr>
          <w:noProof/>
        </w:rPr>
        <mc:AlternateContent>
          <mc:Choice Requires="wps">
            <w:drawing>
              <wp:anchor distT="822960" distB="3566160" distL="25400" distR="25400" simplePos="0" relativeHeight="251686912" behindDoc="0" locked="0" layoutInCell="1" allowOverlap="1" wp14:anchorId="774B7CD4" wp14:editId="2600C6BB">
                <wp:simplePos x="0" y="0"/>
                <wp:positionH relativeFrom="page">
                  <wp:posOffset>549910</wp:posOffset>
                </wp:positionH>
                <wp:positionV relativeFrom="margin">
                  <wp:posOffset>1390650</wp:posOffset>
                </wp:positionV>
                <wp:extent cx="2109470" cy="149225"/>
                <wp:effectExtent l="0" t="0" r="0" b="0"/>
                <wp:wrapSquare wrapText="right"/>
                <wp:docPr id="372" name="Shape 372"/>
                <wp:cNvGraphicFramePr/>
                <a:graphic xmlns:a="http://schemas.openxmlformats.org/drawingml/2006/main">
                  <a:graphicData uri="http://schemas.microsoft.com/office/word/2010/wordprocessingShape">
                    <wps:wsp>
                      <wps:cNvSpPr txBox="1"/>
                      <wps:spPr>
                        <a:xfrm>
                          <a:off x="0" y="0"/>
                          <a:ext cx="2109470" cy="149225"/>
                        </a:xfrm>
                        <a:prstGeom prst="rect">
                          <a:avLst/>
                        </a:prstGeom>
                        <a:noFill/>
                      </wps:spPr>
                      <wps:txbx>
                        <w:txbxContent>
                          <w:p w14:paraId="4B2E7934" w14:textId="77777777" w:rsidR="0072615D" w:rsidRDefault="0072615D">
                            <w:pPr>
                              <w:pStyle w:val="Bodytext20"/>
                              <w:spacing w:line="240" w:lineRule="auto"/>
                            </w:pPr>
                            <w:r>
                              <w:t>Aminora la espontaneidad de la actividad sexual</w:t>
                            </w:r>
                          </w:p>
                        </w:txbxContent>
                      </wps:txbx>
                      <wps:bodyPr wrap="none" lIns="0" tIns="0" rIns="0" bIns="0"/>
                    </wps:wsp>
                  </a:graphicData>
                </a:graphic>
              </wp:anchor>
            </w:drawing>
          </mc:Choice>
          <mc:Fallback>
            <w:pict>
              <v:shape w14:anchorId="774B7CD4" id="Shape 372" o:spid="_x0000_s1053" type="#_x0000_t202" style="position:absolute;margin-left:43.3pt;margin-top:109.5pt;width:166.1pt;height:11.75pt;z-index:251686912;visibility:visible;mso-wrap-style:none;mso-wrap-distance-left:2pt;mso-wrap-distance-top:64.8pt;mso-wrap-distance-right:2pt;mso-wrap-distance-bottom:280.8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" filled="f" stroked="f">
                <v:textbox inset="0,0,0,0">
                  <w:txbxContent>
                    <w:p w14:paraId="4B2E7934" w14:textId="77777777" w:rsidR="0072615D" w:rsidRDefault="0072615D">
                      <w:pPr>
                        <w:pStyle w:val="Bodytext20"/>
                        <w:spacing w:line="240" w:lineRule="auto"/>
                      </w:pPr>
                      <w:r>
                        <w:t>Aminora la espontaneidad de la actividad sexual</w:t>
                      </w:r>
                    </w:p>
                  </w:txbxContent>
                </v:textbox>
                <w10:wrap type="square" side="right" anchorx="page" anchory="margin"/>
              </v:shape>
            </w:pict>
          </mc:Fallback>
        </mc:AlternateContent>
      </w:r>
      <w:r>
        <w:rPr>
          <w:noProof/>
        </w:rPr>
        <mc:AlternateContent>
          <mc:Choice Requires="wps">
            <w:drawing>
              <wp:anchor distT="1371600" distB="1365250" distL="25400" distR="50165" simplePos="0" relativeHeight="251687936" behindDoc="0" locked="0" layoutInCell="1" allowOverlap="1" wp14:anchorId="06D4B533" wp14:editId="29382106">
                <wp:simplePos x="0" y="0"/>
                <wp:positionH relativeFrom="page">
                  <wp:posOffset>549910</wp:posOffset>
                </wp:positionH>
                <wp:positionV relativeFrom="margin">
                  <wp:posOffset>1939290</wp:posOffset>
                </wp:positionV>
                <wp:extent cx="2084705" cy="1801495"/>
                <wp:effectExtent l="0" t="0" r="0" b="0"/>
                <wp:wrapSquare wrapText="right"/>
                <wp:docPr id="374" name="Shape 374"/>
                <wp:cNvGraphicFramePr/>
                <a:graphic xmlns:a="http://schemas.openxmlformats.org/drawingml/2006/main">
                  <a:graphicData uri="http://schemas.microsoft.com/office/word/2010/wordprocessingShape">
                    <wps:wsp>
                      <wps:cNvSpPr txBox="1"/>
                      <wps:spPr>
                        <a:xfrm>
                          <a:off x="0" y="0"/>
                          <a:ext cx="2084705" cy="1801495"/>
                        </a:xfrm>
                        <a:prstGeom prst="rect">
                          <a:avLst/>
                        </a:prstGeom>
                        <a:noFill/>
                      </wps:spPr>
                      <wps:txbx>
                        <w:txbxContent>
                          <w:p w14:paraId="21BDF67E" w14:textId="77777777" w:rsidR="0072615D" w:rsidRDefault="0072615D">
                            <w:pPr>
                              <w:pStyle w:val="Bodytext20"/>
                            </w:pPr>
                            <w:r>
                              <w:t>Es un dispositivo molesto, juvenil</w:t>
                            </w:r>
                          </w:p>
                          <w:p w14:paraId="0FA60B01" w14:textId="77777777" w:rsidR="0072615D" w:rsidRDefault="0072615D">
                            <w:pPr>
                              <w:pStyle w:val="Bodytext20"/>
                              <w:spacing w:after="200"/>
                            </w:pPr>
                            <w:r>
                              <w:t>“poco masculino”</w:t>
                            </w:r>
                          </w:p>
                          <w:p w14:paraId="7000E6EC" w14:textId="77777777" w:rsidR="0072615D" w:rsidRDefault="0072615D">
                            <w:pPr>
                              <w:pStyle w:val="Bodytext20"/>
                            </w:pPr>
                            <w:r>
                              <w:t>Adaptación inadecuada (muy pequeño o muy grande, se desprende, incómodo)</w:t>
                            </w:r>
                          </w:p>
                          <w:p w14:paraId="6DA7E976" w14:textId="77777777" w:rsidR="0072615D" w:rsidRDefault="0072615D">
                            <w:pPr>
                              <w:pStyle w:val="Bodytext20"/>
                              <w:spacing w:after="200"/>
                            </w:pPr>
                            <w:r>
                              <w:t>Obliga a la extracción rápida del pene después de la eyaculación</w:t>
                            </w:r>
                          </w:p>
                          <w:p w14:paraId="5DB44C47" w14:textId="77777777" w:rsidR="0072615D" w:rsidRDefault="0072615D">
                            <w:pPr>
                              <w:pStyle w:val="Bodytext20"/>
                              <w:spacing w:after="420"/>
                            </w:pPr>
                            <w:r>
                              <w:t>Temor de rotura con lo cual la actividad sexual puede ser menos vigorosa</w:t>
                            </w:r>
                          </w:p>
                          <w:p w14:paraId="68DF15BC" w14:textId="77777777" w:rsidR="0072615D" w:rsidRDefault="0072615D">
                            <w:pPr>
                              <w:pStyle w:val="Bodytext20"/>
                              <w:spacing w:after="300"/>
                            </w:pPr>
                            <w:r>
                              <w:t>Actividad sexual no penetrante</w:t>
                            </w:r>
                          </w:p>
                        </w:txbxContent>
                      </wps:txbx>
                      <wps:bodyPr lIns="0" tIns="0" rIns="0" bIns="0"/>
                    </wps:wsp>
                  </a:graphicData>
                </a:graphic>
              </wp:anchor>
            </w:drawing>
          </mc:Choice>
          <mc:Fallback>
            <w:pict>
              <v:shape w14:anchorId="06D4B533" id="Shape 374" o:spid="_x0000_s1054" type="#_x0000_t202" style="position:absolute;margin-left:43.3pt;margin-top:152.7pt;width:164.15pt;height:141.85pt;z-index:251687936;visibility:visible;mso-wrap-style:square;mso-wrap-distance-left:2pt;mso-wrap-distance-top:108pt;mso-wrap-distance-right:3.95pt;mso-wrap-distance-bottom:107.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" filled="f" stroked="f">
                <v:textbox inset="0,0,0,0">
                  <w:txbxContent>
                    <w:p w14:paraId="21BDF67E" w14:textId="77777777" w:rsidR="0072615D" w:rsidRDefault="0072615D">
                      <w:pPr>
                        <w:pStyle w:val="Bodytext20"/>
                      </w:pPr>
                      <w:r>
                        <w:t>Es un dispositivo molesto, juvenil</w:t>
                      </w:r>
                    </w:p>
                    <w:p w14:paraId="0FA60B01" w14:textId="77777777" w:rsidR="0072615D" w:rsidRDefault="0072615D">
                      <w:pPr>
                        <w:pStyle w:val="Bodytext20"/>
                        <w:spacing w:after="200"/>
                      </w:pPr>
                      <w:r>
                        <w:t>“poco masculino”</w:t>
                      </w:r>
                    </w:p>
                    <w:p w14:paraId="7000E6EC" w14:textId="77777777" w:rsidR="0072615D" w:rsidRDefault="0072615D">
                      <w:pPr>
                        <w:pStyle w:val="Bodytext20"/>
                      </w:pPr>
                      <w:r>
                        <w:t>Adaptación inadecuada (muy pequeño o muy grande, se desprende, incómodo)</w:t>
                      </w:r>
                    </w:p>
                    <w:p w14:paraId="6DA7E976" w14:textId="77777777" w:rsidR="0072615D" w:rsidRDefault="0072615D">
                      <w:pPr>
                        <w:pStyle w:val="Bodytext20"/>
                        <w:spacing w:after="200"/>
                      </w:pPr>
                      <w:r>
                        <w:t>Obliga a la extracción rápida del pene después de la eyaculación</w:t>
                      </w:r>
                    </w:p>
                    <w:p w14:paraId="5DB44C47" w14:textId="77777777" w:rsidR="0072615D" w:rsidRDefault="0072615D">
                      <w:pPr>
                        <w:pStyle w:val="Bodytext20"/>
                        <w:spacing w:after="420"/>
                      </w:pPr>
                      <w:r>
                        <w:t>Temor de rotura con lo cual la actividad sexual puede ser menos vigorosa</w:t>
                      </w:r>
                    </w:p>
                    <w:p w14:paraId="68DF15BC" w14:textId="77777777" w:rsidR="0072615D" w:rsidRDefault="0072615D">
                      <w:pPr>
                        <w:pStyle w:val="Bodytext20"/>
                        <w:spacing w:after="300"/>
                      </w:pPr>
                      <w:r>
                        <w:t>Actividad sexual no penetrante</w:t>
                      </w:r>
                    </w:p>
                  </w:txbxContent>
                </v:textbox>
                <w10:wrap type="square" side="right" anchorx="page" anchory="margin"/>
              </v:shape>
            </w:pict>
          </mc:Fallback>
        </mc:AlternateContent>
      </w:r>
      <w:r>
        <w:rPr>
          <w:noProof/>
        </w:rPr>
        <mc:AlternateContent>
          <mc:Choice Requires="wps">
            <w:drawing>
              <wp:anchor distT="4389120" distB="0" distL="25400" distR="1445895" simplePos="0" relativeHeight="251688960" behindDoc="0" locked="0" layoutInCell="1" allowOverlap="1" wp14:anchorId="69579F32" wp14:editId="61832DF5">
                <wp:simplePos x="0" y="0"/>
                <wp:positionH relativeFrom="page">
                  <wp:posOffset>549910</wp:posOffset>
                </wp:positionH>
                <wp:positionV relativeFrom="margin">
                  <wp:posOffset>4956810</wp:posOffset>
                </wp:positionV>
                <wp:extent cx="688975" cy="149225"/>
                <wp:effectExtent l="0" t="0" r="0" b="0"/>
                <wp:wrapSquare wrapText="right"/>
                <wp:docPr id="376" name="Shape 376"/>
                <wp:cNvGraphicFramePr/>
                <a:graphic xmlns:a="http://schemas.openxmlformats.org/drawingml/2006/main">
                  <a:graphicData uri="http://schemas.microsoft.com/office/word/2010/wordprocessingShape">
                    <wps:wsp>
                      <wps:cNvSpPr txBox="1"/>
                      <wps:spPr>
                        <a:xfrm>
                          <a:off x="0" y="0"/>
                          <a:ext cx="688975" cy="149225"/>
                        </a:xfrm>
                        <a:prstGeom prst="rect">
                          <a:avLst/>
                        </a:prstGeom>
                        <a:noFill/>
                      </wps:spPr>
                      <wps:txbx>
                        <w:txbxContent>
                          <w:p w14:paraId="467CC4C1" w14:textId="77777777" w:rsidR="0072615D" w:rsidRDefault="0072615D">
                            <w:pPr>
                              <w:pStyle w:val="Bodytext20"/>
                              <w:spacing w:line="240" w:lineRule="auto"/>
                            </w:pPr>
                            <w:r>
                              <w:t>Alergia al látex</w:t>
                            </w:r>
                          </w:p>
                        </w:txbxContent>
                      </wps:txbx>
                      <wps:bodyPr wrap="none" lIns="0" tIns="0" rIns="0" bIns="0"/>
                    </wps:wsp>
                  </a:graphicData>
                </a:graphic>
              </wp:anchor>
            </w:drawing>
          </mc:Choice>
          <mc:Fallback>
            <w:pict>
              <v:shape w14:anchorId="69579F32" id="Shape 376" o:spid="_x0000_s1055" type="#_x0000_t202" style="position:absolute;margin-left:43.3pt;margin-top:390.3pt;width:54.25pt;height:11.75pt;z-index:251688960;visibility:visible;mso-wrap-style:none;mso-wrap-distance-left:2pt;mso-wrap-distance-top:345.6pt;mso-wrap-distance-right:113.85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" filled="f" stroked="f">
                <v:textbox inset="0,0,0,0">
                  <w:txbxContent>
                    <w:p w14:paraId="467CC4C1" w14:textId="77777777" w:rsidR="0072615D" w:rsidRDefault="0072615D">
                      <w:pPr>
                        <w:pStyle w:val="Bodytext20"/>
                        <w:spacing w:line="240" w:lineRule="auto"/>
                      </w:pPr>
                      <w:r>
                        <w:t>Alergia al látex</w:t>
                      </w:r>
                    </w:p>
                  </w:txbxContent>
                </v:textbox>
                <w10:wrap type="square" side="right" anchorx="page" anchory="margin"/>
              </v:shape>
            </w:pict>
          </mc:Fallback>
        </mc:AlternateContent>
      </w:r>
      <w:r>
        <w:t>Se alentará al paciente a que los pruebe Colocar una gota de lubricante hidrófilo o saliva en el interior del extremo del condón o en el glande antes de colocarlo sobre él Probar un condón más fino de látex, una marca diferente o mayor lubricación</w:t>
      </w:r>
    </w:p>
    <w:p w14:paraId="44EBA39D" w14:textId="77777777" w:rsidR="0072615D" w:rsidRDefault="0072615D">
      <w:pPr>
        <w:pStyle w:val="Bodytext20"/>
      </w:pPr>
      <w:r>
        <w:t>Alentar la incorporación del condón durante los juegos eróticos previos</w:t>
      </w:r>
    </w:p>
    <w:p w14:paraId="1EF09B9F" w14:textId="77777777" w:rsidR="0072615D" w:rsidRDefault="0072615D">
      <w:pPr>
        <w:pStyle w:val="Bodytext20"/>
      </w:pPr>
      <w:r>
        <w:t>Recordar al paciente que la tranquilidad puede intensificar el placer personal y mutuo</w:t>
      </w:r>
    </w:p>
    <w:p w14:paraId="0F8EF795" w14:textId="77777777" w:rsidR="0072615D" w:rsidRDefault="0072615D">
      <w:pPr>
        <w:pStyle w:val="Bodytext20"/>
      </w:pPr>
      <w:r>
        <w:t>Recordar al paciente que es precisamente una actitud “masculina” protegerse a sí mismo y a los demás</w:t>
      </w:r>
    </w:p>
    <w:p w14:paraId="7ABCDA47" w14:textId="77777777" w:rsidR="0072615D" w:rsidRDefault="0072615D">
      <w:pPr>
        <w:pStyle w:val="Bodytext20"/>
      </w:pPr>
      <w:r>
        <w:t>Se cuenta con condones de mayor y menor tamaño</w:t>
      </w:r>
    </w:p>
    <w:p w14:paraId="3A0EDD1D" w14:textId="77777777" w:rsidR="0072615D" w:rsidRDefault="0072615D">
      <w:pPr>
        <w:pStyle w:val="Bodytext20"/>
      </w:pPr>
      <w:r>
        <w:t>Reforzar la naturaleza protectora de la extracción rápida del miembro y sugerir su sustitución por otras actividades después del coito</w:t>
      </w:r>
    </w:p>
    <w:p w14:paraId="67457D2C" w14:textId="77777777" w:rsidR="0072615D" w:rsidRDefault="0072615D">
      <w:pPr>
        <w:pStyle w:val="Bodytext20"/>
      </w:pPr>
      <w:r>
        <w:t>Con el coito duradero, se desgasta el lubricante y comienza el frote del condón. Contar con un lubricante hidrosoluble para aplicar una vez más</w:t>
      </w:r>
    </w:p>
    <w:p w14:paraId="6FDFE071" w14:textId="77777777" w:rsidR="0072615D" w:rsidRDefault="0072615D">
      <w:pPr>
        <w:pStyle w:val="Bodytext20"/>
      </w:pPr>
      <w:r>
        <w:t>Se ha planteado el uso de los condones durante la felación; los condones no lubricados pudieran ser los mejores para tal actividad, por el sabor del lubricante</w:t>
      </w:r>
    </w:p>
    <w:p w14:paraId="7AB2389F" w14:textId="77777777" w:rsidR="0072615D" w:rsidRDefault="0072615D">
      <w:pPr>
        <w:pStyle w:val="Bodytext20"/>
      </w:pPr>
      <w:r>
        <w:t>Se ha dicho que pueden usarse otras “barreras” como un “dique” odontológico o un condón no lubricado, cortado hasta la zona media para formar una barrera en algunas formas de actividad sexual no penetrante (como cunnilingus y sexo anolingual)</w:t>
      </w:r>
    </w:p>
    <w:p w14:paraId="2233296B" w14:textId="77777777" w:rsidR="0072615D" w:rsidRDefault="0072615D">
      <w:pPr>
        <w:pStyle w:val="Bodytext20"/>
      </w:pPr>
      <w:r>
        <w:t>Se cuenta en el comercio con condones de poliuretano para mujeres</w:t>
      </w:r>
    </w:p>
    <w:p w14:paraId="1FC8B8E0" w14:textId="77777777" w:rsidR="0072615D" w:rsidRDefault="0072615D">
      <w:pPr>
        <w:pStyle w:val="Bodytext20"/>
        <w:pBdr>
          <w:bottom w:val="single" w:sz="4" w:space="0" w:color="auto"/>
        </w:pBdr>
        <w:spacing w:after="60"/>
        <w:ind w:left="3580" w:hanging="100"/>
      </w:pPr>
      <w:r>
        <w:t>Se puede usar un condón de piel natural junto con otro de látex para proteger al varón o a la mujer del contacto con dicho material</w:t>
      </w:r>
    </w:p>
    <w:p w14:paraId="72693C65" w14:textId="77777777" w:rsidR="0072615D" w:rsidRDefault="0072615D">
      <w:pPr>
        <w:pStyle w:val="Heading31"/>
        <w:keepNext/>
        <w:keepLines/>
        <w:spacing w:after="80" w:line="216" w:lineRule="auto"/>
        <w:jc w:val="center"/>
      </w:pPr>
      <w:bookmarkStart w:id="525" w:name="bookmark525"/>
      <w:bookmarkStart w:id="526" w:name="bookmark526"/>
      <w:bookmarkStart w:id="527" w:name="bookmark527"/>
      <w:r>
        <w:rPr>
          <w:b w:val="0"/>
          <w:bCs w:val="0"/>
        </w:rPr>
        <w:t xml:space="preserve">Cuadro 2-13. </w:t>
      </w:r>
      <w:r>
        <w:t>Repercusiones de las enfermedades de transmisión sexual</w:t>
      </w:r>
      <w:r>
        <w:br/>
        <w:t>más comunes (STD) en el diagnóstico y notificación de sospecha</w:t>
      </w:r>
      <w:r>
        <w:br/>
        <w:t>o confirmación de abuso sexual en lactantes y niños prepúberes</w:t>
      </w:r>
      <w:r>
        <w:rPr>
          <w:vertAlign w:val="superscript"/>
        </w:rPr>
        <w:t>1</w:t>
      </w:r>
      <w:bookmarkEnd w:id="525"/>
      <w:bookmarkEnd w:id="526"/>
      <w:bookmarkEnd w:id="527"/>
    </w:p>
    <w:tbl>
      <w:tblPr>
        <w:tblOverlap w:val="never"/>
        <w:tblW w:w="0" w:type="auto"/>
        <w:jc w:val="center"/>
        <w:tblLayout w:type="fixed"/>
        <w:tblCellMar>
          <w:left w:w="10" w:type="dxa"/>
          <w:right w:w="10" w:type="dxa"/>
        </w:tblCellMar>
        <w:tblLook w:val="04A0" w:firstRow="1" w:lastRow="0" w:firstColumn="1" w:lastColumn="0" w:noHBand="0" w:noVBand="1"/>
      </w:tblPr>
      <w:tblGrid>
        <w:gridCol w:w="3010"/>
        <w:gridCol w:w="1747"/>
        <w:gridCol w:w="1670"/>
      </w:tblGrid>
      <w:tr w:rsidR="0072615D" w14:paraId="1FC92AEA" w14:textId="77777777">
        <w:tblPrEx>
          <w:tblCellMar>
            <w:top w:w="0" w:type="dxa"/>
            <w:bottom w:w="0" w:type="dxa"/>
          </w:tblCellMar>
        </w:tblPrEx>
        <w:trPr>
          <w:trHeight w:hRule="exact" w:val="254"/>
          <w:jc w:val="center"/>
        </w:trPr>
        <w:tc>
          <w:tcPr>
            <w:tcW w:w="3010" w:type="dxa"/>
            <w:shd w:val="clear" w:color="auto" w:fill="231F20"/>
          </w:tcPr>
          <w:p w14:paraId="4A3ED26C"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STD confirmada</w:t>
            </w:r>
          </w:p>
        </w:tc>
        <w:tc>
          <w:tcPr>
            <w:tcW w:w="1747" w:type="dxa"/>
            <w:shd w:val="clear" w:color="auto" w:fill="231F20"/>
          </w:tcPr>
          <w:p w14:paraId="671B4A1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Abuso sexual</w:t>
            </w:r>
          </w:p>
        </w:tc>
        <w:tc>
          <w:tcPr>
            <w:tcW w:w="1670" w:type="dxa"/>
            <w:shd w:val="clear" w:color="auto" w:fill="231F20"/>
          </w:tcPr>
          <w:p w14:paraId="1CF5E11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360"/>
              <w:rPr>
                <w:sz w:val="24"/>
                <w:szCs w:val="24"/>
              </w:rPr>
            </w:pPr>
            <w:r>
              <w:rPr>
                <w:rFonts w:ascii="Arial" w:eastAsia="Arial" w:hAnsi="Arial" w:cs="Arial"/>
                <w:b/>
                <w:bCs/>
                <w:color w:val="FFFFFF"/>
                <w:w w:val="70"/>
                <w:sz w:val="24"/>
                <w:szCs w:val="24"/>
              </w:rPr>
              <w:t>Acción a seguir</w:t>
            </w:r>
          </w:p>
        </w:tc>
      </w:tr>
      <w:tr w:rsidR="0072615D" w14:paraId="0C228292" w14:textId="77777777">
        <w:tblPrEx>
          <w:tblCellMar>
            <w:top w:w="0" w:type="dxa"/>
            <w:bottom w:w="0" w:type="dxa"/>
          </w:tblCellMar>
        </w:tblPrEx>
        <w:trPr>
          <w:trHeight w:hRule="exact" w:val="293"/>
          <w:jc w:val="center"/>
        </w:trPr>
        <w:tc>
          <w:tcPr>
            <w:tcW w:w="3010" w:type="dxa"/>
            <w:shd w:val="clear" w:color="auto" w:fill="FFFFFF"/>
            <w:vAlign w:val="bottom"/>
          </w:tcPr>
          <w:p w14:paraId="03801AA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Gonorrea</w:t>
            </w:r>
            <w:r>
              <w:rPr>
                <w:rFonts w:ascii="Times New Roman" w:eastAsia="Times New Roman" w:hAnsi="Times New Roman" w:cs="Times New Roman"/>
                <w:sz w:val="16"/>
                <w:szCs w:val="16"/>
                <w:vertAlign w:val="superscript"/>
              </w:rPr>
              <w:t>3</w:t>
            </w:r>
          </w:p>
        </w:tc>
        <w:tc>
          <w:tcPr>
            <w:tcW w:w="1747" w:type="dxa"/>
            <w:shd w:val="clear" w:color="auto" w:fill="FFFFFF"/>
            <w:vAlign w:val="bottom"/>
          </w:tcPr>
          <w:p w14:paraId="648AD1E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Valor diagnóstico</w:t>
            </w:r>
            <w:r>
              <w:rPr>
                <w:rFonts w:ascii="Times New Roman" w:eastAsia="Times New Roman" w:hAnsi="Times New Roman" w:cs="Times New Roman"/>
                <w:sz w:val="16"/>
                <w:szCs w:val="16"/>
                <w:vertAlign w:val="superscript"/>
              </w:rPr>
              <w:t>4</w:t>
            </w:r>
          </w:p>
        </w:tc>
        <w:tc>
          <w:tcPr>
            <w:tcW w:w="1670" w:type="dxa"/>
            <w:shd w:val="clear" w:color="auto" w:fill="FFFFFF"/>
            <w:vAlign w:val="bottom"/>
          </w:tcPr>
          <w:p w14:paraId="3CA474D2"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Notificación</w:t>
            </w:r>
          </w:p>
        </w:tc>
      </w:tr>
      <w:tr w:rsidR="0072615D" w14:paraId="1EE9ADE5" w14:textId="77777777">
        <w:tblPrEx>
          <w:tblCellMar>
            <w:top w:w="0" w:type="dxa"/>
            <w:bottom w:w="0" w:type="dxa"/>
          </w:tblCellMar>
        </w:tblPrEx>
        <w:trPr>
          <w:trHeight w:hRule="exact" w:val="226"/>
          <w:jc w:val="center"/>
        </w:trPr>
        <w:tc>
          <w:tcPr>
            <w:tcW w:w="3010" w:type="dxa"/>
            <w:shd w:val="clear" w:color="auto" w:fill="FFFFFF"/>
          </w:tcPr>
          <w:p w14:paraId="22F7CC3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Sífilis</w:t>
            </w:r>
            <w:r>
              <w:rPr>
                <w:rFonts w:ascii="Times New Roman" w:eastAsia="Times New Roman" w:hAnsi="Times New Roman" w:cs="Times New Roman"/>
                <w:sz w:val="16"/>
                <w:szCs w:val="16"/>
                <w:vertAlign w:val="superscript"/>
              </w:rPr>
              <w:t>3</w:t>
            </w:r>
          </w:p>
        </w:tc>
        <w:tc>
          <w:tcPr>
            <w:tcW w:w="1747" w:type="dxa"/>
            <w:shd w:val="clear" w:color="auto" w:fill="FFFFFF"/>
          </w:tcPr>
          <w:p w14:paraId="176153A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Valor diagnóstico</w:t>
            </w:r>
          </w:p>
        </w:tc>
        <w:tc>
          <w:tcPr>
            <w:tcW w:w="1670" w:type="dxa"/>
            <w:shd w:val="clear" w:color="auto" w:fill="FFFFFF"/>
          </w:tcPr>
          <w:p w14:paraId="0BD253E8"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Notificación</w:t>
            </w:r>
          </w:p>
        </w:tc>
      </w:tr>
      <w:tr w:rsidR="0072615D" w14:paraId="0018E99F" w14:textId="77777777">
        <w:tblPrEx>
          <w:tblCellMar>
            <w:top w:w="0" w:type="dxa"/>
            <w:bottom w:w="0" w:type="dxa"/>
          </w:tblCellMar>
        </w:tblPrEx>
        <w:trPr>
          <w:trHeight w:hRule="exact" w:val="427"/>
          <w:jc w:val="center"/>
        </w:trPr>
        <w:tc>
          <w:tcPr>
            <w:tcW w:w="3010" w:type="dxa"/>
            <w:shd w:val="clear" w:color="auto" w:fill="FFFFFF"/>
          </w:tcPr>
          <w:p w14:paraId="05C0F007" w14:textId="77777777" w:rsidR="0072615D" w:rsidRDefault="0072615D">
            <w:pPr>
              <w:pStyle w:val="Other0"/>
              <w:spacing w:line="288" w:lineRule="auto"/>
              <w:ind w:firstLine="0"/>
              <w:rPr>
                <w:sz w:val="16"/>
                <w:szCs w:val="16"/>
              </w:rPr>
            </w:pPr>
            <w:r>
              <w:rPr>
                <w:rFonts w:ascii="Times New Roman" w:eastAsia="Times New Roman" w:hAnsi="Times New Roman" w:cs="Times New Roman"/>
                <w:sz w:val="16"/>
                <w:szCs w:val="16"/>
              </w:rPr>
              <w:t>Infección por virus de inmunodeficiencia humana</w:t>
            </w:r>
            <w:r>
              <w:rPr>
                <w:rFonts w:ascii="Times New Roman" w:eastAsia="Times New Roman" w:hAnsi="Times New Roman" w:cs="Times New Roman"/>
                <w:sz w:val="16"/>
                <w:szCs w:val="16"/>
                <w:vertAlign w:val="superscript"/>
              </w:rPr>
              <w:t>5</w:t>
            </w:r>
          </w:p>
        </w:tc>
        <w:tc>
          <w:tcPr>
            <w:tcW w:w="1747" w:type="dxa"/>
            <w:shd w:val="clear" w:color="auto" w:fill="FFFFFF"/>
          </w:tcPr>
          <w:p w14:paraId="55C4FB1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Valor diagnóstico</w:t>
            </w:r>
          </w:p>
        </w:tc>
        <w:tc>
          <w:tcPr>
            <w:tcW w:w="1670" w:type="dxa"/>
            <w:shd w:val="clear" w:color="auto" w:fill="FFFFFF"/>
          </w:tcPr>
          <w:p w14:paraId="00E22E5A"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Notificación</w:t>
            </w:r>
          </w:p>
        </w:tc>
      </w:tr>
      <w:tr w:rsidR="0072615D" w14:paraId="01C291D5" w14:textId="77777777">
        <w:tblPrEx>
          <w:tblCellMar>
            <w:top w:w="0" w:type="dxa"/>
            <w:bottom w:w="0" w:type="dxa"/>
          </w:tblCellMar>
        </w:tblPrEx>
        <w:trPr>
          <w:trHeight w:hRule="exact" w:val="240"/>
          <w:jc w:val="center"/>
        </w:trPr>
        <w:tc>
          <w:tcPr>
            <w:tcW w:w="3010" w:type="dxa"/>
            <w:shd w:val="clear" w:color="auto" w:fill="FFFFFF"/>
            <w:vAlign w:val="bottom"/>
          </w:tcPr>
          <w:p w14:paraId="56C731B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 xml:space="preserve">Infección por </w:t>
            </w:r>
            <w:r>
              <w:rPr>
                <w:rFonts w:ascii="Times New Roman" w:eastAsia="Times New Roman" w:hAnsi="Times New Roman" w:cs="Times New Roman"/>
                <w:i/>
                <w:iCs/>
                <w:sz w:val="16"/>
                <w:szCs w:val="16"/>
              </w:rPr>
              <w:t>Chlamydia trachomatis</w:t>
            </w:r>
            <w:r>
              <w:rPr>
                <w:rFonts w:ascii="Times New Roman" w:eastAsia="Times New Roman" w:hAnsi="Times New Roman" w:cs="Times New Roman"/>
                <w:i/>
                <w:iCs/>
                <w:sz w:val="16"/>
                <w:szCs w:val="16"/>
                <w:vertAlign w:val="superscript"/>
              </w:rPr>
              <w:t>0</w:t>
            </w:r>
          </w:p>
        </w:tc>
        <w:tc>
          <w:tcPr>
            <w:tcW w:w="1747" w:type="dxa"/>
            <w:shd w:val="clear" w:color="auto" w:fill="FFFFFF"/>
            <w:vAlign w:val="bottom"/>
          </w:tcPr>
          <w:p w14:paraId="32CAD3E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Valor diagnóstico</w:t>
            </w:r>
            <w:r>
              <w:rPr>
                <w:rFonts w:ascii="Times New Roman" w:eastAsia="Times New Roman" w:hAnsi="Times New Roman" w:cs="Times New Roman"/>
                <w:sz w:val="16"/>
                <w:szCs w:val="16"/>
                <w:vertAlign w:val="superscript"/>
              </w:rPr>
              <w:t>4</w:t>
            </w:r>
          </w:p>
        </w:tc>
        <w:tc>
          <w:tcPr>
            <w:tcW w:w="1670" w:type="dxa"/>
            <w:shd w:val="clear" w:color="auto" w:fill="FFFFFF"/>
            <w:vAlign w:val="bottom"/>
          </w:tcPr>
          <w:p w14:paraId="2A2FAB12"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Notificación</w:t>
            </w:r>
          </w:p>
        </w:tc>
      </w:tr>
      <w:tr w:rsidR="0072615D" w14:paraId="4709D75C" w14:textId="77777777">
        <w:tblPrEx>
          <w:tblCellMar>
            <w:top w:w="0" w:type="dxa"/>
            <w:bottom w:w="0" w:type="dxa"/>
          </w:tblCellMar>
        </w:tblPrEx>
        <w:trPr>
          <w:trHeight w:hRule="exact" w:val="216"/>
          <w:jc w:val="center"/>
        </w:trPr>
        <w:tc>
          <w:tcPr>
            <w:tcW w:w="3010" w:type="dxa"/>
            <w:shd w:val="clear" w:color="auto" w:fill="FFFFFF"/>
          </w:tcPr>
          <w:p w14:paraId="2061460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 xml:space="preserve">Infección por </w:t>
            </w:r>
            <w:r>
              <w:rPr>
                <w:rFonts w:ascii="Times New Roman" w:eastAsia="Times New Roman" w:hAnsi="Times New Roman" w:cs="Times New Roman"/>
                <w:i/>
                <w:iCs/>
                <w:sz w:val="16"/>
                <w:szCs w:val="16"/>
              </w:rPr>
              <w:t>Trichomonas vaginalis</w:t>
            </w:r>
          </w:p>
        </w:tc>
        <w:tc>
          <w:tcPr>
            <w:tcW w:w="1747" w:type="dxa"/>
            <w:shd w:val="clear" w:color="auto" w:fill="FFFFFF"/>
          </w:tcPr>
          <w:p w14:paraId="4EC7AC5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Fuerte sospecha</w:t>
            </w:r>
          </w:p>
        </w:tc>
        <w:tc>
          <w:tcPr>
            <w:tcW w:w="1670" w:type="dxa"/>
            <w:shd w:val="clear" w:color="auto" w:fill="FFFFFF"/>
          </w:tcPr>
          <w:p w14:paraId="5D2A9E5A"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Notificación</w:t>
            </w:r>
          </w:p>
        </w:tc>
      </w:tr>
      <w:tr w:rsidR="0072615D" w14:paraId="7CAF87A4" w14:textId="77777777">
        <w:tblPrEx>
          <w:tblCellMar>
            <w:top w:w="0" w:type="dxa"/>
            <w:bottom w:w="0" w:type="dxa"/>
          </w:tblCellMar>
        </w:tblPrEx>
        <w:trPr>
          <w:trHeight w:hRule="exact" w:val="442"/>
          <w:jc w:val="center"/>
        </w:trPr>
        <w:tc>
          <w:tcPr>
            <w:tcW w:w="3010" w:type="dxa"/>
            <w:shd w:val="clear" w:color="auto" w:fill="FFFFFF"/>
            <w:vAlign w:val="bottom"/>
          </w:tcPr>
          <w:p w14:paraId="5F97B724" w14:textId="77777777" w:rsidR="0072615D" w:rsidRDefault="0072615D">
            <w:pPr>
              <w:pStyle w:val="Other0"/>
              <w:spacing w:line="283" w:lineRule="auto"/>
              <w:ind w:firstLine="0"/>
              <w:rPr>
                <w:sz w:val="16"/>
                <w:szCs w:val="16"/>
              </w:rPr>
            </w:pPr>
            <w:r>
              <w:rPr>
                <w:rFonts w:ascii="Times New Roman" w:eastAsia="Times New Roman" w:hAnsi="Times New Roman" w:cs="Times New Roman"/>
                <w:sz w:val="16"/>
                <w:szCs w:val="16"/>
              </w:rPr>
              <w:t xml:space="preserve">Infección por </w:t>
            </w:r>
            <w:r>
              <w:rPr>
                <w:rFonts w:ascii="Times New Roman" w:eastAsia="Times New Roman" w:hAnsi="Times New Roman" w:cs="Times New Roman"/>
                <w:i/>
                <w:iCs/>
                <w:sz w:val="16"/>
                <w:szCs w:val="16"/>
              </w:rPr>
              <w:t xml:space="preserve">Condylomata acuminata? </w:t>
            </w:r>
            <w:r>
              <w:rPr>
                <w:rFonts w:ascii="Times New Roman" w:eastAsia="Times New Roman" w:hAnsi="Times New Roman" w:cs="Times New Roman"/>
                <w:sz w:val="16"/>
                <w:szCs w:val="16"/>
              </w:rPr>
              <w:t>(verrugas anogenitales)</w:t>
            </w:r>
          </w:p>
        </w:tc>
        <w:tc>
          <w:tcPr>
            <w:tcW w:w="1747" w:type="dxa"/>
            <w:shd w:val="clear" w:color="auto" w:fill="FFFFFF"/>
          </w:tcPr>
          <w:p w14:paraId="5A59CE4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Sospecha</w:t>
            </w:r>
          </w:p>
        </w:tc>
        <w:tc>
          <w:tcPr>
            <w:tcW w:w="1670" w:type="dxa"/>
            <w:shd w:val="clear" w:color="auto" w:fill="FFFFFF"/>
          </w:tcPr>
          <w:p w14:paraId="424C1ADE"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Notificación</w:t>
            </w:r>
          </w:p>
        </w:tc>
      </w:tr>
      <w:tr w:rsidR="0072615D" w14:paraId="06CB2A15" w14:textId="77777777">
        <w:tblPrEx>
          <w:tblCellMar>
            <w:top w:w="0" w:type="dxa"/>
            <w:bottom w:w="0" w:type="dxa"/>
          </w:tblCellMar>
        </w:tblPrEx>
        <w:trPr>
          <w:trHeight w:hRule="exact" w:val="221"/>
          <w:jc w:val="center"/>
        </w:trPr>
        <w:tc>
          <w:tcPr>
            <w:tcW w:w="3010" w:type="dxa"/>
            <w:shd w:val="clear" w:color="auto" w:fill="FFFFFF"/>
          </w:tcPr>
          <w:p w14:paraId="74F3AC5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Herpes (genital)</w:t>
            </w:r>
          </w:p>
        </w:tc>
        <w:tc>
          <w:tcPr>
            <w:tcW w:w="1747" w:type="dxa"/>
            <w:shd w:val="clear" w:color="auto" w:fill="FFFFFF"/>
          </w:tcPr>
          <w:p w14:paraId="432778E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Sospecha</w:t>
            </w:r>
          </w:p>
        </w:tc>
        <w:tc>
          <w:tcPr>
            <w:tcW w:w="1670" w:type="dxa"/>
            <w:shd w:val="clear" w:color="auto" w:fill="FFFFFF"/>
          </w:tcPr>
          <w:p w14:paraId="5C56BE30"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Notificación</w:t>
            </w:r>
            <w:r>
              <w:rPr>
                <w:rFonts w:ascii="Times New Roman" w:eastAsia="Times New Roman" w:hAnsi="Times New Roman" w:cs="Times New Roman"/>
                <w:sz w:val="16"/>
                <w:szCs w:val="16"/>
                <w:vertAlign w:val="superscript"/>
              </w:rPr>
              <w:t>6</w:t>
            </w:r>
          </w:p>
        </w:tc>
      </w:tr>
      <w:tr w:rsidR="0072615D" w14:paraId="666771E0" w14:textId="77777777">
        <w:tblPrEx>
          <w:tblCellMar>
            <w:top w:w="0" w:type="dxa"/>
            <w:bottom w:w="0" w:type="dxa"/>
          </w:tblCellMar>
        </w:tblPrEx>
        <w:trPr>
          <w:trHeight w:hRule="exact" w:val="230"/>
          <w:jc w:val="center"/>
        </w:trPr>
        <w:tc>
          <w:tcPr>
            <w:tcW w:w="3010" w:type="dxa"/>
            <w:tcBorders>
              <w:bottom w:val="single" w:sz="4" w:space="0" w:color="auto"/>
            </w:tcBorders>
            <w:shd w:val="clear" w:color="auto" w:fill="FFFFFF"/>
          </w:tcPr>
          <w:p w14:paraId="3B1A17A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Vaginosis bacteriana</w:t>
            </w:r>
          </w:p>
        </w:tc>
        <w:tc>
          <w:tcPr>
            <w:tcW w:w="1747" w:type="dxa"/>
            <w:tcBorders>
              <w:bottom w:val="single" w:sz="4" w:space="0" w:color="auto"/>
            </w:tcBorders>
            <w:shd w:val="clear" w:color="auto" w:fill="FFFFFF"/>
          </w:tcPr>
          <w:p w14:paraId="730A726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No concluyente</w:t>
            </w:r>
          </w:p>
        </w:tc>
        <w:tc>
          <w:tcPr>
            <w:tcW w:w="1670" w:type="dxa"/>
            <w:tcBorders>
              <w:bottom w:val="single" w:sz="4" w:space="0" w:color="auto"/>
            </w:tcBorders>
            <w:shd w:val="clear" w:color="auto" w:fill="FFFFFF"/>
          </w:tcPr>
          <w:p w14:paraId="72D4BD1A" w14:textId="77777777" w:rsidR="0072615D" w:rsidRDefault="0072615D">
            <w:pPr>
              <w:pStyle w:val="Other0"/>
              <w:spacing w:line="240" w:lineRule="auto"/>
              <w:ind w:firstLine="360"/>
              <w:rPr>
                <w:sz w:val="16"/>
                <w:szCs w:val="16"/>
              </w:rPr>
            </w:pPr>
            <w:r>
              <w:rPr>
                <w:rFonts w:ascii="Times New Roman" w:eastAsia="Times New Roman" w:hAnsi="Times New Roman" w:cs="Times New Roman"/>
                <w:sz w:val="16"/>
                <w:szCs w:val="16"/>
              </w:rPr>
              <w:t>Vigilancia médica</w:t>
            </w:r>
          </w:p>
        </w:tc>
      </w:tr>
    </w:tbl>
    <w:p w14:paraId="298879B7" w14:textId="77777777" w:rsidR="0072615D" w:rsidRDefault="0072615D">
      <w:pPr>
        <w:pStyle w:val="Tablecaption0"/>
        <w:numPr>
          <w:ilvl w:val="0"/>
          <w:numId w:val="47"/>
        </w:numPr>
        <w:tabs>
          <w:tab w:val="left" w:pos="-17"/>
        </w:tabs>
        <w:spacing w:line="240" w:lineRule="auto"/>
        <w:ind w:left="10"/>
      </w:pPr>
      <w:r>
        <w:t xml:space="preserve">Adaptado de American Academy of Pediatrics, Committee on Child Abuse and Neglect. Guidelines for the evaluation of sexual abuse of children: subject review [la versión corregida apareció en Pediatrics. 1999;103:1049]. </w:t>
      </w:r>
      <w:r>
        <w:rPr>
          <w:i/>
          <w:iCs/>
        </w:rPr>
        <w:t>Pediatrics.</w:t>
      </w:r>
      <w:r>
        <w:t xml:space="preserve"> 1999;103:186-191.</w:t>
      </w:r>
    </w:p>
    <w:p w14:paraId="73B22510" w14:textId="77777777" w:rsidR="0072615D" w:rsidRDefault="0072615D">
      <w:pPr>
        <w:pStyle w:val="Tablecaption0"/>
        <w:numPr>
          <w:ilvl w:val="0"/>
          <w:numId w:val="47"/>
        </w:numPr>
        <w:tabs>
          <w:tab w:val="left" w:pos="7"/>
        </w:tabs>
        <w:spacing w:line="240" w:lineRule="auto"/>
        <w:ind w:left="10"/>
      </w:pPr>
      <w:r>
        <w:t>Las notificaciones se harán a la institución u organismo idóneos en la comunidad que reciba las notificaciones de sospecha de abuso sexual.</w:t>
      </w:r>
    </w:p>
    <w:p w14:paraId="1444D0E0" w14:textId="77777777" w:rsidR="0072615D" w:rsidRDefault="0072615D">
      <w:pPr>
        <w:pStyle w:val="Tablecaption0"/>
        <w:numPr>
          <w:ilvl w:val="0"/>
          <w:numId w:val="47"/>
        </w:numPr>
        <w:tabs>
          <w:tab w:val="left" w:pos="182"/>
        </w:tabs>
        <w:spacing w:line="240" w:lineRule="auto"/>
        <w:ind w:left="10"/>
      </w:pPr>
      <w:r>
        <w:t>Si no hay posibilidad de adquisición perinatal.</w:t>
      </w:r>
    </w:p>
    <w:p w14:paraId="2F0DD0CE" w14:textId="77777777" w:rsidR="0072615D" w:rsidRDefault="0072615D">
      <w:pPr>
        <w:pStyle w:val="Tablecaption0"/>
        <w:numPr>
          <w:ilvl w:val="0"/>
          <w:numId w:val="47"/>
        </w:numPr>
        <w:tabs>
          <w:tab w:val="left" w:pos="7"/>
        </w:tabs>
        <w:spacing w:line="240" w:lineRule="auto"/>
        <w:ind w:left="10"/>
      </w:pPr>
      <w:r>
        <w:t>Sólo el cultivo que use métodos habituales de confirmación; será mejor no utilizar las sondas de DNA como método diagnóstico.</w:t>
      </w:r>
    </w:p>
    <w:p w14:paraId="401047DA" w14:textId="77777777" w:rsidR="0072615D" w:rsidRDefault="0072615D">
      <w:pPr>
        <w:pStyle w:val="Tablecaption0"/>
        <w:numPr>
          <w:ilvl w:val="0"/>
          <w:numId w:val="47"/>
        </w:numPr>
        <w:tabs>
          <w:tab w:val="left" w:pos="182"/>
        </w:tabs>
        <w:spacing w:line="240" w:lineRule="auto"/>
        <w:ind w:left="10"/>
      </w:pPr>
      <w:r>
        <w:t>Si no hay posibilidad de que se haya adquirido en fase perinatal o por transfusión.</w:t>
      </w:r>
    </w:p>
    <w:p w14:paraId="4BA147F1" w14:textId="77777777" w:rsidR="0072615D" w:rsidRDefault="0072615D">
      <w:pPr>
        <w:pStyle w:val="Tablecaption0"/>
        <w:numPr>
          <w:ilvl w:val="0"/>
          <w:numId w:val="47"/>
        </w:numPr>
        <w:tabs>
          <w:tab w:val="left" w:pos="187"/>
        </w:tabs>
        <w:spacing w:line="240" w:lineRule="auto"/>
        <w:ind w:left="10"/>
      </w:pPr>
      <w:r>
        <w:t>Salvo que haya el antecedente claro de autoinoculación.</w:t>
      </w:r>
    </w:p>
    <w:p w14:paraId="0551C8EA" w14:textId="77777777" w:rsidR="0072615D" w:rsidRDefault="0072615D">
      <w:pPr>
        <w:spacing w:after="579" w:line="1" w:lineRule="exact"/>
      </w:pPr>
    </w:p>
    <w:p w14:paraId="2D955CC0" w14:textId="77777777" w:rsidR="0072615D" w:rsidRDefault="0072615D">
      <w:pPr>
        <w:pStyle w:val="BodyText"/>
        <w:ind w:firstLine="360"/>
      </w:pPr>
      <w:r>
        <w:t xml:space="preserve">Las infecciones con periodos largos de incubación (como la infección por el virus de papiloma) y las que pueden ser asintomáticas por tiempo largo después de transmisión vertical (sífilis, infección por VIH o por </w:t>
      </w:r>
      <w:r>
        <w:rPr>
          <w:rFonts w:ascii="Times New Roman" w:eastAsia="Times New Roman" w:hAnsi="Times New Roman" w:cs="Times New Roman"/>
          <w:i/>
          <w:iCs/>
          <w:sz w:val="16"/>
          <w:szCs w:val="16"/>
        </w:rPr>
        <w:t>C. trachomatis)</w:t>
      </w:r>
      <w:r>
        <w:t xml:space="preserve"> son más problemáticas. En tales casos hay que pensar en la posibilidad de transmisión vertical, pero también está justificada la valoración de las circunstancias del paciente por parte de los servicios de protección a menores, de la localidad.</w:t>
      </w:r>
    </w:p>
    <w:p w14:paraId="5613FDE0" w14:textId="77777777" w:rsidR="0072615D" w:rsidRDefault="0072615D">
      <w:pPr>
        <w:pStyle w:val="BodyText"/>
        <w:spacing w:after="80"/>
        <w:ind w:firstLine="360"/>
      </w:pPr>
      <w:r>
        <w:t>A pesar de que es posible la transmisión sexual del virus de la hepatitis B, de la vaginosis bacteriana, de la escabiosis y la pediculosis pubis, se sabe también de otros mecanismos de transmisión. La identificación de cualquiera de los trastornos mencionados en un niño prepúber no justifica la notificación a los servicios de protección infantil, salvo que el clínico detecte otros datos que sugieran abuso.</w:t>
      </w:r>
    </w:p>
    <w:p w14:paraId="57FF6931" w14:textId="77777777" w:rsidR="0072615D" w:rsidRDefault="0072615D">
      <w:pPr>
        <w:pStyle w:val="Bodytext70"/>
      </w:pPr>
      <w:r>
        <w:t>Abuso sexual y STD</w:t>
      </w:r>
    </w:p>
    <w:p w14:paraId="7C736F70" w14:textId="77777777" w:rsidR="0072615D" w:rsidRDefault="0072615D">
      <w:pPr>
        <w:pStyle w:val="BodyText"/>
        <w:spacing w:after="240"/>
        <w:ind w:firstLine="0"/>
      </w:pPr>
      <w:r>
        <w:t>CONSIDERACIONES GENERALES</w:t>
      </w:r>
    </w:p>
    <w:p w14:paraId="73871871" w14:textId="77777777" w:rsidR="0072615D" w:rsidRDefault="0072615D">
      <w:pPr>
        <w:pStyle w:val="BodyText"/>
        <w:spacing w:after="220"/>
        <w:ind w:firstLine="0"/>
      </w:pPr>
      <w:r>
        <w:t>El abuso sexual de menores ha sido definido como la explotación de un niño, por contacto físico u otras interacciones, para la estimulación sexual de un adulto o de un menor que esté en posición de poder respecto del niño. Recibe el nombre de abuso, todo acto sexual en que la víctima es un niño menor de 18 años, por parte de un cuidador; por ley se exige a los médicos que notifiquen los casos de abuso a su organización estatal de servicios de protección a menores. En Estados Unidos se conoce con el nombre de agresión a la situación en que un niño o un adolescente es víctima de agresión sexual por una persona que no es su cuidador; si dicha agresión no consistió en una lesión por arma de fuego o punzocortante, el paciente o sus progenitores decidirán si notificarán la agresión sexual a alguna autoridad local de cumplimiento de la ley. En algunos casos, el abuso o la agresión sexual entrañan el contacto físico que permite la transferencia de microorganismos de transmisión sexual. En promedio 5% de niños a los que se abusó sexualmente se contagian de STD como resultado de haber sido las víctimas de tal agresión.</w:t>
      </w:r>
    </w:p>
    <w:p w14:paraId="20C19187" w14:textId="77777777" w:rsidR="0072615D" w:rsidRDefault="0072615D">
      <w:pPr>
        <w:pStyle w:val="BodyText"/>
        <w:spacing w:after="220"/>
        <w:ind w:firstLine="0"/>
      </w:pPr>
      <w:r>
        <w:t>IDENTIFICACIÓN DE STD EN NIÑOS ASINTOMÁTICOS VÍCTIMAS SEXUALES</w:t>
      </w:r>
    </w:p>
    <w:p w14:paraId="3CF89FDD" w14:textId="77777777" w:rsidR="0072615D" w:rsidRDefault="0072615D">
      <w:pPr>
        <w:pStyle w:val="BodyText"/>
        <w:ind w:firstLine="0"/>
      </w:pPr>
      <w:r>
        <w:t>Los factores que influyen en la posibilidad de que un niño sexualmente victimado adquiera una STD incluyen la prevalencia regional de este tipo de enfermedades en la población de adultos, el número de agresores, el tipo y la frecuencia de contacto físico entre el agresor y el niño, la infectividad de diversos microorganismos, la susceptibilidad del menor a la infección y si el pequeño ha recibido algún tratamiento intercurrente como antimicrobianos. El lapso que media entre el contacto físico del menor con su agresor y la valoración médica influye en la posibilidad de que un niño expuesto muestre signos o síntomas de una enfermedad de transmisión sexual.</w:t>
      </w:r>
    </w:p>
    <w:p w14:paraId="2919C77D" w14:textId="77777777" w:rsidR="0072615D" w:rsidRDefault="0072615D">
      <w:pPr>
        <w:pStyle w:val="BodyText"/>
        <w:ind w:firstLine="360"/>
      </w:pPr>
      <w:r>
        <w:t>Es importante tomar en forma individualizada la decisión de obtener muestras de material de genitales o de otro tipo en un niño para hacer una valoración en busca de STD. Las situaciones siguientes entrañan un alto riesgo de que haya STD y constituyen una indicación de gran peso para emprender estudios:</w:t>
      </w:r>
    </w:p>
    <w:p w14:paraId="5D06D6F5" w14:textId="77777777" w:rsidR="0072615D" w:rsidRDefault="0072615D">
      <w:pPr>
        <w:pStyle w:val="BodyText"/>
        <w:numPr>
          <w:ilvl w:val="0"/>
          <w:numId w:val="43"/>
        </w:numPr>
        <w:tabs>
          <w:tab w:val="left" w:pos="340"/>
        </w:tabs>
        <w:ind w:left="360" w:hanging="360"/>
      </w:pPr>
      <w:bookmarkStart w:id="528" w:name="bookmark528"/>
      <w:bookmarkEnd w:id="528"/>
      <w:r>
        <w:t>El niño tiene o ha tenido signos o síntomas de una STD o una infección de transmisión sexual, incluso si no hay sospecha de abuso sexual.</w:t>
      </w:r>
    </w:p>
    <w:p w14:paraId="6A7158F5" w14:textId="77777777" w:rsidR="0072615D" w:rsidRDefault="0072615D">
      <w:pPr>
        <w:pStyle w:val="BodyText"/>
        <w:numPr>
          <w:ilvl w:val="0"/>
          <w:numId w:val="43"/>
        </w:numPr>
        <w:tabs>
          <w:tab w:val="left" w:pos="340"/>
        </w:tabs>
        <w:ind w:left="360" w:hanging="360"/>
      </w:pPr>
      <w:bookmarkStart w:id="529" w:name="bookmark529"/>
      <w:bookmarkEnd w:id="529"/>
      <w:r>
        <w:t>Un hermano, otro niño o un adulto en el círculo familiar o en el entorno inmediato del menor tiene una enfermedad de transmisión sexual.</w:t>
      </w:r>
    </w:p>
    <w:p w14:paraId="196E94AF" w14:textId="77777777" w:rsidR="0072615D" w:rsidRDefault="0072615D">
      <w:pPr>
        <w:pStyle w:val="BodyText"/>
        <w:numPr>
          <w:ilvl w:val="0"/>
          <w:numId w:val="43"/>
        </w:numPr>
        <w:tabs>
          <w:tab w:val="left" w:pos="340"/>
        </w:tabs>
        <w:ind w:left="360" w:hanging="360"/>
      </w:pPr>
      <w:bookmarkStart w:id="530" w:name="bookmark530"/>
      <w:bookmarkEnd w:id="530"/>
      <w:r>
        <w:t>Se sabe que el asaltante sospechoso tiene STD o gran probabilidad de tenerla (es decir, tiene múltiples compañeros sexuales con antecedentes de STD).</w:t>
      </w:r>
    </w:p>
    <w:p w14:paraId="424AC3B5" w14:textId="77777777" w:rsidR="0072615D" w:rsidRDefault="0072615D">
      <w:pPr>
        <w:pStyle w:val="BodyText"/>
        <w:numPr>
          <w:ilvl w:val="0"/>
          <w:numId w:val="43"/>
        </w:numPr>
        <w:tabs>
          <w:tab w:val="left" w:pos="340"/>
        </w:tabs>
        <w:ind w:firstLine="0"/>
      </w:pPr>
      <w:bookmarkStart w:id="531" w:name="bookmark531"/>
      <w:bookmarkEnd w:id="531"/>
      <w:r>
        <w:t>El paciente o sus parientes solicita la práctica de pruebas.</w:t>
      </w:r>
    </w:p>
    <w:p w14:paraId="4942D131" w14:textId="77777777" w:rsidR="0072615D" w:rsidRDefault="0072615D">
      <w:pPr>
        <w:pStyle w:val="BodyText"/>
        <w:numPr>
          <w:ilvl w:val="0"/>
          <w:numId w:val="43"/>
        </w:numPr>
        <w:tabs>
          <w:tab w:val="left" w:pos="340"/>
        </w:tabs>
        <w:ind w:firstLine="0"/>
      </w:pPr>
      <w:bookmarkStart w:id="532" w:name="bookmark532"/>
      <w:bookmarkEnd w:id="532"/>
      <w:r>
        <w:t>La prevalencia de STD en la comunidad es grande.</w:t>
      </w:r>
    </w:p>
    <w:p w14:paraId="236027DC" w14:textId="77777777" w:rsidR="0072615D" w:rsidRDefault="0072615D">
      <w:pPr>
        <w:pStyle w:val="BodyText"/>
        <w:numPr>
          <w:ilvl w:val="0"/>
          <w:numId w:val="43"/>
        </w:numPr>
        <w:tabs>
          <w:tab w:val="left" w:pos="340"/>
        </w:tabs>
        <w:ind w:firstLine="0"/>
      </w:pPr>
      <w:bookmarkStart w:id="533" w:name="bookmark533"/>
      <w:bookmarkEnd w:id="533"/>
      <w:r>
        <w:t>Existen pruebas de penetración o eyaculación genital, bucal o anal.</w:t>
      </w:r>
    </w:p>
    <w:p w14:paraId="3AE5DB58" w14:textId="77777777" w:rsidR="0072615D" w:rsidRDefault="0072615D">
      <w:pPr>
        <w:pStyle w:val="BodyText"/>
        <w:ind w:firstLine="360"/>
      </w:pPr>
      <w:r>
        <w:t>Véase el cuadro 2-14, si se intenta emprender pruebas en busca de STD en un menor.</w:t>
      </w:r>
    </w:p>
    <w:p w14:paraId="1F1C9031" w14:textId="77777777" w:rsidR="0072615D" w:rsidRDefault="0072615D">
      <w:pPr>
        <w:pStyle w:val="BodyText"/>
        <w:spacing w:after="220" w:line="271" w:lineRule="auto"/>
        <w:ind w:firstLine="360"/>
      </w:pPr>
      <w:r>
        <w:t xml:space="preserve">Casi todos los expertos recomiendan la práctica impostergable o unánime de métodos de detección de STD de pacientes pospúberes, porque tienen una alta prevalencia de infecciones asintomáticas persistentes. Al realizar los métodos de detección sistemática de STD deben orientarse a posibles sitios anatómicos de infección (según lo indiquen los datos de anamnesis o consideraciones epidemiológicas) e incluirán la valoración en busca de infecciones por VIH si el paciente, sus parientes o ambas partes consienten en que se hagan los métodos de detección serológica; la valoración en busca de vaginosis bacteriana en mujeres y también de tricomoniasis; un frotis de </w:t>
      </w:r>
      <w:r>
        <w:rPr>
          <w:rFonts w:ascii="Times New Roman" w:eastAsia="Times New Roman" w:hAnsi="Times New Roman" w:cs="Times New Roman"/>
          <w:i/>
          <w:iCs/>
          <w:sz w:val="16"/>
          <w:szCs w:val="16"/>
        </w:rPr>
        <w:t>Papanicolaou</w:t>
      </w:r>
      <w:r>
        <w:t xml:space="preserve"> en mujeres, y métodos para identificar </w:t>
      </w:r>
      <w:r>
        <w:rPr>
          <w:rFonts w:ascii="Times New Roman" w:eastAsia="Times New Roman" w:hAnsi="Times New Roman" w:cs="Times New Roman"/>
          <w:i/>
          <w:iCs/>
          <w:sz w:val="16"/>
          <w:szCs w:val="16"/>
        </w:rPr>
        <w:t>N. gonorrhoeae</w:t>
      </w:r>
      <w:r>
        <w:rPr>
          <w:i/>
          <w:iCs/>
        </w:rPr>
        <w:t xml:space="preserve">, </w:t>
      </w:r>
      <w:r>
        <w:rPr>
          <w:rFonts w:ascii="Times New Roman" w:eastAsia="Times New Roman" w:hAnsi="Times New Roman" w:cs="Times New Roman"/>
          <w:i/>
          <w:iCs/>
          <w:sz w:val="16"/>
          <w:szCs w:val="16"/>
        </w:rPr>
        <w:t>C. trachomatis</w:t>
      </w:r>
      <w:r>
        <w:t xml:space="preserve"> y sífilis. Para conservar la “cadena de custodia” en cuanto a información que más tarde se puede transformar en evidencia legal, hay que etiquetar con enorme cuidado las muestras para análisis de laboratorio, obtenidas de víctimas de ataque sexual y también hay que cumplir con gran cuidado los métodos hospitalarios estándar para la transferencia de las muestras de un sitio a otro. Se utilizarán sólo pruebas con alta especificidad, y las obtendrán sólo los profesionales asistenciales con experiencia en la valoración de niños víctimas de abuso y agresiones sexuales. La visita de vigilancia unas</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434"/>
        <w:gridCol w:w="4488"/>
      </w:tblGrid>
      <w:tr w:rsidR="0072615D" w14:paraId="63E8C8F9" w14:textId="77777777">
        <w:tblPrEx>
          <w:tblCellMar>
            <w:top w:w="0" w:type="dxa"/>
            <w:bottom w:w="0" w:type="dxa"/>
          </w:tblCellMar>
        </w:tblPrEx>
        <w:trPr>
          <w:trHeight w:hRule="exact" w:val="878"/>
          <w:jc w:val="center"/>
        </w:trPr>
        <w:tc>
          <w:tcPr>
            <w:tcW w:w="6922" w:type="dxa"/>
            <w:gridSpan w:val="2"/>
            <w:tcBorders>
              <w:top w:val="single" w:sz="4" w:space="0" w:color="auto"/>
            </w:tcBorders>
            <w:shd w:val="clear" w:color="auto" w:fill="FFFFFF"/>
            <w:vAlign w:val="bottom"/>
          </w:tcPr>
          <w:p w14:paraId="25D47DBF" w14:textId="77777777" w:rsidR="0072615D" w:rsidRDefault="0072615D">
            <w:pPr>
              <w:pStyle w:val="Other0"/>
              <w:spacing w:line="221" w:lineRule="auto"/>
              <w:ind w:firstLine="0"/>
              <w:jc w:val="center"/>
              <w:rPr>
                <w:sz w:val="26"/>
                <w:szCs w:val="26"/>
              </w:rPr>
            </w:pPr>
            <w:r>
              <w:rPr>
                <w:rFonts w:ascii="Arial" w:eastAsia="Arial" w:hAnsi="Arial" w:cs="Arial"/>
                <w:w w:val="70"/>
                <w:sz w:val="26"/>
                <w:szCs w:val="26"/>
              </w:rPr>
              <w:t xml:space="preserve">Cuadro 2-14. </w:t>
            </w:r>
            <w:r>
              <w:rPr>
                <w:rFonts w:ascii="Arial" w:eastAsia="Arial" w:hAnsi="Arial" w:cs="Arial"/>
                <w:b/>
                <w:bCs/>
                <w:w w:val="70"/>
                <w:sz w:val="26"/>
                <w:szCs w:val="26"/>
              </w:rPr>
              <w:t>Pruebas de detección de enfermedad de transmisión sexual (STD) cuando se sospecha abuso sexual en un niño</w:t>
            </w:r>
            <w:r>
              <w:rPr>
                <w:rFonts w:ascii="Arial" w:eastAsia="Arial" w:hAnsi="Arial" w:cs="Arial"/>
                <w:b/>
                <w:bCs/>
                <w:w w:val="70"/>
                <w:sz w:val="26"/>
                <w:szCs w:val="26"/>
                <w:vertAlign w:val="superscript"/>
              </w:rPr>
              <w:t>1</w:t>
            </w:r>
          </w:p>
        </w:tc>
      </w:tr>
      <w:tr w:rsidR="0072615D" w14:paraId="10CF6267" w14:textId="77777777">
        <w:tblPrEx>
          <w:tblCellMar>
            <w:top w:w="0" w:type="dxa"/>
            <w:bottom w:w="0" w:type="dxa"/>
          </w:tblCellMar>
        </w:tblPrEx>
        <w:trPr>
          <w:trHeight w:hRule="exact" w:val="264"/>
          <w:jc w:val="center"/>
        </w:trPr>
        <w:tc>
          <w:tcPr>
            <w:tcW w:w="2434" w:type="dxa"/>
            <w:shd w:val="clear" w:color="auto" w:fill="231F20"/>
          </w:tcPr>
          <w:p w14:paraId="7472E852"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iMicroorganismo/síndrome</w:t>
            </w:r>
          </w:p>
        </w:tc>
        <w:tc>
          <w:tcPr>
            <w:tcW w:w="4488" w:type="dxa"/>
            <w:shd w:val="clear" w:color="auto" w:fill="231F20"/>
          </w:tcPr>
          <w:p w14:paraId="77479942"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200"/>
              <w:rPr>
                <w:sz w:val="24"/>
                <w:szCs w:val="24"/>
              </w:rPr>
            </w:pPr>
            <w:r>
              <w:rPr>
                <w:rFonts w:ascii="Arial" w:eastAsia="Arial" w:hAnsi="Arial" w:cs="Arial"/>
                <w:b/>
                <w:bCs/>
                <w:color w:val="FFFFFF"/>
                <w:w w:val="70"/>
                <w:sz w:val="24"/>
                <w:szCs w:val="24"/>
              </w:rPr>
              <w:t>Muestras y pruebas</w:t>
            </w:r>
          </w:p>
        </w:tc>
      </w:tr>
      <w:tr w:rsidR="0072615D" w14:paraId="4D77B5E6" w14:textId="77777777">
        <w:tblPrEx>
          <w:tblCellMar>
            <w:top w:w="0" w:type="dxa"/>
            <w:bottom w:w="0" w:type="dxa"/>
          </w:tblCellMar>
        </w:tblPrEx>
        <w:trPr>
          <w:trHeight w:hRule="exact" w:val="518"/>
          <w:jc w:val="center"/>
        </w:trPr>
        <w:tc>
          <w:tcPr>
            <w:tcW w:w="2434" w:type="dxa"/>
            <w:shd w:val="clear" w:color="auto" w:fill="FFFFFF"/>
            <w:vAlign w:val="center"/>
          </w:tcPr>
          <w:p w14:paraId="7EFED2C5"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Neisseria gonorrhoeae</w:t>
            </w:r>
          </w:p>
        </w:tc>
        <w:tc>
          <w:tcPr>
            <w:tcW w:w="4488" w:type="dxa"/>
            <w:shd w:val="clear" w:color="auto" w:fill="FFFFFF"/>
            <w:vAlign w:val="bottom"/>
          </w:tcPr>
          <w:p w14:paraId="10E8C91A" w14:textId="77777777" w:rsidR="0072615D" w:rsidRDefault="0072615D">
            <w:pPr>
              <w:pStyle w:val="Other0"/>
              <w:spacing w:line="283" w:lineRule="auto"/>
              <w:ind w:left="300" w:hanging="100"/>
              <w:rPr>
                <w:sz w:val="16"/>
                <w:szCs w:val="16"/>
              </w:rPr>
            </w:pPr>
            <w:r>
              <w:rPr>
                <w:rFonts w:ascii="Times New Roman" w:eastAsia="Times New Roman" w:hAnsi="Times New Roman" w:cs="Times New Roman"/>
                <w:sz w:val="16"/>
                <w:szCs w:val="16"/>
              </w:rPr>
              <w:t>Cultivos</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xml:space="preserve"> de material rectal, faríngeo, uretral (varón), vaginal o de ambos tipos</w:t>
            </w:r>
          </w:p>
        </w:tc>
      </w:tr>
      <w:tr w:rsidR="0072615D" w14:paraId="25CBF219" w14:textId="77777777">
        <w:tblPrEx>
          <w:tblCellMar>
            <w:top w:w="0" w:type="dxa"/>
            <w:bottom w:w="0" w:type="dxa"/>
          </w:tblCellMar>
        </w:tblPrEx>
        <w:trPr>
          <w:trHeight w:hRule="exact" w:val="216"/>
          <w:jc w:val="center"/>
        </w:trPr>
        <w:tc>
          <w:tcPr>
            <w:tcW w:w="2434" w:type="dxa"/>
            <w:shd w:val="clear" w:color="auto" w:fill="FFFFFF"/>
            <w:vAlign w:val="bottom"/>
          </w:tcPr>
          <w:p w14:paraId="048A0F07"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Chlamydia trachomatis</w:t>
            </w:r>
          </w:p>
        </w:tc>
        <w:tc>
          <w:tcPr>
            <w:tcW w:w="4488" w:type="dxa"/>
            <w:shd w:val="clear" w:color="auto" w:fill="FFFFFF"/>
            <w:vAlign w:val="bottom"/>
          </w:tcPr>
          <w:p w14:paraId="3F6F242F"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Cultivos</w:t>
            </w:r>
            <w:r>
              <w:rPr>
                <w:rFonts w:ascii="Times New Roman" w:eastAsia="Times New Roman" w:hAnsi="Times New Roman" w:cs="Times New Roman"/>
                <w:sz w:val="16"/>
                <w:szCs w:val="16"/>
                <w:vertAlign w:val="superscript"/>
              </w:rPr>
              <w:t>2</w:t>
            </w:r>
            <w:r>
              <w:rPr>
                <w:rFonts w:ascii="Times New Roman" w:eastAsia="Times New Roman" w:hAnsi="Times New Roman" w:cs="Times New Roman"/>
                <w:sz w:val="16"/>
                <w:szCs w:val="16"/>
              </w:rPr>
              <w:t xml:space="preserve"> de material rectal, uretral (varón) y vaginal</w:t>
            </w:r>
          </w:p>
        </w:tc>
      </w:tr>
      <w:tr w:rsidR="0072615D" w14:paraId="625D65B8" w14:textId="77777777">
        <w:tblPrEx>
          <w:tblCellMar>
            <w:top w:w="0" w:type="dxa"/>
            <w:bottom w:w="0" w:type="dxa"/>
          </w:tblCellMar>
        </w:tblPrEx>
        <w:trPr>
          <w:trHeight w:hRule="exact" w:val="638"/>
          <w:jc w:val="center"/>
        </w:trPr>
        <w:tc>
          <w:tcPr>
            <w:tcW w:w="2434" w:type="dxa"/>
            <w:shd w:val="clear" w:color="auto" w:fill="FFFFFF"/>
          </w:tcPr>
          <w:p w14:paraId="1C136673"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Sífilis</w:t>
            </w:r>
          </w:p>
        </w:tc>
        <w:tc>
          <w:tcPr>
            <w:tcW w:w="4488" w:type="dxa"/>
            <w:shd w:val="clear" w:color="auto" w:fill="FFFFFF"/>
            <w:vAlign w:val="bottom"/>
          </w:tcPr>
          <w:p w14:paraId="2F4E1A8D" w14:textId="77777777" w:rsidR="0072615D" w:rsidRDefault="0072615D">
            <w:pPr>
              <w:pStyle w:val="Other0"/>
              <w:spacing w:line="283" w:lineRule="auto"/>
              <w:ind w:left="300" w:hanging="100"/>
              <w:rPr>
                <w:sz w:val="16"/>
                <w:szCs w:val="16"/>
              </w:rPr>
            </w:pPr>
            <w:r>
              <w:rPr>
                <w:rFonts w:ascii="Times New Roman" w:eastAsia="Times New Roman" w:hAnsi="Times New Roman" w:cs="Times New Roman"/>
                <w:sz w:val="16"/>
                <w:szCs w:val="16"/>
              </w:rPr>
              <w:t>Examen del líquido del chancro en campo oscuro, si se cuenta con él; sangre para métodos serológicos en el momento del abuso y 6, 12 y 24 semanas después</w:t>
            </w:r>
          </w:p>
        </w:tc>
      </w:tr>
      <w:tr w:rsidR="0072615D" w14:paraId="202E290B" w14:textId="77777777">
        <w:tblPrEx>
          <w:tblCellMar>
            <w:top w:w="0" w:type="dxa"/>
            <w:bottom w:w="0" w:type="dxa"/>
          </w:tblCellMar>
        </w:tblPrEx>
        <w:trPr>
          <w:trHeight w:hRule="exact" w:val="216"/>
          <w:jc w:val="center"/>
        </w:trPr>
        <w:tc>
          <w:tcPr>
            <w:tcW w:w="2434" w:type="dxa"/>
            <w:shd w:val="clear" w:color="auto" w:fill="FFFFFF"/>
            <w:vAlign w:val="bottom"/>
          </w:tcPr>
          <w:p w14:paraId="34141D2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la inmunodeficiencia</w:t>
            </w:r>
          </w:p>
        </w:tc>
        <w:tc>
          <w:tcPr>
            <w:tcW w:w="4488" w:type="dxa"/>
            <w:shd w:val="clear" w:color="auto" w:fill="FFFFFF"/>
            <w:vAlign w:val="bottom"/>
          </w:tcPr>
          <w:p w14:paraId="02AF7528"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Métodos serológicos del victimario (de ser posible);</w:t>
            </w:r>
          </w:p>
        </w:tc>
      </w:tr>
      <w:tr w:rsidR="0072615D" w14:paraId="7E6097F7" w14:textId="77777777">
        <w:tblPrEx>
          <w:tblCellMar>
            <w:top w:w="0" w:type="dxa"/>
            <w:bottom w:w="0" w:type="dxa"/>
          </w:tblCellMar>
        </w:tblPrEx>
        <w:trPr>
          <w:trHeight w:hRule="exact" w:val="446"/>
          <w:jc w:val="center"/>
        </w:trPr>
        <w:tc>
          <w:tcPr>
            <w:tcW w:w="2434" w:type="dxa"/>
            <w:shd w:val="clear" w:color="auto" w:fill="FFFFFF"/>
          </w:tcPr>
          <w:p w14:paraId="25E9569A"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humana</w:t>
            </w:r>
          </w:p>
        </w:tc>
        <w:tc>
          <w:tcPr>
            <w:tcW w:w="4488" w:type="dxa"/>
            <w:shd w:val="clear" w:color="auto" w:fill="FFFFFF"/>
            <w:vAlign w:val="bottom"/>
          </w:tcPr>
          <w:p w14:paraId="03AC26FE" w14:textId="77777777" w:rsidR="0072615D" w:rsidRDefault="0072615D">
            <w:pPr>
              <w:pStyle w:val="Other0"/>
              <w:spacing w:line="283" w:lineRule="auto"/>
              <w:ind w:left="300" w:firstLine="0"/>
              <w:rPr>
                <w:sz w:val="16"/>
                <w:szCs w:val="16"/>
              </w:rPr>
            </w:pPr>
            <w:r>
              <w:rPr>
                <w:rFonts w:ascii="Times New Roman" w:eastAsia="Times New Roman" w:hAnsi="Times New Roman" w:cs="Times New Roman"/>
                <w:sz w:val="16"/>
                <w:szCs w:val="16"/>
              </w:rPr>
              <w:t>métodos serológicos del niño en la fecha del abuso y 6, 12 y 24 semanas después</w:t>
            </w:r>
          </w:p>
        </w:tc>
      </w:tr>
      <w:tr w:rsidR="0072615D" w14:paraId="72EEF50C" w14:textId="77777777">
        <w:tblPrEx>
          <w:tblCellMar>
            <w:top w:w="0" w:type="dxa"/>
            <w:bottom w:w="0" w:type="dxa"/>
          </w:tblCellMar>
        </w:tblPrEx>
        <w:trPr>
          <w:trHeight w:hRule="exact" w:val="648"/>
          <w:jc w:val="center"/>
        </w:trPr>
        <w:tc>
          <w:tcPr>
            <w:tcW w:w="2434" w:type="dxa"/>
            <w:shd w:val="clear" w:color="auto" w:fill="FFFFFF"/>
          </w:tcPr>
          <w:p w14:paraId="5AB2D9B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hepatitis B</w:t>
            </w:r>
          </w:p>
        </w:tc>
        <w:tc>
          <w:tcPr>
            <w:tcW w:w="4488" w:type="dxa"/>
            <w:shd w:val="clear" w:color="auto" w:fill="FFFFFF"/>
            <w:vAlign w:val="bottom"/>
          </w:tcPr>
          <w:p w14:paraId="1A5611A0" w14:textId="77777777" w:rsidR="0072615D" w:rsidRDefault="0072615D">
            <w:pPr>
              <w:pStyle w:val="Other0"/>
              <w:spacing w:line="283" w:lineRule="auto"/>
              <w:ind w:left="300" w:hanging="100"/>
              <w:rPr>
                <w:sz w:val="16"/>
                <w:szCs w:val="16"/>
              </w:rPr>
            </w:pPr>
            <w:r>
              <w:rPr>
                <w:rFonts w:ascii="Times New Roman" w:eastAsia="Times New Roman" w:hAnsi="Times New Roman" w:cs="Times New Roman"/>
                <w:sz w:val="16"/>
                <w:szCs w:val="16"/>
              </w:rPr>
              <w:t>Identificación del antígeno de superficie de hepatitis B en suero en el victimario o el anticuerpo contra dicho antígeno en el niño</w:t>
            </w:r>
          </w:p>
        </w:tc>
      </w:tr>
      <w:tr w:rsidR="0072615D" w14:paraId="20CB480F" w14:textId="77777777">
        <w:tblPrEx>
          <w:tblCellMar>
            <w:top w:w="0" w:type="dxa"/>
            <w:bottom w:w="0" w:type="dxa"/>
          </w:tblCellMar>
        </w:tblPrEx>
        <w:trPr>
          <w:trHeight w:hRule="exact" w:val="202"/>
          <w:jc w:val="center"/>
        </w:trPr>
        <w:tc>
          <w:tcPr>
            <w:tcW w:w="2434" w:type="dxa"/>
            <w:shd w:val="clear" w:color="auto" w:fill="FFFFFF"/>
          </w:tcPr>
          <w:p w14:paraId="543BC9F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herpes simple</w:t>
            </w:r>
          </w:p>
        </w:tc>
        <w:tc>
          <w:tcPr>
            <w:tcW w:w="4488" w:type="dxa"/>
            <w:shd w:val="clear" w:color="auto" w:fill="FFFFFF"/>
          </w:tcPr>
          <w:p w14:paraId="14BFE545"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Cultivo de la lesión</w:t>
            </w:r>
          </w:p>
        </w:tc>
      </w:tr>
      <w:tr w:rsidR="0072615D" w14:paraId="7F034F2C" w14:textId="77777777">
        <w:tblPrEx>
          <w:tblCellMar>
            <w:top w:w="0" w:type="dxa"/>
            <w:bottom w:w="0" w:type="dxa"/>
          </w:tblCellMar>
        </w:tblPrEx>
        <w:trPr>
          <w:trHeight w:hRule="exact" w:val="442"/>
          <w:jc w:val="center"/>
        </w:trPr>
        <w:tc>
          <w:tcPr>
            <w:tcW w:w="2434" w:type="dxa"/>
            <w:shd w:val="clear" w:color="auto" w:fill="FFFFFF"/>
          </w:tcPr>
          <w:p w14:paraId="31981F92"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Vaginosis bacteriana</w:t>
            </w:r>
          </w:p>
        </w:tc>
        <w:tc>
          <w:tcPr>
            <w:tcW w:w="4488" w:type="dxa"/>
            <w:shd w:val="clear" w:color="auto" w:fill="FFFFFF"/>
            <w:vAlign w:val="bottom"/>
          </w:tcPr>
          <w:p w14:paraId="33FFFFC1" w14:textId="77777777" w:rsidR="0072615D" w:rsidRDefault="0072615D">
            <w:pPr>
              <w:pStyle w:val="Other0"/>
              <w:spacing w:line="283" w:lineRule="auto"/>
              <w:ind w:left="300" w:hanging="100"/>
              <w:rPr>
                <w:sz w:val="16"/>
                <w:szCs w:val="16"/>
              </w:rPr>
            </w:pPr>
            <w:r>
              <w:rPr>
                <w:rFonts w:ascii="Times New Roman" w:eastAsia="Times New Roman" w:hAnsi="Times New Roman" w:cs="Times New Roman"/>
                <w:sz w:val="16"/>
                <w:szCs w:val="16"/>
              </w:rPr>
              <w:t>Preparado húmedo, pH en estudio con hidróxido de potasio de la secreción vaginal, o tinción de Gram</w:t>
            </w:r>
          </w:p>
        </w:tc>
      </w:tr>
      <w:tr w:rsidR="0072615D" w14:paraId="7DD2E25A" w14:textId="77777777">
        <w:tblPrEx>
          <w:tblCellMar>
            <w:top w:w="0" w:type="dxa"/>
            <w:bottom w:w="0" w:type="dxa"/>
          </w:tblCellMar>
        </w:tblPrEx>
        <w:trPr>
          <w:trHeight w:hRule="exact" w:val="216"/>
          <w:jc w:val="center"/>
        </w:trPr>
        <w:tc>
          <w:tcPr>
            <w:tcW w:w="2434" w:type="dxa"/>
            <w:shd w:val="clear" w:color="auto" w:fill="FFFFFF"/>
            <w:vAlign w:val="bottom"/>
          </w:tcPr>
          <w:p w14:paraId="3D0156C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papiloma humano</w:t>
            </w:r>
          </w:p>
        </w:tc>
        <w:tc>
          <w:tcPr>
            <w:tcW w:w="4488" w:type="dxa"/>
            <w:shd w:val="clear" w:color="auto" w:fill="FFFFFF"/>
            <w:vAlign w:val="bottom"/>
          </w:tcPr>
          <w:p w14:paraId="776BCE36"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Biopsia de la lesión</w:t>
            </w:r>
          </w:p>
        </w:tc>
      </w:tr>
      <w:tr w:rsidR="0072615D" w14:paraId="5521B554" w14:textId="77777777">
        <w:tblPrEx>
          <w:tblCellMar>
            <w:top w:w="0" w:type="dxa"/>
            <w:bottom w:w="0" w:type="dxa"/>
          </w:tblCellMar>
        </w:tblPrEx>
        <w:trPr>
          <w:trHeight w:hRule="exact" w:val="216"/>
          <w:jc w:val="center"/>
        </w:trPr>
        <w:tc>
          <w:tcPr>
            <w:tcW w:w="2434" w:type="dxa"/>
            <w:shd w:val="clear" w:color="auto" w:fill="FFFFFF"/>
            <w:vAlign w:val="bottom"/>
          </w:tcPr>
          <w:p w14:paraId="1E4296E6"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Trichomonas vaginalis</w:t>
            </w:r>
          </w:p>
        </w:tc>
        <w:tc>
          <w:tcPr>
            <w:tcW w:w="4488" w:type="dxa"/>
            <w:shd w:val="clear" w:color="auto" w:fill="FFFFFF"/>
            <w:vAlign w:val="bottom"/>
          </w:tcPr>
          <w:p w14:paraId="7BA3C74C"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Preparado húmedo y cultivo de la secreción vaginal</w:t>
            </w:r>
          </w:p>
        </w:tc>
      </w:tr>
      <w:tr w:rsidR="0072615D" w14:paraId="21543B16" w14:textId="77777777">
        <w:tblPrEx>
          <w:tblCellMar>
            <w:top w:w="0" w:type="dxa"/>
            <w:bottom w:w="0" w:type="dxa"/>
          </w:tblCellMar>
        </w:tblPrEx>
        <w:trPr>
          <w:trHeight w:hRule="exact" w:val="528"/>
          <w:jc w:val="center"/>
        </w:trPr>
        <w:tc>
          <w:tcPr>
            <w:tcW w:w="2434" w:type="dxa"/>
            <w:tcBorders>
              <w:bottom w:val="single" w:sz="4" w:space="0" w:color="auto"/>
            </w:tcBorders>
            <w:shd w:val="clear" w:color="auto" w:fill="FFFFFF"/>
          </w:tcPr>
          <w:p w14:paraId="09364823" w14:textId="77777777" w:rsidR="0072615D" w:rsidRDefault="0072615D">
            <w:pPr>
              <w:pStyle w:val="Other0"/>
              <w:spacing w:line="240" w:lineRule="auto"/>
              <w:ind w:firstLine="0"/>
              <w:rPr>
                <w:sz w:val="16"/>
                <w:szCs w:val="16"/>
              </w:rPr>
            </w:pPr>
            <w:r>
              <w:rPr>
                <w:rFonts w:ascii="Times New Roman" w:eastAsia="Times New Roman" w:hAnsi="Times New Roman" w:cs="Times New Roman"/>
                <w:i/>
                <w:iCs/>
                <w:sz w:val="16"/>
                <w:szCs w:val="16"/>
              </w:rPr>
              <w:t>Pediculus pubis</w:t>
            </w:r>
          </w:p>
        </w:tc>
        <w:tc>
          <w:tcPr>
            <w:tcW w:w="4488" w:type="dxa"/>
            <w:tcBorders>
              <w:bottom w:val="single" w:sz="4" w:space="0" w:color="auto"/>
            </w:tcBorders>
            <w:shd w:val="clear" w:color="auto" w:fill="FFFFFF"/>
          </w:tcPr>
          <w:p w14:paraId="027A1A6B" w14:textId="77777777" w:rsidR="0072615D" w:rsidRDefault="0072615D">
            <w:pPr>
              <w:pStyle w:val="Other0"/>
              <w:spacing w:line="283" w:lineRule="auto"/>
              <w:ind w:left="300" w:hanging="100"/>
              <w:rPr>
                <w:sz w:val="16"/>
                <w:szCs w:val="16"/>
              </w:rPr>
            </w:pPr>
            <w:r>
              <w:rPr>
                <w:rFonts w:ascii="Times New Roman" w:eastAsia="Times New Roman" w:hAnsi="Times New Roman" w:cs="Times New Roman"/>
                <w:sz w:val="16"/>
                <w:szCs w:val="16"/>
              </w:rPr>
              <w:t>Identificación de huevecillos, ninfas y artrópodos a simple vista o con una lupa</w:t>
            </w:r>
          </w:p>
        </w:tc>
      </w:tr>
    </w:tbl>
    <w:p w14:paraId="376B8806" w14:textId="77777777" w:rsidR="0072615D" w:rsidRDefault="0072615D">
      <w:pPr>
        <w:pStyle w:val="Tablecaption0"/>
        <w:numPr>
          <w:ilvl w:val="0"/>
          <w:numId w:val="48"/>
        </w:numPr>
        <w:tabs>
          <w:tab w:val="left" w:pos="55"/>
        </w:tabs>
        <w:spacing w:line="254" w:lineRule="auto"/>
        <w:ind w:left="82"/>
      </w:pPr>
      <w:r>
        <w:t>Véase el texto para conocer las indicaciones de emprender pruebas en busca de STD (“Detección de STD en niños asintomáticos víctimas de abuso sexual”).</w:t>
      </w:r>
    </w:p>
    <w:p w14:paraId="334E0E2B" w14:textId="77777777" w:rsidR="0072615D" w:rsidRDefault="0072615D">
      <w:pPr>
        <w:pStyle w:val="Tablecaption0"/>
        <w:numPr>
          <w:ilvl w:val="0"/>
          <w:numId w:val="48"/>
        </w:numPr>
        <w:tabs>
          <w:tab w:val="left" w:pos="254"/>
        </w:tabs>
        <w:spacing w:line="254" w:lineRule="auto"/>
        <w:ind w:left="82"/>
      </w:pPr>
      <w:r>
        <w:t>No se recomienda obtener muestras de cuello uterino en niñas prepúberes.</w:t>
      </w:r>
    </w:p>
    <w:p w14:paraId="5482661B" w14:textId="77777777" w:rsidR="0072615D" w:rsidRDefault="0072615D">
      <w:pPr>
        <w:spacing w:after="419" w:line="1" w:lineRule="exact"/>
      </w:pPr>
    </w:p>
    <w:p w14:paraId="2993F586" w14:textId="77777777" w:rsidR="0072615D" w:rsidRDefault="0072615D">
      <w:pPr>
        <w:pStyle w:val="BodyText"/>
        <w:spacing w:after="220"/>
        <w:ind w:firstLine="0"/>
      </w:pPr>
      <w:r>
        <w:t>dos semanas después de la exposición sexual más reciente puede incluir una nueva exploración física y la obtención de muestras complementarias. Quizá se necesite otra visita de vigilancia 12 semanas después de la exposición sexual más reciente para obtener suero de convaleciente.</w:t>
      </w:r>
    </w:p>
    <w:p w14:paraId="2C3ED5BF" w14:textId="77777777" w:rsidR="0072615D" w:rsidRDefault="0072615D">
      <w:pPr>
        <w:pStyle w:val="BodyText"/>
        <w:spacing w:after="220"/>
        <w:ind w:firstLine="0"/>
      </w:pPr>
      <w:r>
        <w:t>PROFILAXIA DESPUÉS DE ABUSO O AGRESIÓN SEXUALES</w:t>
      </w:r>
    </w:p>
    <w:p w14:paraId="019ABF7B" w14:textId="77777777" w:rsidR="0072615D" w:rsidRDefault="0072615D">
      <w:pPr>
        <w:pStyle w:val="BodyText"/>
        <w:ind w:firstLine="0"/>
      </w:pPr>
      <w:r>
        <w:t>Casi ningún experto recomienda la profilaxia con antimicrobianos después de abuso de niños prepúberes porque en ellos la incidencia de STD es baja, es pequeño el riesgo de que se propague la enfermedad a la porción superior de las vías genitales en una niña prepúber y por lo común se puede asegurar que se hará vigilancia. Si hay datos positivos de la existencia de STD, puede emprenderse un tratamiento. Los factores que pueden incrementar la posibilidad de infección o que constituyen indicación para la profilaxia son los mismos incluidos en detección sistemática de STD en niños asintomáticos víctimas de abuso sexual (véanse párrafos anteriores).</w:t>
      </w:r>
    </w:p>
    <w:p w14:paraId="28B082EA" w14:textId="77777777" w:rsidR="0072615D" w:rsidRDefault="0072615D">
      <w:pPr>
        <w:pStyle w:val="BodyText"/>
        <w:spacing w:after="320"/>
        <w:ind w:firstLine="380"/>
      </w:pPr>
      <w:r>
        <w:t>Muchos expertos piensan que está justificada la profilaxia en mujeres pospúberes que solicitan atención en término de 72 h de haber sufrido un ataque sexual por la alta prevalencia de infecciones asintomáticas preexistentes y el peligro notable de que exista enfermedad inflamatoria pélvica en dicho grupo de edad. Habrá que practicar pruebas en busca de STD importantes a todas las personas sometidas a medidas profilácticas (véase el cuadro 2-14) antes de emprender el tratamiento. En mujeres posmenárquicas se harán pruebas de embarazo antes de emprender tratamiento antimicrobiano o</w:t>
      </w:r>
    </w:p>
    <w:p w14:paraId="169B0B73" w14:textId="77777777" w:rsidR="0072615D" w:rsidRDefault="0072615D">
      <w:pPr>
        <w:pStyle w:val="Heading31"/>
        <w:keepNext/>
        <w:keepLines/>
        <w:ind w:firstLine="260"/>
      </w:pPr>
      <w:bookmarkStart w:id="534" w:name="bookmark534"/>
      <w:bookmarkStart w:id="535" w:name="bookmark535"/>
      <w:bookmarkStart w:id="536" w:name="bookmark536"/>
      <w:r>
        <w:rPr>
          <w:b w:val="0"/>
          <w:bCs w:val="0"/>
        </w:rPr>
        <w:t xml:space="preserve">Cuadro 2-15. </w:t>
      </w:r>
      <w:r>
        <w:t>Profilaxia después de abuso sexual en preadolescentes</w:t>
      </w:r>
      <w:r>
        <w:rPr>
          <w:vertAlign w:val="superscript"/>
        </w:rPr>
        <w:t>1</w:t>
      </w:r>
      <w:bookmarkEnd w:id="534"/>
      <w:bookmarkEnd w:id="535"/>
      <w:bookmarkEnd w:id="536"/>
    </w:p>
    <w:p w14:paraId="551301D9" w14:textId="77777777" w:rsidR="0072615D" w:rsidRDefault="0072615D">
      <w:pPr>
        <w:pStyle w:val="Heading41"/>
        <w:keepNext/>
        <w:keepLines/>
        <w:pBdr>
          <w:top w:val="single" w:sz="0" w:space="0" w:color="231F20"/>
          <w:left w:val="single" w:sz="0" w:space="0" w:color="231F20"/>
          <w:bottom w:val="single" w:sz="0" w:space="3" w:color="231F20"/>
          <w:right w:val="single" w:sz="0" w:space="0" w:color="231F20"/>
        </w:pBdr>
        <w:shd w:val="clear" w:color="auto" w:fill="231F20"/>
        <w:tabs>
          <w:tab w:val="left" w:pos="3519"/>
        </w:tabs>
        <w:spacing w:after="38"/>
      </w:pPr>
      <w:bookmarkStart w:id="537" w:name="bookmark537"/>
      <w:bookmarkStart w:id="538" w:name="bookmark538"/>
      <w:bookmarkStart w:id="539" w:name="bookmark539"/>
      <w:r>
        <w:rPr>
          <w:color w:val="FFFFFF"/>
        </w:rPr>
        <w:t>Peso menor de 45 kg</w:t>
      </w:r>
      <w:r>
        <w:rPr>
          <w:color w:val="FFFFFF"/>
        </w:rPr>
        <w:tab/>
        <w:t>Peso mayor de 45 kg</w:t>
      </w:r>
      <w:bookmarkEnd w:id="537"/>
      <w:bookmarkEnd w:id="538"/>
      <w:bookmarkEnd w:id="539"/>
    </w:p>
    <w:p w14:paraId="553AB377" w14:textId="77777777" w:rsidR="0072615D" w:rsidRDefault="0072615D">
      <w:pPr>
        <w:pStyle w:val="Bodytext20"/>
        <w:jc w:val="center"/>
      </w:pPr>
      <w:r>
        <w:rPr>
          <w:b/>
          <w:bCs/>
        </w:rPr>
        <w:t>Para evitar gonorrea</w:t>
      </w:r>
      <w:r>
        <w:rPr>
          <w:b/>
          <w:bCs/>
          <w:vertAlign w:val="superscript"/>
        </w:rPr>
        <w:footnoteReference w:id="69"/>
      </w:r>
      <w:r>
        <w:rPr>
          <w:b/>
          <w:bCs/>
          <w:vertAlign w:val="superscript"/>
        </w:rPr>
        <w:t xml:space="preserve"> </w:t>
      </w:r>
      <w:r>
        <w:rPr>
          <w:b/>
          <w:bCs/>
          <w:vertAlign w:val="superscript"/>
        </w:rPr>
        <w:footnoteReference w:id="70"/>
      </w:r>
      <w:r>
        <w:rPr>
          <w:b/>
          <w:bCs/>
          <w:vertAlign w:val="superscript"/>
        </w:rPr>
        <w:t xml:space="preserve"> </w:t>
      </w:r>
      <w:r>
        <w:rPr>
          <w:b/>
          <w:bCs/>
          <w:vertAlign w:val="superscript"/>
        </w:rPr>
        <w:footnoteReference w:id="71"/>
      </w:r>
    </w:p>
    <w:p w14:paraId="4803C548" w14:textId="77777777" w:rsidR="0072615D" w:rsidRDefault="0072615D">
      <w:pPr>
        <w:pStyle w:val="Bodytext20"/>
        <w:tabs>
          <w:tab w:val="left" w:pos="3519"/>
        </w:tabs>
        <w:spacing w:after="200"/>
        <w:ind w:left="260" w:hanging="260"/>
      </w:pPr>
      <w:r>
        <w:t xml:space="preserve">1. Ceftriaxona, 125 mg IM en una sola dosis 1. Ceftriaxona, 125 mg IM en una sola dosis </w:t>
      </w:r>
      <w:r>
        <w:rPr>
          <w:b/>
          <w:bCs/>
        </w:rPr>
        <w:t>Y ADEMÁS</w:t>
      </w:r>
      <w:r>
        <w:rPr>
          <w:b/>
          <w:bCs/>
        </w:rPr>
        <w:tab/>
        <w:t>Y ADEMÁS</w:t>
      </w:r>
    </w:p>
    <w:p w14:paraId="53B427F5" w14:textId="77777777" w:rsidR="0072615D" w:rsidRDefault="0072615D">
      <w:pPr>
        <w:pStyle w:val="Tablecaption0"/>
        <w:spacing w:line="240" w:lineRule="auto"/>
        <w:ind w:left="1238"/>
        <w:rPr>
          <w:sz w:val="17"/>
          <w:szCs w:val="17"/>
        </w:rPr>
      </w:pPr>
      <w:r>
        <w:rPr>
          <w:b/>
          <w:bCs/>
          <w:sz w:val="16"/>
          <w:szCs w:val="16"/>
        </w:rPr>
        <w:t xml:space="preserve">Para prevención de infección por </w:t>
      </w:r>
      <w:r>
        <w:rPr>
          <w:b/>
          <w:bCs/>
          <w:i/>
          <w:iCs/>
          <w:sz w:val="17"/>
          <w:szCs w:val="17"/>
        </w:rPr>
        <w:t>Chlamydia trachomatis</w:t>
      </w:r>
    </w:p>
    <w:tbl>
      <w:tblPr>
        <w:tblOverlap w:val="never"/>
        <w:tblW w:w="0" w:type="auto"/>
        <w:jc w:val="center"/>
        <w:tblLayout w:type="fixed"/>
        <w:tblCellMar>
          <w:left w:w="10" w:type="dxa"/>
          <w:right w:w="10" w:type="dxa"/>
        </w:tblCellMar>
        <w:tblLook w:val="04A0" w:firstRow="1" w:lastRow="0" w:firstColumn="1" w:lastColumn="0" w:noHBand="0" w:noVBand="1"/>
      </w:tblPr>
      <w:tblGrid>
        <w:gridCol w:w="3245"/>
        <w:gridCol w:w="4061"/>
      </w:tblGrid>
      <w:tr w:rsidR="0072615D" w14:paraId="7A63A276" w14:textId="77777777">
        <w:tblPrEx>
          <w:tblCellMar>
            <w:top w:w="0" w:type="dxa"/>
            <w:bottom w:w="0" w:type="dxa"/>
          </w:tblCellMar>
        </w:tblPrEx>
        <w:trPr>
          <w:trHeight w:hRule="exact" w:val="1483"/>
          <w:jc w:val="center"/>
        </w:trPr>
        <w:tc>
          <w:tcPr>
            <w:tcW w:w="3245" w:type="dxa"/>
            <w:shd w:val="clear" w:color="auto" w:fill="FFFFFF"/>
          </w:tcPr>
          <w:p w14:paraId="416DC2D0" w14:textId="77777777" w:rsidR="0072615D" w:rsidRDefault="0072615D">
            <w:pPr>
              <w:pStyle w:val="Other0"/>
              <w:spacing w:line="283" w:lineRule="auto"/>
              <w:ind w:left="260" w:hanging="260"/>
              <w:rPr>
                <w:sz w:val="16"/>
                <w:szCs w:val="16"/>
              </w:rPr>
            </w:pPr>
            <w:r>
              <w:rPr>
                <w:rFonts w:ascii="Times New Roman" w:eastAsia="Times New Roman" w:hAnsi="Times New Roman" w:cs="Times New Roman"/>
                <w:sz w:val="16"/>
                <w:szCs w:val="16"/>
              </w:rPr>
              <w:t xml:space="preserve">2A. Azitromicina, 20 mg/kg de peso (máximo 1 g) ingeridos en una sola dosis </w:t>
            </w:r>
            <w:r>
              <w:rPr>
                <w:rFonts w:ascii="Times New Roman" w:eastAsia="Times New Roman" w:hAnsi="Times New Roman" w:cs="Times New Roman"/>
                <w:b/>
                <w:bCs/>
                <w:sz w:val="16"/>
                <w:szCs w:val="16"/>
              </w:rPr>
              <w:t>O</w:t>
            </w:r>
          </w:p>
          <w:p w14:paraId="2AD7731D" w14:textId="77777777" w:rsidR="0072615D" w:rsidRDefault="0072615D">
            <w:pPr>
              <w:pStyle w:val="Other0"/>
              <w:spacing w:line="283" w:lineRule="auto"/>
              <w:ind w:firstLine="0"/>
              <w:rPr>
                <w:sz w:val="16"/>
                <w:szCs w:val="16"/>
              </w:rPr>
            </w:pPr>
            <w:r>
              <w:rPr>
                <w:rFonts w:ascii="Times New Roman" w:eastAsia="Times New Roman" w:hAnsi="Times New Roman" w:cs="Times New Roman"/>
                <w:sz w:val="16"/>
                <w:szCs w:val="16"/>
              </w:rPr>
              <w:t>2B. Eritromicina base o etilsuccinato,</w:t>
            </w:r>
          </w:p>
          <w:p w14:paraId="2667F94D" w14:textId="77777777" w:rsidR="0072615D" w:rsidRDefault="0072615D">
            <w:pPr>
              <w:pStyle w:val="Other0"/>
              <w:spacing w:line="283" w:lineRule="auto"/>
              <w:ind w:left="360" w:firstLine="0"/>
              <w:rPr>
                <w:sz w:val="16"/>
                <w:szCs w:val="16"/>
              </w:rPr>
            </w:pPr>
            <w:r>
              <w:rPr>
                <w:rFonts w:ascii="Times New Roman" w:eastAsia="Times New Roman" w:hAnsi="Times New Roman" w:cs="Times New Roman"/>
                <w:sz w:val="16"/>
                <w:szCs w:val="16"/>
              </w:rPr>
              <w:t>50 mg/kg de peso al día en 4 dosis durante 10 a 14 días</w:t>
            </w:r>
          </w:p>
          <w:p w14:paraId="7DD3C9AC" w14:textId="77777777" w:rsidR="0072615D" w:rsidRDefault="0072615D">
            <w:pPr>
              <w:pStyle w:val="Other0"/>
              <w:spacing w:line="283" w:lineRule="auto"/>
              <w:ind w:left="360" w:firstLine="0"/>
              <w:rPr>
                <w:sz w:val="16"/>
                <w:szCs w:val="16"/>
              </w:rPr>
            </w:pPr>
            <w:r>
              <w:rPr>
                <w:rFonts w:ascii="Times New Roman" w:eastAsia="Times New Roman" w:hAnsi="Times New Roman" w:cs="Times New Roman"/>
                <w:b/>
                <w:bCs/>
                <w:sz w:val="16"/>
                <w:szCs w:val="16"/>
              </w:rPr>
              <w:t>Y ADEMÁS</w:t>
            </w:r>
          </w:p>
        </w:tc>
        <w:tc>
          <w:tcPr>
            <w:tcW w:w="4061" w:type="dxa"/>
            <w:tcBorders>
              <w:right w:val="single" w:sz="4" w:space="0" w:color="auto"/>
            </w:tcBorders>
            <w:shd w:val="clear" w:color="auto" w:fill="FFFFFF"/>
          </w:tcPr>
          <w:p w14:paraId="40ECCF5C" w14:textId="77777777" w:rsidR="0072615D" w:rsidRDefault="0072615D">
            <w:pPr>
              <w:pStyle w:val="Other0"/>
              <w:spacing w:line="283" w:lineRule="auto"/>
              <w:ind w:left="400" w:hanging="400"/>
              <w:rPr>
                <w:sz w:val="16"/>
                <w:szCs w:val="16"/>
              </w:rPr>
            </w:pPr>
            <w:r>
              <w:rPr>
                <w:rFonts w:ascii="Times New Roman" w:eastAsia="Times New Roman" w:hAnsi="Times New Roman" w:cs="Times New Roman"/>
                <w:sz w:val="16"/>
                <w:szCs w:val="16"/>
              </w:rPr>
              <w:t>2A. Azitromicina, 1 g ingerido en una sola dosis</w:t>
            </w:r>
          </w:p>
          <w:p w14:paraId="57DBCA45" w14:textId="77777777" w:rsidR="0072615D" w:rsidRDefault="0072615D">
            <w:pPr>
              <w:pStyle w:val="Other0"/>
              <w:spacing w:line="283" w:lineRule="auto"/>
              <w:ind w:firstLine="400"/>
              <w:rPr>
                <w:sz w:val="16"/>
                <w:szCs w:val="16"/>
              </w:rPr>
            </w:pPr>
            <w:r>
              <w:rPr>
                <w:rFonts w:ascii="Times New Roman" w:eastAsia="Times New Roman" w:hAnsi="Times New Roman" w:cs="Times New Roman"/>
                <w:b/>
                <w:bCs/>
                <w:sz w:val="16"/>
                <w:szCs w:val="16"/>
              </w:rPr>
              <w:t>O</w:t>
            </w:r>
          </w:p>
          <w:p w14:paraId="25EBAEB5" w14:textId="77777777" w:rsidR="0072615D" w:rsidRDefault="0072615D">
            <w:pPr>
              <w:pStyle w:val="Other0"/>
              <w:spacing w:after="200" w:line="283" w:lineRule="auto"/>
              <w:ind w:left="400" w:hanging="400"/>
              <w:rPr>
                <w:sz w:val="16"/>
                <w:szCs w:val="16"/>
              </w:rPr>
            </w:pPr>
            <w:r>
              <w:rPr>
                <w:rFonts w:ascii="Times New Roman" w:eastAsia="Times New Roman" w:hAnsi="Times New Roman" w:cs="Times New Roman"/>
                <w:sz w:val="16"/>
                <w:szCs w:val="16"/>
              </w:rPr>
              <w:t>2B. Doxiciclina, 100 mg dos veces al día durante 7 días</w:t>
            </w:r>
          </w:p>
          <w:p w14:paraId="5D9A0FF9" w14:textId="77777777" w:rsidR="0072615D" w:rsidRDefault="0072615D">
            <w:pPr>
              <w:pStyle w:val="Other0"/>
              <w:spacing w:line="283" w:lineRule="auto"/>
              <w:ind w:firstLine="400"/>
              <w:rPr>
                <w:sz w:val="16"/>
                <w:szCs w:val="16"/>
              </w:rPr>
            </w:pPr>
            <w:r>
              <w:rPr>
                <w:rFonts w:ascii="Times New Roman" w:eastAsia="Times New Roman" w:hAnsi="Times New Roman" w:cs="Times New Roman"/>
                <w:b/>
                <w:bCs/>
                <w:sz w:val="16"/>
                <w:szCs w:val="16"/>
              </w:rPr>
              <w:t>Y ADEMÁS</w:t>
            </w:r>
          </w:p>
        </w:tc>
      </w:tr>
    </w:tbl>
    <w:p w14:paraId="5B5C955B" w14:textId="77777777" w:rsidR="0072615D" w:rsidRDefault="0072615D">
      <w:pPr>
        <w:spacing w:after="239" w:line="1" w:lineRule="exact"/>
      </w:pPr>
    </w:p>
    <w:p w14:paraId="09DAB414" w14:textId="77777777" w:rsidR="0072615D" w:rsidRDefault="0072615D">
      <w:pPr>
        <w:pStyle w:val="Bodytext20"/>
        <w:jc w:val="center"/>
      </w:pPr>
      <w:r>
        <w:rPr>
          <w:b/>
          <w:bCs/>
        </w:rPr>
        <w:t>Para evitar infección de hepatitis B</w:t>
      </w:r>
    </w:p>
    <w:p w14:paraId="263B2BF3" w14:textId="77777777" w:rsidR="0072615D" w:rsidRDefault="0072615D">
      <w:pPr>
        <w:pStyle w:val="Bodytext20"/>
        <w:numPr>
          <w:ilvl w:val="0"/>
          <w:numId w:val="49"/>
        </w:numPr>
        <w:tabs>
          <w:tab w:val="left" w:pos="315"/>
          <w:tab w:val="left" w:pos="3519"/>
        </w:tabs>
        <w:ind w:left="260" w:hanging="260"/>
      </w:pPr>
      <w:bookmarkStart w:id="540" w:name="bookmark540"/>
      <w:bookmarkEnd w:id="540"/>
      <w:r>
        <w:t>Comenzar o completar la vacunación 3. Comenzar o completar la vacunación contra contra el virus de hepatitis B si el pequeño</w:t>
      </w:r>
      <w:r>
        <w:tab/>
        <w:t>el virus de hepatitis B si el pequeño no</w:t>
      </w:r>
    </w:p>
    <w:p w14:paraId="4711C419" w14:textId="77777777" w:rsidR="0072615D" w:rsidRDefault="0072615D">
      <w:pPr>
        <w:pStyle w:val="Bodytext20"/>
        <w:tabs>
          <w:tab w:val="left" w:pos="3519"/>
        </w:tabs>
        <w:ind w:firstLine="260"/>
      </w:pPr>
      <w:r>
        <w:t>no recibió la inmunización completa</w:t>
      </w:r>
      <w:r>
        <w:tab/>
        <w:t>recibió la inmunización completa</w:t>
      </w:r>
    </w:p>
    <w:p w14:paraId="0F9CBD1D" w14:textId="77777777" w:rsidR="0072615D" w:rsidRDefault="0072615D">
      <w:pPr>
        <w:pStyle w:val="Bodytext20"/>
        <w:tabs>
          <w:tab w:val="left" w:pos="3519"/>
        </w:tabs>
        <w:spacing w:after="420"/>
        <w:ind w:firstLine="260"/>
      </w:pPr>
      <w:r>
        <w:rPr>
          <w:b/>
          <w:bCs/>
        </w:rPr>
        <w:t>Y ADEMÁS</w:t>
      </w:r>
      <w:r>
        <w:rPr>
          <w:b/>
          <w:bCs/>
        </w:rPr>
        <w:tab/>
        <w:t>Y ADEMÁS</w:t>
      </w:r>
    </w:p>
    <w:p w14:paraId="0B0FC6B3" w14:textId="77777777" w:rsidR="0072615D" w:rsidRDefault="0072615D">
      <w:pPr>
        <w:pStyle w:val="Bodytext20"/>
        <w:ind w:left="1360"/>
      </w:pPr>
      <w:r>
        <w:rPr>
          <w:b/>
          <w:bCs/>
        </w:rPr>
        <w:t>Para prevención de tricomoniasis y vaginosis bacteriana</w:t>
      </w:r>
    </w:p>
    <w:p w14:paraId="7746673D" w14:textId="77777777" w:rsidR="0072615D" w:rsidRDefault="0072615D">
      <w:pPr>
        <w:pStyle w:val="Bodytext20"/>
        <w:numPr>
          <w:ilvl w:val="0"/>
          <w:numId w:val="49"/>
        </w:numPr>
        <w:tabs>
          <w:tab w:val="left" w:pos="320"/>
          <w:tab w:val="left" w:pos="3519"/>
        </w:tabs>
        <w:ind w:left="260" w:hanging="260"/>
      </w:pPr>
      <w:bookmarkStart w:id="541" w:name="bookmark541"/>
      <w:bookmarkEnd w:id="541"/>
      <w:r>
        <w:t>Hay que pensar en la adición de medidas 4. Hay que pensar en la adición de un agente profilácticas contra tricomoniasis y vaginosis profiláctico contra tricomoniasis y vaginosis bacteriana (metronidazol, 15 mg/kg de peso al bacteriana (metronidazol, 2 g ingeridos en una día ingeridas en tres fracciones durante</w:t>
      </w:r>
      <w:r>
        <w:tab/>
        <w:t>sola dosis)</w:t>
      </w:r>
    </w:p>
    <w:p w14:paraId="62F3816D" w14:textId="77777777" w:rsidR="0072615D" w:rsidRDefault="0072615D">
      <w:pPr>
        <w:pStyle w:val="Bodytext20"/>
        <w:pBdr>
          <w:bottom w:val="single" w:sz="4" w:space="0" w:color="auto"/>
        </w:pBdr>
        <w:spacing w:after="200"/>
        <w:ind w:firstLine="260"/>
      </w:pPr>
      <w:r>
        <w:t>7 días)</w:t>
      </w:r>
      <w:r>
        <w:br w:type="page"/>
      </w:r>
    </w:p>
    <w:p w14:paraId="32B90C96" w14:textId="77777777" w:rsidR="0072615D" w:rsidRDefault="0072615D">
      <w:pPr>
        <w:pStyle w:val="Heading31"/>
        <w:keepNext/>
        <w:keepLines/>
        <w:pBdr>
          <w:bottom w:val="single" w:sz="4" w:space="0" w:color="auto"/>
        </w:pBdr>
        <w:spacing w:after="400"/>
        <w:ind w:firstLine="940"/>
      </w:pPr>
      <w:bookmarkStart w:id="542" w:name="bookmark542"/>
      <w:bookmarkStart w:id="543" w:name="bookmark543"/>
      <w:bookmarkStart w:id="544" w:name="bookmark544"/>
      <w:r>
        <w:rPr>
          <w:b w:val="0"/>
          <w:bCs w:val="0"/>
        </w:rPr>
        <w:t xml:space="preserve">Cuadro 2-16. </w:t>
      </w:r>
      <w:r>
        <w:t>Profilaxia después de abuso sexual de adolescentes</w:t>
      </w:r>
      <w:r>
        <w:rPr>
          <w:vertAlign w:val="superscript"/>
        </w:rPr>
        <w:t>1</w:t>
      </w:r>
      <w:bookmarkEnd w:id="542"/>
      <w:bookmarkEnd w:id="543"/>
      <w:bookmarkEnd w:id="544"/>
    </w:p>
    <w:p w14:paraId="0024B61B" w14:textId="77777777" w:rsidR="0072615D" w:rsidRDefault="0072615D">
      <w:pPr>
        <w:pStyle w:val="Tablecaption0"/>
        <w:spacing w:line="283" w:lineRule="auto"/>
        <w:ind w:left="0"/>
        <w:jc w:val="center"/>
        <w:rPr>
          <w:sz w:val="16"/>
          <w:szCs w:val="16"/>
        </w:rPr>
      </w:pPr>
      <w:r>
        <w:rPr>
          <w:b/>
          <w:bCs/>
          <w:sz w:val="16"/>
          <w:szCs w:val="16"/>
        </w:rPr>
        <w:t>Se recomienda que la profilaxia antimicrobiana</w:t>
      </w:r>
      <w:r>
        <w:rPr>
          <w:b/>
          <w:bCs/>
          <w:sz w:val="16"/>
          <w:szCs w:val="16"/>
          <w:vertAlign w:val="superscript"/>
        </w:rPr>
        <w:t>2</w:t>
      </w:r>
      <w:r>
        <w:rPr>
          <w:b/>
          <w:bCs/>
          <w:sz w:val="16"/>
          <w:szCs w:val="16"/>
        </w:rPr>
        <w:t xml:space="preserve"> incluya un régimen empírico para impedir la infección por </w:t>
      </w:r>
      <w:r>
        <w:rPr>
          <w:b/>
          <w:bCs/>
          <w:i/>
          <w:iCs/>
          <w:sz w:val="17"/>
          <w:szCs w:val="17"/>
        </w:rPr>
        <w:t>Chlamydia trachomatis</w:t>
      </w:r>
      <w:r>
        <w:rPr>
          <w:b/>
          <w:bCs/>
          <w:i/>
          <w:iCs/>
          <w:sz w:val="16"/>
          <w:szCs w:val="16"/>
        </w:rPr>
        <w:t>,</w:t>
      </w:r>
      <w:r>
        <w:rPr>
          <w:b/>
          <w:bCs/>
          <w:sz w:val="16"/>
          <w:szCs w:val="16"/>
        </w:rPr>
        <w:t xml:space="preserve"> gonorrea, tricomoniasis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611"/>
        <w:gridCol w:w="4656"/>
      </w:tblGrid>
      <w:tr w:rsidR="0072615D" w14:paraId="50AA4342" w14:textId="77777777">
        <w:tblPrEx>
          <w:tblCellMar>
            <w:top w:w="0" w:type="dxa"/>
            <w:bottom w:w="0" w:type="dxa"/>
          </w:tblCellMar>
        </w:tblPrEx>
        <w:trPr>
          <w:trHeight w:hRule="exact" w:val="226"/>
          <w:jc w:val="center"/>
        </w:trPr>
        <w:tc>
          <w:tcPr>
            <w:tcW w:w="2611" w:type="dxa"/>
            <w:shd w:val="clear" w:color="auto" w:fill="FFFFFF"/>
          </w:tcPr>
          <w:p w14:paraId="1B6AD498" w14:textId="77777777" w:rsidR="0072615D" w:rsidRDefault="0072615D">
            <w:pPr>
              <w:rPr>
                <w:sz w:val="10"/>
                <w:szCs w:val="10"/>
              </w:rPr>
            </w:pPr>
          </w:p>
        </w:tc>
        <w:tc>
          <w:tcPr>
            <w:tcW w:w="4656" w:type="dxa"/>
            <w:shd w:val="clear" w:color="auto" w:fill="FFFFFF"/>
            <w:vAlign w:val="bottom"/>
          </w:tcPr>
          <w:p w14:paraId="6C6A9A31" w14:textId="77777777" w:rsidR="0072615D" w:rsidRDefault="0072615D">
            <w:pPr>
              <w:pStyle w:val="Other0"/>
              <w:spacing w:line="240" w:lineRule="auto"/>
              <w:ind w:firstLine="500"/>
              <w:rPr>
                <w:sz w:val="16"/>
                <w:szCs w:val="16"/>
              </w:rPr>
            </w:pPr>
            <w:r>
              <w:rPr>
                <w:rFonts w:ascii="Times New Roman" w:eastAsia="Times New Roman" w:hAnsi="Times New Roman" w:cs="Times New Roman"/>
                <w:b/>
                <w:bCs/>
                <w:sz w:val="16"/>
                <w:szCs w:val="16"/>
              </w:rPr>
              <w:t>y vaginosis bacteriana</w:t>
            </w:r>
          </w:p>
        </w:tc>
      </w:tr>
      <w:tr w:rsidR="0072615D" w14:paraId="6B540A2B" w14:textId="77777777">
        <w:tblPrEx>
          <w:tblCellMar>
            <w:top w:w="0" w:type="dxa"/>
            <w:bottom w:w="0" w:type="dxa"/>
          </w:tblCellMar>
        </w:tblPrEx>
        <w:trPr>
          <w:trHeight w:hRule="exact" w:val="1714"/>
          <w:jc w:val="center"/>
        </w:trPr>
        <w:tc>
          <w:tcPr>
            <w:tcW w:w="2611" w:type="dxa"/>
            <w:tcBorders>
              <w:left w:val="single" w:sz="4" w:space="0" w:color="auto"/>
            </w:tcBorders>
            <w:shd w:val="clear" w:color="auto" w:fill="FFFFFF"/>
          </w:tcPr>
          <w:p w14:paraId="2EE325C0" w14:textId="77777777" w:rsidR="0072615D" w:rsidRDefault="0072615D">
            <w:pPr>
              <w:pStyle w:val="Other0"/>
              <w:spacing w:line="240" w:lineRule="auto"/>
              <w:ind w:firstLine="580"/>
              <w:rPr>
                <w:sz w:val="16"/>
                <w:szCs w:val="16"/>
              </w:rPr>
            </w:pPr>
            <w:r>
              <w:rPr>
                <w:rFonts w:ascii="Times New Roman" w:eastAsia="Times New Roman" w:hAnsi="Times New Roman" w:cs="Times New Roman"/>
                <w:sz w:val="16"/>
                <w:szCs w:val="16"/>
              </w:rPr>
              <w:t>Contra gonorrea</w:t>
            </w:r>
            <w:r>
              <w:rPr>
                <w:rFonts w:ascii="Times New Roman" w:eastAsia="Times New Roman" w:hAnsi="Times New Roman" w:cs="Times New Roman"/>
                <w:sz w:val="16"/>
                <w:szCs w:val="16"/>
                <w:vertAlign w:val="superscript"/>
              </w:rPr>
              <w:footnoteReference w:id="72"/>
            </w:r>
            <w:r>
              <w:rPr>
                <w:rFonts w:ascii="Times New Roman" w:eastAsia="Times New Roman" w:hAnsi="Times New Roman" w:cs="Times New Roman"/>
                <w:sz w:val="16"/>
                <w:szCs w:val="16"/>
                <w:vertAlign w:val="superscript"/>
              </w:rPr>
              <w:t xml:space="preserve"> </w:t>
            </w:r>
            <w:r>
              <w:rPr>
                <w:rFonts w:ascii="Times New Roman" w:eastAsia="Times New Roman" w:hAnsi="Times New Roman" w:cs="Times New Roman"/>
                <w:sz w:val="16"/>
                <w:szCs w:val="16"/>
                <w:vertAlign w:val="superscript"/>
              </w:rPr>
              <w:footnoteReference w:id="73"/>
            </w:r>
            <w:r>
              <w:rPr>
                <w:rFonts w:ascii="Times New Roman" w:eastAsia="Times New Roman" w:hAnsi="Times New Roman" w:cs="Times New Roman"/>
                <w:sz w:val="16"/>
                <w:szCs w:val="16"/>
                <w:vertAlign w:val="superscript"/>
              </w:rPr>
              <w:t xml:space="preserve"> </w:t>
            </w:r>
            <w:r>
              <w:rPr>
                <w:rFonts w:ascii="Times New Roman" w:eastAsia="Times New Roman" w:hAnsi="Times New Roman" w:cs="Times New Roman"/>
                <w:sz w:val="16"/>
                <w:szCs w:val="16"/>
                <w:vertAlign w:val="superscript"/>
              </w:rPr>
              <w:footnoteReference w:id="74"/>
            </w:r>
          </w:p>
        </w:tc>
        <w:tc>
          <w:tcPr>
            <w:tcW w:w="4656" w:type="dxa"/>
            <w:shd w:val="clear" w:color="auto" w:fill="FFFFFF"/>
          </w:tcPr>
          <w:p w14:paraId="5B2C0A5E" w14:textId="77777777" w:rsidR="0072615D" w:rsidRDefault="0072615D">
            <w:pPr>
              <w:pStyle w:val="Other0"/>
              <w:spacing w:line="283" w:lineRule="auto"/>
              <w:ind w:left="180" w:firstLine="0"/>
              <w:rPr>
                <w:sz w:val="16"/>
                <w:szCs w:val="16"/>
              </w:rPr>
            </w:pPr>
            <w:r>
              <w:rPr>
                <w:rFonts w:ascii="Times New Roman" w:eastAsia="Times New Roman" w:hAnsi="Times New Roman" w:cs="Times New Roman"/>
                <w:sz w:val="16"/>
                <w:szCs w:val="16"/>
              </w:rPr>
              <w:t xml:space="preserve">Ceftriaxona, 125 mg por vía intramuscular en una sola dosis </w:t>
            </w:r>
            <w:r>
              <w:rPr>
                <w:rFonts w:ascii="Times New Roman" w:eastAsia="Times New Roman" w:hAnsi="Times New Roman" w:cs="Times New Roman"/>
                <w:b/>
                <w:bCs/>
                <w:sz w:val="16"/>
                <w:szCs w:val="16"/>
              </w:rPr>
              <w:t>O</w:t>
            </w:r>
          </w:p>
          <w:p w14:paraId="4396AD43" w14:textId="77777777" w:rsidR="0072615D" w:rsidRDefault="0072615D">
            <w:pPr>
              <w:pStyle w:val="Other0"/>
              <w:spacing w:line="283" w:lineRule="auto"/>
              <w:ind w:left="180" w:firstLine="0"/>
              <w:rPr>
                <w:sz w:val="16"/>
                <w:szCs w:val="16"/>
              </w:rPr>
            </w:pPr>
            <w:r>
              <w:rPr>
                <w:rFonts w:ascii="Times New Roman" w:eastAsia="Times New Roman" w:hAnsi="Times New Roman" w:cs="Times New Roman"/>
                <w:sz w:val="16"/>
                <w:szCs w:val="16"/>
              </w:rPr>
              <w:t>Ciprofloxacina, 500 mg ingeridos en una sola dosis</w:t>
            </w:r>
          </w:p>
          <w:p w14:paraId="0681B983" w14:textId="77777777" w:rsidR="0072615D" w:rsidRDefault="0072615D">
            <w:pPr>
              <w:pStyle w:val="Other0"/>
              <w:spacing w:line="283" w:lineRule="auto"/>
              <w:ind w:left="180" w:firstLine="0"/>
              <w:rPr>
                <w:sz w:val="16"/>
                <w:szCs w:val="16"/>
              </w:rPr>
            </w:pPr>
            <w:r>
              <w:rPr>
                <w:rFonts w:ascii="Times New Roman" w:eastAsia="Times New Roman" w:hAnsi="Times New Roman" w:cs="Times New Roman"/>
                <w:b/>
                <w:bCs/>
                <w:sz w:val="16"/>
                <w:szCs w:val="16"/>
              </w:rPr>
              <w:t>U</w:t>
            </w:r>
          </w:p>
          <w:p w14:paraId="39B685B8" w14:textId="77777777" w:rsidR="0072615D" w:rsidRDefault="0072615D">
            <w:pPr>
              <w:pStyle w:val="Other0"/>
              <w:spacing w:line="283" w:lineRule="auto"/>
              <w:ind w:left="180" w:firstLine="0"/>
              <w:rPr>
                <w:sz w:val="16"/>
                <w:szCs w:val="16"/>
              </w:rPr>
            </w:pPr>
            <w:r>
              <w:rPr>
                <w:rFonts w:ascii="Times New Roman" w:eastAsia="Times New Roman" w:hAnsi="Times New Roman" w:cs="Times New Roman"/>
                <w:sz w:val="16"/>
                <w:szCs w:val="16"/>
              </w:rPr>
              <w:t xml:space="preserve">Ofloxacina, 400 mg ingeridos en una sola dosis </w:t>
            </w:r>
            <w:r>
              <w:rPr>
                <w:rFonts w:ascii="Times New Roman" w:eastAsia="Times New Roman" w:hAnsi="Times New Roman" w:cs="Times New Roman"/>
                <w:b/>
                <w:bCs/>
                <w:sz w:val="16"/>
                <w:szCs w:val="16"/>
              </w:rPr>
              <w:t>O</w:t>
            </w:r>
          </w:p>
          <w:p w14:paraId="2A34C75A" w14:textId="77777777" w:rsidR="0072615D" w:rsidRDefault="0072615D">
            <w:pPr>
              <w:pStyle w:val="Other0"/>
              <w:spacing w:line="283" w:lineRule="auto"/>
              <w:ind w:left="180" w:firstLine="0"/>
              <w:rPr>
                <w:sz w:val="16"/>
                <w:szCs w:val="16"/>
              </w:rPr>
            </w:pPr>
            <w:r>
              <w:rPr>
                <w:rFonts w:ascii="Times New Roman" w:eastAsia="Times New Roman" w:hAnsi="Times New Roman" w:cs="Times New Roman"/>
                <w:sz w:val="16"/>
                <w:szCs w:val="16"/>
              </w:rPr>
              <w:t>Levofloxacina, 250 mg ingeridos en una sola dosis</w:t>
            </w:r>
          </w:p>
          <w:p w14:paraId="45D08390" w14:textId="77777777" w:rsidR="0072615D" w:rsidRDefault="0072615D">
            <w:pPr>
              <w:pStyle w:val="Other0"/>
              <w:spacing w:line="283" w:lineRule="auto"/>
              <w:ind w:left="180" w:firstLine="0"/>
              <w:rPr>
                <w:sz w:val="16"/>
                <w:szCs w:val="16"/>
              </w:rPr>
            </w:pPr>
            <w:r>
              <w:rPr>
                <w:rFonts w:ascii="Times New Roman" w:eastAsia="Times New Roman" w:hAnsi="Times New Roman" w:cs="Times New Roman"/>
                <w:b/>
                <w:bCs/>
                <w:sz w:val="16"/>
                <w:szCs w:val="16"/>
              </w:rPr>
              <w:t>Y ADEMÁS</w:t>
            </w:r>
          </w:p>
        </w:tc>
      </w:tr>
      <w:tr w:rsidR="0072615D" w14:paraId="698971C6" w14:textId="77777777">
        <w:tblPrEx>
          <w:tblCellMar>
            <w:top w:w="0" w:type="dxa"/>
            <w:bottom w:w="0" w:type="dxa"/>
          </w:tblCellMar>
        </w:tblPrEx>
        <w:trPr>
          <w:trHeight w:hRule="exact" w:val="864"/>
          <w:jc w:val="center"/>
        </w:trPr>
        <w:tc>
          <w:tcPr>
            <w:tcW w:w="2611" w:type="dxa"/>
            <w:tcBorders>
              <w:left w:val="single" w:sz="4" w:space="0" w:color="auto"/>
            </w:tcBorders>
            <w:shd w:val="clear" w:color="auto" w:fill="FFFFFF"/>
          </w:tcPr>
          <w:p w14:paraId="1217122E" w14:textId="77777777" w:rsidR="0072615D" w:rsidRDefault="0072615D">
            <w:pPr>
              <w:pStyle w:val="Other0"/>
              <w:spacing w:line="240" w:lineRule="auto"/>
              <w:ind w:firstLine="580"/>
              <w:rPr>
                <w:sz w:val="16"/>
                <w:szCs w:val="16"/>
              </w:rPr>
            </w:pPr>
            <w:r>
              <w:rPr>
                <w:rFonts w:ascii="Times New Roman" w:eastAsia="Times New Roman" w:hAnsi="Times New Roman" w:cs="Times New Roman"/>
                <w:sz w:val="16"/>
                <w:szCs w:val="16"/>
              </w:rPr>
              <w:t>Contra infección por</w:t>
            </w:r>
          </w:p>
          <w:p w14:paraId="1A211A3F" w14:textId="77777777" w:rsidR="0072615D" w:rsidRDefault="0072615D">
            <w:pPr>
              <w:pStyle w:val="Other0"/>
              <w:spacing w:line="240" w:lineRule="auto"/>
              <w:ind w:firstLine="680"/>
              <w:rPr>
                <w:sz w:val="16"/>
                <w:szCs w:val="16"/>
              </w:rPr>
            </w:pPr>
            <w:r>
              <w:rPr>
                <w:rFonts w:ascii="Times New Roman" w:eastAsia="Times New Roman" w:hAnsi="Times New Roman" w:cs="Times New Roman"/>
                <w:i/>
                <w:iCs/>
                <w:sz w:val="16"/>
                <w:szCs w:val="16"/>
              </w:rPr>
              <w:t>C. trachomatis</w:t>
            </w:r>
          </w:p>
        </w:tc>
        <w:tc>
          <w:tcPr>
            <w:tcW w:w="4656" w:type="dxa"/>
            <w:shd w:val="clear" w:color="auto" w:fill="FFFFFF"/>
          </w:tcPr>
          <w:p w14:paraId="02F8AAD2" w14:textId="77777777" w:rsidR="0072615D" w:rsidRDefault="0072615D">
            <w:pPr>
              <w:pStyle w:val="Other0"/>
              <w:spacing w:line="283" w:lineRule="auto"/>
              <w:ind w:left="180" w:firstLine="0"/>
              <w:rPr>
                <w:sz w:val="16"/>
                <w:szCs w:val="16"/>
              </w:rPr>
            </w:pPr>
            <w:r>
              <w:rPr>
                <w:rFonts w:ascii="Times New Roman" w:eastAsia="Times New Roman" w:hAnsi="Times New Roman" w:cs="Times New Roman"/>
                <w:sz w:val="16"/>
                <w:szCs w:val="16"/>
              </w:rPr>
              <w:t>Azitromicina, 1 g ingerido en una sola dosis</w:t>
            </w:r>
          </w:p>
          <w:p w14:paraId="18BDFC27" w14:textId="77777777" w:rsidR="0072615D" w:rsidRDefault="0072615D">
            <w:pPr>
              <w:pStyle w:val="Other0"/>
              <w:spacing w:line="283" w:lineRule="auto"/>
              <w:ind w:left="180" w:firstLine="0"/>
              <w:rPr>
                <w:sz w:val="16"/>
                <w:szCs w:val="16"/>
              </w:rPr>
            </w:pPr>
            <w:r>
              <w:rPr>
                <w:rFonts w:ascii="Times New Roman" w:eastAsia="Times New Roman" w:hAnsi="Times New Roman" w:cs="Times New Roman"/>
                <w:b/>
                <w:bCs/>
                <w:sz w:val="16"/>
                <w:szCs w:val="16"/>
              </w:rPr>
              <w:t>O</w:t>
            </w:r>
          </w:p>
          <w:p w14:paraId="4B7F310C" w14:textId="77777777" w:rsidR="0072615D" w:rsidRDefault="0072615D">
            <w:pPr>
              <w:pStyle w:val="Other0"/>
              <w:spacing w:line="283" w:lineRule="auto"/>
              <w:ind w:left="180" w:firstLine="0"/>
              <w:rPr>
                <w:sz w:val="16"/>
                <w:szCs w:val="16"/>
              </w:rPr>
            </w:pPr>
            <w:r>
              <w:rPr>
                <w:rFonts w:ascii="Times New Roman" w:eastAsia="Times New Roman" w:hAnsi="Times New Roman" w:cs="Times New Roman"/>
                <w:sz w:val="16"/>
                <w:szCs w:val="16"/>
              </w:rPr>
              <w:t xml:space="preserve">Doxiciclina, 100 mg ingerido dos veces al día durante 7 días </w:t>
            </w:r>
            <w:r>
              <w:rPr>
                <w:rFonts w:ascii="Times New Roman" w:eastAsia="Times New Roman" w:hAnsi="Times New Roman" w:cs="Times New Roman"/>
                <w:b/>
                <w:bCs/>
                <w:sz w:val="16"/>
                <w:szCs w:val="16"/>
              </w:rPr>
              <w:t>Y ADEMÁS</w:t>
            </w:r>
          </w:p>
        </w:tc>
      </w:tr>
      <w:tr w:rsidR="0072615D" w14:paraId="60D4E466" w14:textId="77777777">
        <w:tblPrEx>
          <w:tblCellMar>
            <w:top w:w="0" w:type="dxa"/>
            <w:bottom w:w="0" w:type="dxa"/>
          </w:tblCellMar>
        </w:tblPrEx>
        <w:trPr>
          <w:trHeight w:hRule="exact" w:val="648"/>
          <w:jc w:val="center"/>
        </w:trPr>
        <w:tc>
          <w:tcPr>
            <w:tcW w:w="2611" w:type="dxa"/>
            <w:shd w:val="clear" w:color="auto" w:fill="FFFFFF"/>
          </w:tcPr>
          <w:p w14:paraId="58DE9FA8" w14:textId="77777777" w:rsidR="0072615D" w:rsidRDefault="0072615D">
            <w:pPr>
              <w:pStyle w:val="Other0"/>
              <w:spacing w:line="283" w:lineRule="auto"/>
              <w:ind w:left="680" w:hanging="100"/>
              <w:rPr>
                <w:sz w:val="16"/>
                <w:szCs w:val="16"/>
              </w:rPr>
            </w:pPr>
            <w:r>
              <w:rPr>
                <w:rFonts w:ascii="Times New Roman" w:eastAsia="Times New Roman" w:hAnsi="Times New Roman" w:cs="Times New Roman"/>
                <w:sz w:val="16"/>
                <w:szCs w:val="16"/>
              </w:rPr>
              <w:t>Contra tricomoniasis y vaginosis bacteriana</w:t>
            </w:r>
          </w:p>
        </w:tc>
        <w:tc>
          <w:tcPr>
            <w:tcW w:w="4656" w:type="dxa"/>
            <w:shd w:val="clear" w:color="auto" w:fill="FFFFFF"/>
            <w:vAlign w:val="bottom"/>
          </w:tcPr>
          <w:p w14:paraId="6F9FCAFE" w14:textId="77777777" w:rsidR="0072615D" w:rsidRDefault="0072615D">
            <w:pPr>
              <w:pStyle w:val="Other0"/>
              <w:spacing w:after="220" w:line="240" w:lineRule="auto"/>
              <w:ind w:left="180" w:firstLine="0"/>
              <w:rPr>
                <w:sz w:val="16"/>
                <w:szCs w:val="16"/>
              </w:rPr>
            </w:pPr>
            <w:r>
              <w:rPr>
                <w:rFonts w:ascii="Times New Roman" w:eastAsia="Times New Roman" w:hAnsi="Times New Roman" w:cs="Times New Roman"/>
                <w:sz w:val="16"/>
                <w:szCs w:val="16"/>
              </w:rPr>
              <w:t>Metronidazol, 2 g ingeridos en una sola dosis</w:t>
            </w:r>
          </w:p>
          <w:p w14:paraId="603B5FBE" w14:textId="77777777" w:rsidR="0072615D" w:rsidRDefault="0072615D">
            <w:pPr>
              <w:pStyle w:val="Other0"/>
              <w:spacing w:line="240" w:lineRule="auto"/>
              <w:ind w:left="180" w:firstLine="0"/>
              <w:rPr>
                <w:sz w:val="16"/>
                <w:szCs w:val="16"/>
              </w:rPr>
            </w:pPr>
            <w:r>
              <w:rPr>
                <w:rFonts w:ascii="Times New Roman" w:eastAsia="Times New Roman" w:hAnsi="Times New Roman" w:cs="Times New Roman"/>
                <w:b/>
                <w:bCs/>
                <w:sz w:val="16"/>
                <w:szCs w:val="16"/>
              </w:rPr>
              <w:t>Y ADEMÁS</w:t>
            </w:r>
          </w:p>
        </w:tc>
      </w:tr>
      <w:tr w:rsidR="0072615D" w14:paraId="382608DC" w14:textId="77777777">
        <w:tblPrEx>
          <w:tblCellMar>
            <w:top w:w="0" w:type="dxa"/>
            <w:bottom w:w="0" w:type="dxa"/>
          </w:tblCellMar>
        </w:tblPrEx>
        <w:trPr>
          <w:trHeight w:hRule="exact" w:val="1085"/>
          <w:jc w:val="center"/>
        </w:trPr>
        <w:tc>
          <w:tcPr>
            <w:tcW w:w="2611" w:type="dxa"/>
            <w:shd w:val="clear" w:color="auto" w:fill="FFFFFF"/>
          </w:tcPr>
          <w:p w14:paraId="624AF7DE" w14:textId="77777777" w:rsidR="0072615D" w:rsidRDefault="0072615D">
            <w:pPr>
              <w:pStyle w:val="Other0"/>
              <w:spacing w:line="283" w:lineRule="auto"/>
              <w:ind w:left="680" w:hanging="100"/>
              <w:rPr>
                <w:sz w:val="16"/>
                <w:szCs w:val="16"/>
              </w:rPr>
            </w:pPr>
            <w:r>
              <w:rPr>
                <w:rFonts w:ascii="Times New Roman" w:eastAsia="Times New Roman" w:hAnsi="Times New Roman" w:cs="Times New Roman"/>
                <w:sz w:val="16"/>
                <w:szCs w:val="16"/>
              </w:rPr>
              <w:t>Contra infección por virus de hepatitis B</w:t>
            </w:r>
          </w:p>
        </w:tc>
        <w:tc>
          <w:tcPr>
            <w:tcW w:w="4656" w:type="dxa"/>
            <w:shd w:val="clear" w:color="auto" w:fill="FFFFFF"/>
          </w:tcPr>
          <w:p w14:paraId="7113DF2E" w14:textId="77777777" w:rsidR="0072615D" w:rsidRDefault="0072615D">
            <w:pPr>
              <w:pStyle w:val="Other0"/>
              <w:spacing w:line="283" w:lineRule="auto"/>
              <w:ind w:left="280" w:hanging="100"/>
              <w:rPr>
                <w:sz w:val="16"/>
                <w:szCs w:val="16"/>
              </w:rPr>
            </w:pPr>
            <w:r>
              <w:rPr>
                <w:rFonts w:ascii="Times New Roman" w:eastAsia="Times New Roman" w:hAnsi="Times New Roman" w:cs="Times New Roman"/>
                <w:sz w:val="16"/>
                <w:szCs w:val="16"/>
              </w:rPr>
              <w:t>Aplicación de vacuna contra el virus de hepatitis B en el momento del examen inicial si el adolescente no está totalmente inmunizado. Hay que aplicar dosis de vigilancia 1 a 2 y 4 a 6 meses después de la primera dosis</w:t>
            </w:r>
          </w:p>
          <w:p w14:paraId="2265D841" w14:textId="77777777" w:rsidR="0072615D" w:rsidRDefault="0072615D">
            <w:pPr>
              <w:pStyle w:val="Other0"/>
              <w:spacing w:line="283" w:lineRule="auto"/>
              <w:ind w:firstLine="180"/>
              <w:rPr>
                <w:sz w:val="16"/>
                <w:szCs w:val="16"/>
              </w:rPr>
            </w:pPr>
            <w:r>
              <w:rPr>
                <w:rFonts w:ascii="Times New Roman" w:eastAsia="Times New Roman" w:hAnsi="Times New Roman" w:cs="Times New Roman"/>
                <w:b/>
                <w:bCs/>
                <w:sz w:val="16"/>
                <w:szCs w:val="16"/>
              </w:rPr>
              <w:t>Y ADEMÁS</w:t>
            </w:r>
          </w:p>
        </w:tc>
      </w:tr>
      <w:tr w:rsidR="0072615D" w14:paraId="355E9706" w14:textId="77777777">
        <w:tblPrEx>
          <w:tblCellMar>
            <w:top w:w="0" w:type="dxa"/>
            <w:bottom w:w="0" w:type="dxa"/>
          </w:tblCellMar>
        </w:tblPrEx>
        <w:trPr>
          <w:trHeight w:hRule="exact" w:val="461"/>
          <w:jc w:val="center"/>
        </w:trPr>
        <w:tc>
          <w:tcPr>
            <w:tcW w:w="2611" w:type="dxa"/>
            <w:shd w:val="clear" w:color="auto" w:fill="FFFFFF"/>
          </w:tcPr>
          <w:p w14:paraId="262EB232" w14:textId="77777777" w:rsidR="0072615D" w:rsidRDefault="0072615D">
            <w:pPr>
              <w:pStyle w:val="Other0"/>
              <w:spacing w:line="283" w:lineRule="auto"/>
              <w:ind w:left="680" w:hanging="100"/>
              <w:rPr>
                <w:sz w:val="16"/>
                <w:szCs w:val="16"/>
              </w:rPr>
            </w:pPr>
            <w:r>
              <w:rPr>
                <w:rFonts w:ascii="Times New Roman" w:eastAsia="Times New Roman" w:hAnsi="Times New Roman" w:cs="Times New Roman"/>
                <w:sz w:val="16"/>
                <w:szCs w:val="16"/>
              </w:rPr>
              <w:t>Contra infección por virus de inmunodeficiencia</w:t>
            </w:r>
          </w:p>
        </w:tc>
        <w:tc>
          <w:tcPr>
            <w:tcW w:w="4656" w:type="dxa"/>
            <w:shd w:val="clear" w:color="auto" w:fill="FFFFFF"/>
          </w:tcPr>
          <w:p w14:paraId="6876EC92" w14:textId="77777777" w:rsidR="0072615D" w:rsidRDefault="0072615D">
            <w:pPr>
              <w:pStyle w:val="Other0"/>
              <w:spacing w:line="283" w:lineRule="auto"/>
              <w:ind w:left="280" w:hanging="100"/>
              <w:rPr>
                <w:sz w:val="16"/>
                <w:szCs w:val="16"/>
              </w:rPr>
            </w:pPr>
            <w:r>
              <w:rPr>
                <w:rFonts w:ascii="Times New Roman" w:eastAsia="Times New Roman" w:hAnsi="Times New Roman" w:cs="Times New Roman"/>
                <w:sz w:val="16"/>
                <w:szCs w:val="16"/>
              </w:rPr>
              <w:t>Pensar en iniciar profilaxia contra VIH, según las circunstancias (véase el cuadro 3-36)</w:t>
            </w:r>
          </w:p>
        </w:tc>
      </w:tr>
    </w:tbl>
    <w:p w14:paraId="08D48FEF" w14:textId="77777777" w:rsidR="0072615D" w:rsidRDefault="0072615D">
      <w:pPr>
        <w:pStyle w:val="Tablecaption0"/>
        <w:spacing w:line="240" w:lineRule="auto"/>
        <w:ind w:left="662"/>
        <w:rPr>
          <w:sz w:val="16"/>
          <w:szCs w:val="16"/>
        </w:rPr>
      </w:pPr>
      <w:r>
        <w:rPr>
          <w:sz w:val="16"/>
          <w:szCs w:val="16"/>
        </w:rPr>
        <w:t>humana</w:t>
      </w:r>
      <w:r>
        <w:rPr>
          <w:sz w:val="16"/>
          <w:szCs w:val="16"/>
          <w:vertAlign w:val="superscript"/>
        </w:rPr>
        <w:t>2</w:t>
      </w:r>
    </w:p>
    <w:p w14:paraId="5DA273A1" w14:textId="77777777" w:rsidR="0072615D" w:rsidRDefault="0072615D">
      <w:pPr>
        <w:spacing w:after="199" w:line="1" w:lineRule="exact"/>
      </w:pPr>
    </w:p>
    <w:p w14:paraId="3C3ABCFB" w14:textId="77777777" w:rsidR="0072615D" w:rsidRDefault="0072615D">
      <w:pPr>
        <w:pStyle w:val="Bodytext20"/>
        <w:ind w:firstLine="580"/>
      </w:pPr>
      <w:r>
        <w:rPr>
          <w:b/>
          <w:bCs/>
        </w:rPr>
        <w:t>Medidas anticonceptivas de emergencia</w:t>
      </w:r>
      <w:r>
        <w:rPr>
          <w:b/>
          <w:bCs/>
          <w:vertAlign w:val="superscript"/>
        </w:rPr>
        <w:footnoteReference w:id="75"/>
      </w:r>
    </w:p>
    <w:p w14:paraId="3470CCB0" w14:textId="77777777" w:rsidR="0072615D" w:rsidRDefault="0072615D">
      <w:pPr>
        <w:pStyle w:val="Bodytext20"/>
        <w:ind w:left="680" w:hanging="100"/>
      </w:pPr>
      <w:r>
        <w:t>Píldora anticonceptiva ingerible que contiene 50 pg de etinilestradiol: ingerir inicialmente dos píldoras y seguir con otras dos 12 h después.</w:t>
      </w:r>
    </w:p>
    <w:p w14:paraId="66695E2B" w14:textId="77777777" w:rsidR="0072615D" w:rsidRDefault="0072615D">
      <w:pPr>
        <w:pStyle w:val="Bodytext20"/>
        <w:jc w:val="center"/>
      </w:pPr>
      <w:r>
        <w:rPr>
          <w:b/>
          <w:bCs/>
        </w:rPr>
        <w:t>O</w:t>
      </w:r>
    </w:p>
    <w:p w14:paraId="734E767A" w14:textId="77777777" w:rsidR="0072615D" w:rsidRDefault="0072615D">
      <w:pPr>
        <w:pStyle w:val="Bodytext20"/>
        <w:ind w:left="680" w:hanging="100"/>
        <w:jc w:val="both"/>
      </w:pPr>
      <w:r>
        <w:t>Píldoras anticonceptivas ingeribles que contienen 30 pg de etinilestradiol: ingerir cuatro píldoras inicialmente y otras cuatro 12 h después</w:t>
      </w:r>
    </w:p>
    <w:p w14:paraId="242424E0" w14:textId="77777777" w:rsidR="0072615D" w:rsidRDefault="0072615D">
      <w:pPr>
        <w:pStyle w:val="Bodytext20"/>
        <w:jc w:val="center"/>
      </w:pPr>
      <w:r>
        <w:rPr>
          <w:b/>
          <w:bCs/>
        </w:rPr>
        <w:t>Y ADEMÁS</w:t>
      </w:r>
    </w:p>
    <w:p w14:paraId="19A77746" w14:textId="77777777" w:rsidR="0072615D" w:rsidRDefault="0072615D">
      <w:pPr>
        <w:pStyle w:val="Bodytext20"/>
        <w:pBdr>
          <w:bottom w:val="single" w:sz="4" w:space="0" w:color="auto"/>
        </w:pBdr>
        <w:spacing w:after="300"/>
        <w:ind w:firstLine="580"/>
        <w:sectPr w:rsidR="0072615D" w:rsidSect="0072615D">
          <w:headerReference w:type="even" r:id="rId355"/>
          <w:headerReference w:type="default" r:id="rId356"/>
          <w:footerReference w:type="even" r:id="rId357"/>
          <w:footerReference w:type="default" r:id="rId358"/>
          <w:footnotePr>
            <w:numFmt w:val="chicago"/>
          </w:footnotePr>
          <w:type w:val="continuous"/>
          <w:pgSz w:w="8501" w:h="13022"/>
          <w:pgMar w:top="699" w:right="614" w:bottom="429" w:left="518" w:header="0" w:footer="3" w:gutter="0"/>
          <w:cols w:space="720"/>
          <w:noEndnote/>
          <w:docGrid w:linePitch="360"/>
          <w15:footnoteColumns w:val="1"/>
        </w:sectPr>
      </w:pPr>
      <w:r>
        <w:t>Un antiemético</w:t>
      </w:r>
    </w:p>
    <w:p w14:paraId="4897805C" w14:textId="77777777" w:rsidR="0072615D" w:rsidRDefault="0072615D">
      <w:pPr>
        <w:pStyle w:val="BodyText"/>
        <w:ind w:left="760" w:firstLine="60"/>
      </w:pPr>
      <w:r>
        <w:t>Revisar los datos epidemiológicos locales en cuanto a la incidencia de VIH/SIDA y valorar el riesgo de infección por el virus en el asaltante.</w:t>
      </w:r>
    </w:p>
    <w:p w14:paraId="772431A5" w14:textId="77777777" w:rsidR="0072615D" w:rsidRDefault="0072615D">
      <w:pPr>
        <w:pStyle w:val="BodyText"/>
        <w:ind w:left="760" w:firstLine="60"/>
      </w:pPr>
      <w:r>
        <w:t>Evaluar las circunstancias del asalto que pudiera modificar el riesgo de transmisión del virus de inmunodeficiencia humana.</w:t>
      </w:r>
    </w:p>
    <w:p w14:paraId="42917A2E" w14:textId="77777777" w:rsidR="0072615D" w:rsidRDefault="0072615D">
      <w:pPr>
        <w:pStyle w:val="BodyText"/>
        <w:ind w:left="760" w:firstLine="60"/>
      </w:pPr>
      <w:r>
        <w:t>Consultar con un pediatra especializado en el tratamiento de niños con VIH si se considera la profilaxia después del hecho delictivo.</w:t>
      </w:r>
    </w:p>
    <w:p w14:paraId="62091EA2" w14:textId="77777777" w:rsidR="0072615D" w:rsidRDefault="0072615D">
      <w:pPr>
        <w:pStyle w:val="BodyText"/>
        <w:ind w:left="760" w:firstLine="60"/>
      </w:pPr>
      <w:r>
        <w:t>Si al parecer el niño está expuesto al peligro y al contagio por VIH en la agresión, se comentarán las medidas de profilaxia después de la exposición, con los cuidadores y prestadores de servicios, incluso sus reacciones tóxicas y su eficacia desconocida.</w:t>
      </w:r>
    </w:p>
    <w:p w14:paraId="12E92A96" w14:textId="77777777" w:rsidR="0072615D" w:rsidRDefault="0072615D">
      <w:pPr>
        <w:pStyle w:val="BodyText"/>
        <w:ind w:left="760" w:firstLine="60"/>
      </w:pPr>
      <w:r>
        <w:t>Si el personal que cuida al menor decide emprender profilaxia con antirretrovíricos habrá que suministrar fármacos suficientes hasta que retorne la víctima tres a siete días después de la valoración inicial y así se la revalorará y se conocerá su tolerancia a los medicamentos; las dosis no deben exceder de las usadas en adultos.</w:t>
      </w:r>
    </w:p>
    <w:p w14:paraId="16136807" w14:textId="77777777" w:rsidR="0072615D" w:rsidRDefault="0072615D">
      <w:pPr>
        <w:pStyle w:val="BodyText"/>
        <w:spacing w:after="560"/>
        <w:ind w:left="760" w:firstLine="60"/>
      </w:pPr>
      <w:r>
        <w:t>Habrá que medir los anticuerpos contra VIH en la primera valoración y seis, 12 y 24 semanas más tarde.</w:t>
      </w:r>
    </w:p>
    <w:p w14:paraId="018A9C7A" w14:textId="77777777" w:rsidR="0072615D" w:rsidRDefault="0072615D">
      <w:pPr>
        <w:pStyle w:val="Bodytext100"/>
        <w:spacing w:after="220"/>
        <w:ind w:firstLine="760"/>
        <w:jc w:val="left"/>
        <w:rPr>
          <w:sz w:val="34"/>
          <w:szCs w:val="34"/>
        </w:rPr>
      </w:pPr>
      <w:r>
        <w:rPr>
          <w:sz w:val="34"/>
          <w:szCs w:val="34"/>
        </w:rPr>
        <w:t>H</w:t>
      </w:r>
      <w:r>
        <w:t>epatitis en jóvenes en correccionales</w:t>
      </w:r>
      <w:r>
        <w:rPr>
          <w:sz w:val="34"/>
          <w:szCs w:val="34"/>
        </w:rPr>
        <w:footnoteReference w:id="76"/>
      </w:r>
    </w:p>
    <w:p w14:paraId="3DA1B62F" w14:textId="77777777" w:rsidR="0072615D" w:rsidRDefault="0072615D">
      <w:pPr>
        <w:pStyle w:val="BodyText"/>
        <w:ind w:left="480" w:firstLine="0"/>
      </w:pPr>
      <w:r>
        <w:t>En Estados Unidos el número de arrestos de jóvenes menores de 18 años se ha estabilizado en un nivel de 2.5 millones por año, pero aún así representa casi 5% de la población pediátrica. Más de 300 000 jóvenes permanecen cada año en instalaciones de detención mientras se ventilan sus audiencias legales, y en un día particular, son encarcelados 126 000 adolescentes en instalaciones de correccionales juveniles o cárceles para adultos. Los periodos de encarcelamiento de 90 días como mínimo, son comunes en 60% de los internos juveniles y cabe esperar que 15% pasen un año o más en prisión. Una proporción excesiva de los jóvenes encarcelados son varones y muy a menudo miembros de minorías étnicas o raciales. Las jóvenes constituyen el 15% de la población juvenil encarcelada y en ellas el embarazo suele agregar más problemas a la prestación de servicios médicos en correccionales.</w:t>
      </w:r>
    </w:p>
    <w:p w14:paraId="7FD6F5F3" w14:textId="77777777" w:rsidR="0072615D" w:rsidRDefault="0072615D">
      <w:pPr>
        <w:pStyle w:val="BodyText"/>
        <w:spacing w:after="400"/>
        <w:ind w:left="480" w:firstLine="340"/>
      </w:pPr>
      <w:r>
        <w:t xml:space="preserve">Los delincuentes juveniles por lo común no tienen acceso regular al sistema preventivo de salud en su comunidad y muestran enormes deficiencias en este renglón en aspectos como trastornos psicosociales, enfermedades crónicas, consumo de drogas ilícitas y traumatismo físico en comparación con los adolescentes que no llegan ante este sistema de justicia juvenil.* Existe mayor posibilidad de que un joven detenido haya contraído enfermedades de transmisión sexual </w:t>
      </w:r>
      <w:r>
        <w:rPr>
          <w:i/>
          <w:iCs/>
        </w:rPr>
        <w:t>(</w:t>
      </w:r>
      <w:r>
        <w:rPr>
          <w:rFonts w:ascii="Times New Roman" w:eastAsia="Times New Roman" w:hAnsi="Times New Roman" w:cs="Times New Roman"/>
          <w:i/>
          <w:iCs/>
          <w:sz w:val="16"/>
          <w:szCs w:val="16"/>
        </w:rPr>
        <w:t>sexually transmitted diseases</w:t>
      </w:r>
      <w:r>
        <w:rPr>
          <w:i/>
          <w:iCs/>
        </w:rPr>
        <w:t>,</w:t>
      </w:r>
      <w:r>
        <w:t xml:space="preserve"> STD) en los comienzos de su adolescencia, y el retraso o la parcialidad del tratamiento hace que estén expuestos a un mayor peligro de sufrir complicaciones crónicas de clamidiasis, gonorrea, sífilis e infecciones por virus de papiloma humano. La tuberculosis (TB) es más común en jóvenes en correccionales, y a pesar de que la población regular de los detenidos sigue mostrando una baja prevalencia de infección por el virus de inmunodeficiencia humana (VIH), su modo de vida les impone riesgos particulares? Sin embargo, son de interés</w:t>
      </w:r>
    </w:p>
    <w:p w14:paraId="74A65E84" w14:textId="77777777" w:rsidR="0072615D" w:rsidRDefault="0072615D">
      <w:pPr>
        <w:pStyle w:val="BodyText"/>
        <w:ind w:left="760" w:firstLine="60"/>
      </w:pPr>
      <w:r>
        <w:t>Revisar los datos epidemiológicos locales en cuanto a la incidencia de VIH/SIDA y valorar el riesgo de infección por el virus en el asaltante.</w:t>
      </w:r>
    </w:p>
    <w:p w14:paraId="2D84D5E1" w14:textId="77777777" w:rsidR="0072615D" w:rsidRDefault="0072615D">
      <w:pPr>
        <w:pStyle w:val="BodyText"/>
        <w:ind w:left="760" w:firstLine="60"/>
      </w:pPr>
      <w:r>
        <w:t>Evaluar las circunstancias del asalto que pudiera modificar el riesgo de transmisión del virus de inmunodeficiencia humana.</w:t>
      </w:r>
    </w:p>
    <w:p w14:paraId="5C0DF02E" w14:textId="77777777" w:rsidR="0072615D" w:rsidRDefault="0072615D">
      <w:pPr>
        <w:pStyle w:val="BodyText"/>
        <w:ind w:left="760" w:firstLine="60"/>
      </w:pPr>
      <w:r>
        <w:t>Consultar con un pediatra especializado en el tratamiento de niños con VIH si se considera la profilaxia después del hecho delictivo.</w:t>
      </w:r>
    </w:p>
    <w:p w14:paraId="1DC3ED94" w14:textId="77777777" w:rsidR="0072615D" w:rsidRDefault="0072615D">
      <w:pPr>
        <w:pStyle w:val="BodyText"/>
        <w:ind w:left="760" w:firstLine="60"/>
      </w:pPr>
      <w:r>
        <w:t>Si al parecer el niño está expuesto al peligro y al contagio por VIH en la agresión, se comentarán las medidas de profilaxia después de la exposición, con los cuidadores y prestadores de servicios, incluso sus reacciones tóxicas y su eficacia desconocida.</w:t>
      </w:r>
    </w:p>
    <w:p w14:paraId="007E0A94" w14:textId="77777777" w:rsidR="0072615D" w:rsidRDefault="0072615D">
      <w:pPr>
        <w:pStyle w:val="BodyText"/>
        <w:ind w:left="760" w:firstLine="60"/>
      </w:pPr>
      <w:r>
        <w:t>Si el personal que cuida al menor decide emprender profilaxia con antirretrovíricos habrá que suministrar fármacos suficientes hasta que retorne la víctima tres a siete días después de la valoración inicial y así se la revalorará y se conocerá su tolerancia a los medicamentos; las dosis no deben exceder de las usadas en adultos.</w:t>
      </w:r>
    </w:p>
    <w:p w14:paraId="7E689200" w14:textId="77777777" w:rsidR="0072615D" w:rsidRDefault="0072615D">
      <w:pPr>
        <w:pStyle w:val="BodyText"/>
        <w:spacing w:after="560"/>
        <w:ind w:left="760" w:firstLine="60"/>
      </w:pPr>
      <w:r>
        <w:t>Habrá que medir los anticuerpos contra VIH en la primera valoración y seis, 12 y 24 semanas más tarde.</w:t>
      </w:r>
    </w:p>
    <w:p w14:paraId="0CB5F9B9" w14:textId="77777777" w:rsidR="0072615D" w:rsidRDefault="0072615D">
      <w:pPr>
        <w:pStyle w:val="Bodytext100"/>
        <w:spacing w:after="220"/>
        <w:ind w:firstLine="760"/>
        <w:jc w:val="left"/>
        <w:rPr>
          <w:sz w:val="34"/>
          <w:szCs w:val="34"/>
        </w:rPr>
      </w:pPr>
      <w:r>
        <w:rPr>
          <w:sz w:val="34"/>
          <w:szCs w:val="34"/>
        </w:rPr>
        <w:t>H</w:t>
      </w:r>
      <w:r>
        <w:t>epatitis en jóvenes en correccionales</w:t>
      </w:r>
      <w:r>
        <w:rPr>
          <w:sz w:val="34"/>
          <w:szCs w:val="34"/>
        </w:rPr>
        <w:footnoteReference w:id="77"/>
      </w:r>
    </w:p>
    <w:p w14:paraId="3C39E6A1" w14:textId="77777777" w:rsidR="0072615D" w:rsidRDefault="0072615D">
      <w:pPr>
        <w:pStyle w:val="BodyText"/>
        <w:ind w:left="480" w:firstLine="0"/>
      </w:pPr>
      <w:r>
        <w:t>En Estados Unidos el número de arrestos de jóvenes menores de 18 años se ha estabilizado en un nivel de 2.5 millones por año, pero aún así representa casi 5% de la población pediátrica. Más de 300 000 jóvenes permanecen cada año en instalaciones de detención mientras se ventilan sus audiencias legales, y en un día particular, son encarcelados 126 000 adolescentes en instalaciones de correccionales juveniles o cárceles para adultos. Los periodos de encarcelamiento de 90 días como mínimo, son comunes en 60% de los internos juveniles y cabe esperar que 15% pasen un año o más en prisión. Una proporción excesiva de los jóvenes encarcelados son varones y muy a menudo miembros de minorías étnicas o raciales. Las jóvenes constituyen el 15% de la población juvenil encarcelada y en ellas el embarazo suele agregar más problemas a la prestación de servicios médicos en correccionales.</w:t>
      </w:r>
    </w:p>
    <w:p w14:paraId="14517FB7" w14:textId="77777777" w:rsidR="0072615D" w:rsidRDefault="0072615D">
      <w:pPr>
        <w:pStyle w:val="BodyText"/>
        <w:ind w:left="480" w:firstLine="340"/>
        <w:sectPr w:rsidR="0072615D" w:rsidSect="0072615D">
          <w:headerReference w:type="even" r:id="rId359"/>
          <w:headerReference w:type="default" r:id="rId360"/>
          <w:footerReference w:type="even" r:id="rId361"/>
          <w:footerReference w:type="default" r:id="rId362"/>
          <w:footnotePr>
            <w:numFmt w:val="chicago"/>
          </w:footnotePr>
          <w:type w:val="continuous"/>
          <w:pgSz w:w="8501" w:h="13022"/>
          <w:pgMar w:top="699" w:right="614" w:bottom="429" w:left="518" w:header="0" w:footer="1" w:gutter="0"/>
          <w:cols w:space="720"/>
          <w:noEndnote/>
          <w:docGrid w:linePitch="360"/>
          <w15:footnoteColumns w:val="1"/>
        </w:sectPr>
      </w:pPr>
      <w:r>
        <w:t xml:space="preserve">Los delincuentes juveniles por lo común no tienen acceso regular al sistema preventivo de salud en su comunidad y muestran enormes deficiencias en este renglón en aspectos como trastornos psicosociales, enfermedades crónicas, consumo de drogas ilícitas y traumatismo físico en comparación con los adolescentes que no llegan ante este sistema de justicia juvenil.* Existe mayor posibilidad de que un joven detenido haya contraído enfermedades de transmisión sexual </w:t>
      </w:r>
      <w:r>
        <w:rPr>
          <w:i/>
          <w:iCs/>
        </w:rPr>
        <w:t>(</w:t>
      </w:r>
      <w:r>
        <w:rPr>
          <w:rFonts w:ascii="Times New Roman" w:eastAsia="Times New Roman" w:hAnsi="Times New Roman" w:cs="Times New Roman"/>
          <w:i/>
          <w:iCs/>
          <w:sz w:val="16"/>
          <w:szCs w:val="16"/>
        </w:rPr>
        <w:t>sexually transmitted diseases</w:t>
      </w:r>
      <w:r>
        <w:rPr>
          <w:i/>
          <w:iCs/>
        </w:rPr>
        <w:t>,</w:t>
      </w:r>
      <w:r>
        <w:t xml:space="preserve"> STD) en los comienzos de su adolescencia, y el retraso o la parcialidad del tratamiento hace que estén expuestos a un mayor peligro de sufrir complicaciones crónicas de clamidiasis, gonorrea, sífilis e infecciones por virus de papiloma humano. La tuberculosis (TB) es más común en jóvenes en correccionales, y a pesar de que la población regular de los detenidos sigue mostrando una baja prevalencia de infección por el virus de inmunodeficiencia humana (VIH), su modo de vida les impone riesgos particulares? Sin embargo, son de interés </w:t>
      </w:r>
    </w:p>
    <w:p w14:paraId="159D3F10" w14:textId="77777777" w:rsidR="0072615D" w:rsidRDefault="0072615D">
      <w:pPr>
        <w:pStyle w:val="BodyText"/>
        <w:ind w:left="480" w:firstLine="0"/>
      </w:pPr>
      <w:r>
        <w:t>particular las hepatitis A, B y C por la mayor frecuencia de consumo de alcohol y drogas inyectables y una mayor cifra de sexo sin protección con múltiples compañeros en etapa más temprana de la vida. En los últimos años en el país mencionado hubo un incremento de 133% en los delitos de jóvenes que incluían violaciones por abuso de drogas, y el antecedente de la inyección de tales estupefacientes ha sido uno de los factores decisivos para explicar la mayor incidencia de hepatitis C en delincuentes juveniles. La hepatitis puede ser un cuadro que coexista con otras enfermedades como tuberculosis e infección por VIH, y los jóvenes infectados pueden hacer que corra peligro la salud de sus comunidades una vez liberados.</w:t>
      </w:r>
    </w:p>
    <w:p w14:paraId="4C890966" w14:textId="77777777" w:rsidR="0072615D" w:rsidRDefault="0072615D">
      <w:pPr>
        <w:pStyle w:val="BodyText"/>
        <w:spacing w:after="100"/>
        <w:ind w:left="460" w:firstLine="340"/>
      </w:pPr>
      <w:r>
        <w:t>En los rastreos epidemiológicos se ha sabido que 15% de todas las infecciones crónicas por hepatitis B y más de 30% de los casos de hepatitis C que asolan a Estados Unidos provinieron de personas liberadas de instituciones correccionales. Los comportamientos de alto riesgo hacen que los adolescentes predispuestos a ser encarcelados sean particularmente vulnerables a las tres variedades de hepatitis, A, B y C, antes de su primer encarcelamiento. Una vez encarcelados, se adquieren menos de 3% de nuevas infecciones por virus de hepatitis de todos los tipos. Casi todos los transgresores juveniles al final son reintegrados a su comunidad, y sin intervención reanudan su modo de vida de alto riesgo. Las altas cifras de recidiva hacen que muchos de estos jóvenes terminen por ser adultos en prisión en los cuales las cifras de hepatitis B y C pueden ser significativamente mayores que las observadas en las correccionales para jóvenes. Un encuentro del joven trasgresor con el sistema de justicia brinda la oportunidad de iniciar una valoración en busca de hepatitis, prevención de la infección y estrategias de modificación conductual que, si logran su cometido, probablemente mejorarán los pronósticos y resultados de un grupo de adolescentes expuestos al riesgo altísimo de mostrar las complicaciones de una hepatopatía crónica.</w:t>
      </w:r>
    </w:p>
    <w:p w14:paraId="403A7DEC" w14:textId="77777777" w:rsidR="0072615D" w:rsidRDefault="0072615D">
      <w:pPr>
        <w:pStyle w:val="Bodytext70"/>
        <w:ind w:firstLine="460"/>
      </w:pPr>
      <w:r>
        <w:t>Hepatitis A</w:t>
      </w:r>
    </w:p>
    <w:p w14:paraId="1EFDA7D8" w14:textId="77777777" w:rsidR="0072615D" w:rsidRDefault="0072615D">
      <w:pPr>
        <w:pStyle w:val="BodyText"/>
        <w:spacing w:after="160"/>
        <w:ind w:left="460" w:firstLine="0"/>
      </w:pPr>
      <w:r>
        <w:t>La infección por hepatitis A es frecuente en Estados Unidos, y en muchas regiones los niveles y la persistencia de la transmisión podrían calificarse de endémicos (véase “Hepatitis A”, sección 3). Las correccionales en Estados Unidos rara vez notifican casos de dicha forma de hepatitis y no se cuenta con datos de prevalencia a nivel nacional de las poblaciones en cárceles. Los estados de la unión norteamericana que han evaluado la prevalencia en jóvenes menores de 20 años encarcelados muestran una distribución étnica similar en cuanto al predominio en los encarcelados indios americanos/nativos de Alaska y personas de extracción latina o hispánica, como se refleja en las poblaciones en peligro en su conjunto. Algunas estimaciones sugieren una seroprevalencia global de hepatitis entre 22 y 39% en los prisioneros adultos, con una prevalencia de 43% en prisioneros de 40 a 49 años de vida. Los factores de riesgo de hepatitis A en adolescentes que pudieran contribuir a los brotes incluyen uso de drogas subrepticias inyectables y no inyectables, múltiples compañeros sexuales y participación en actividad homosexual por largo tiempo. La infección concomitante por virus de hepatitis A agrava las complicaciones hepáticas en sujetos con una hepatopatía crónica causada por las infecciones por virus de hepatitis B o C, punto importante en los jóvenes encarcelados que muestran cifras mayores de hepatitis C en comparación con adolescentes que no tienen contacto alguno con el sistema judicial. Los internos que residen o están detenidos en instituciones en estados y regiones de Estados Unidos con una alta cifra endémica de hepatitis A (véase “Hepatitis A”, sección 3) están particularmente en peligro de tener las dos formas de hepatitis simultáneamente.</w:t>
      </w:r>
    </w:p>
    <w:p w14:paraId="041CCC89" w14:textId="77777777" w:rsidR="0072615D" w:rsidRDefault="0072615D">
      <w:pPr>
        <w:pStyle w:val="BodyText"/>
        <w:spacing w:after="100" w:line="266" w:lineRule="auto"/>
        <w:ind w:left="440" w:firstLine="360"/>
        <w:jc w:val="both"/>
      </w:pPr>
      <w:r>
        <w:rPr>
          <w:rFonts w:ascii="Arial" w:eastAsia="Arial" w:hAnsi="Arial" w:cs="Arial"/>
          <w:b/>
          <w:bCs/>
          <w:i/>
          <w:iCs/>
          <w:w w:val="80"/>
          <w:sz w:val="20"/>
          <w:szCs w:val="20"/>
        </w:rPr>
        <w:t>Recomendaciones para el control de las infecciones por el virus de hepatitis en jóvenes encarcelados.</w:t>
      </w:r>
      <w:r>
        <w:t xml:space="preserve"> No se recomienda la detección sistemática de marcadores de hepatitis A en los jóvenes encarcelados. Sin embargo, hay que emprender estudios en todo adolescente con signos o síntomas de hepatitis en busca de otros cuadros además del causado por el virus de hepatitis A, como infecciones agudas o crónicas de hepatitis B o hepatitis C. Es importante aplicar la vacuna contra hepatitis A (véase “Vacuna” en Hepatitis A, sección 3) a todo adolescente en correccionales situadas en estados en que se recomienda la vacunación sistemática contra dicha hepatitis antes de liberar al detenido. Ante la alta proporción de transgresores juveniles con factores de riesgo que los predisponen a infecciones por las tres formas de hepatitis, las correccionales deben considerar de manera decidida la vacunación sistemática contra la hepatitis A en todo adolescente bajo su cuidado, sean cuales sean las cifras de endemnicidad regional. De no ser posible tal medida, habrá que pensar en la posibilidad de aplicar vacuna contra hepatitis A a jóvenes que tienen las formas de hepatitis B o C diagnosticadas y otros más con perfiles de alto riesgo, como serían los usuarios de drogas inyectables y varones que se dedican a actividad homosexual. No se recomienda practicar pruebas serológicas después de profilaxia. No existen contraindicaciones para aplicar vacuna contra hepatitis A a una persona que quizá ya esté inmunizada como consecuencia de haber mostrado previamente una infección por hepatitis A o porque fue vacunada. Hay que notificar al departamento sanitario local de todo joven encarcelado que muestra la enfermedad por hepatitis A.</w:t>
      </w:r>
    </w:p>
    <w:p w14:paraId="5FDF46AF" w14:textId="77777777" w:rsidR="0072615D" w:rsidRDefault="0072615D">
      <w:pPr>
        <w:pStyle w:val="Bodytext70"/>
        <w:ind w:firstLine="440"/>
        <w:jc w:val="both"/>
      </w:pPr>
      <w:r>
        <w:t>Hepatitis B</w:t>
      </w:r>
    </w:p>
    <w:p w14:paraId="13A79A25" w14:textId="77777777" w:rsidR="0072615D" w:rsidRDefault="0072615D">
      <w:pPr>
        <w:pStyle w:val="BodyText"/>
        <w:ind w:left="440"/>
        <w:jc w:val="both"/>
      </w:pPr>
      <w:r>
        <w:t>La cifra de infección por hepatitis B en la población general estadounidense recibe la influencia de conocidos factores de riesgo que permiten el intercambio de sangre, saliva, semen y líquido vaginal o la exposición a ellos (véase “Hepatitis B”, sección 3). Los adolescentes en correccionales expuestos al peligro de dicha hepatitis incluyen los presos pertenecientes a poblaciones minoritarias (asiáticos, indios americanos/nativos de Alaska, negros y latinos en orden descendiente de prevalencia de la enfermedad por hepatitis B); los prisioneros que se inyectan drogas por medio de agujas compartidas; los internos que desde temprana edad se iniciaron en actividades sexuales (coito), actividades sexuales no protegidas, múltiples compañeros sexuales o el antecedente de STD; y los varones adolescentes que participan en actividad homosexual. Los estudios que han investigado los brotes de hepatitis B en la población de prisioneros también sugieren que puede haber transmisión horizontal cuando hay portadores crónicos del virus de hepatitis B. Las adolescentes prisioneras también tienen otros problemas en la valoración y tratamiento de hepatitis B si se descubre que están embarazadas durante su encarcelamiento, caso en el cual adquiere enorme importancia coordinar la asistencia para la madre y el hijo.</w:t>
      </w:r>
    </w:p>
    <w:p w14:paraId="1FD12681" w14:textId="77777777" w:rsidR="0072615D" w:rsidRDefault="0072615D">
      <w:pPr>
        <w:pStyle w:val="BodyText"/>
        <w:ind w:left="440" w:firstLine="360"/>
        <w:jc w:val="both"/>
      </w:pPr>
      <w:r>
        <w:t>Ninguno de los estudios publicados hechos a nivel nacional ha precisado la cifra de prevalencia de hepatitis B en jóvenes encarcelados, pero las cifras de seroprevalencia de dicha forma de hepatitis en jóvenes sin hogar y de la calle expuestos a alto riesgo son mayores cuando se comparan con sus coetáneos que no muestran dichos factores de riesgo. Desde 1996, el empleo generalizado de la vacuna contra hepatitis B en estados que exigen vacunación contra tal enfermedad en niños de enseñanza elemental y media (</w:t>
      </w:r>
      <w:hyperlink r:id="rId363" w:history="1">
        <w:r>
          <w:t>www.immunize.org/laws</w:t>
        </w:r>
      </w:hyperlink>
      <w:r>
        <w:t xml:space="preserve">) ha contribuido a que más de 40% de los jóvenes encarcelados en tales estados muestren en su suero anticuerpos contra HBs (anticuerpos contra antígeno de superficie de la hepatitis B </w:t>
      </w:r>
      <w:r>
        <w:rPr>
          <w:i/>
          <w:iCs/>
        </w:rPr>
        <w:t>[</w:t>
      </w:r>
      <w:r>
        <w:rPr>
          <w:rFonts w:ascii="Times New Roman" w:eastAsia="Times New Roman" w:hAnsi="Times New Roman" w:cs="Times New Roman"/>
          <w:i/>
          <w:iCs/>
          <w:sz w:val="16"/>
          <w:szCs w:val="16"/>
        </w:rPr>
        <w:t>hepatitis B surface antigen</w:t>
      </w:r>
      <w:r>
        <w:rPr>
          <w:i/>
          <w:iCs/>
        </w:rPr>
        <w:t>,</w:t>
      </w:r>
      <w:r>
        <w:t xml:space="preserve"> HBsAg]) si se busca tal inmunoglobulina. Al no contar con datos de la prevalencia de anticuerpos contra el “núcleo” del virus de hepatitis B, es difícil conocer la seroprevalencia que es consecuencia de la infección por el virus mencionado.</w:t>
      </w:r>
    </w:p>
    <w:p w14:paraId="35BEEB05" w14:textId="77777777" w:rsidR="0072615D" w:rsidRDefault="0072615D">
      <w:pPr>
        <w:pStyle w:val="BodyText"/>
        <w:ind w:left="440" w:firstLine="340"/>
      </w:pPr>
      <w:r>
        <w:t>En 1982 se inició en Estados Unidos una campaña para erradicar la hepatitis B como una amenaza sanitaria a nivel nacional. La fase I se orientó a cohortes de alto riesgo que incluyeron usuarios de drogas inyectables, personal asistencial, homosexuales varones y madres que tenían el antígeno superficial de hepatitis B (HB) capaces de transmitirlo en sentido vertical en la fase perinatal a sus hijos. El hecho de que la estrategia mencionada no convenciera a los sujetos de alto riesgo para someterse a estudios y a ser vacunados hizo que se iniciara la fase II (1992), consistente en el estímulo permanente de la realización de pruebas prenatales de embarazadas en busca del antígeno superficial mencionado que se inició en 1988, junto con la inmunización obligatoria y unánime de los lactantes con vacuna contra hepatitis B. La fase III de dicho programa (1996) se orientó a inmunizar a todos los adolescentes con vacuna contra hepatitis B y se comenzó con cohortes en escuelas de nivel medio como una forma de acelerar el nivel de protección para un grupo de edad que posiblemente participaría en conductas de alto riesgo. Se ha concedido nuevamente énfasis a los grupos más vulnerables de fase I y de alto riesgo, y el apoyo gubernamental por medio del programa Vacunas para niños se ha orientado a STD y clínicas de planificación familiar, clínicas de adolescentes varones y mujeres y sitios de detención juvenil y destoxicación de drogas. Los buenos resultados globales después de llevar a la práctica las tres fases de la estrategia de prevención de hepatitis B han logrado que disminuya el número calculado de casos anuales, de más de 300 000 casos nuevos en el decenio de 1980, a menos de 79 000 casos en 1999. Algunos estados norteamericanos han comenzado a canalizar sus recursos a vacunar a sus poblaciones de prisioneros no sólo para disminuir la propagación de hepatitis B en tales instituciones, sino también proteger a las comunidades y las familias de la hepatitis cuando los prisioneros se reintegran a la sociedad.</w:t>
      </w:r>
    </w:p>
    <w:p w14:paraId="784AF595" w14:textId="77777777" w:rsidR="0072615D" w:rsidRDefault="0072615D">
      <w:pPr>
        <w:pStyle w:val="BodyText"/>
        <w:spacing w:line="266" w:lineRule="auto"/>
        <w:ind w:left="440" w:firstLine="340"/>
      </w:pPr>
      <w:r>
        <w:rPr>
          <w:rFonts w:ascii="Arial" w:eastAsia="Arial" w:hAnsi="Arial" w:cs="Arial"/>
          <w:b/>
          <w:bCs/>
          <w:i/>
          <w:iCs/>
          <w:w w:val="80"/>
          <w:sz w:val="20"/>
          <w:szCs w:val="20"/>
        </w:rPr>
        <w:t>Recomendaciones para el control de las infecciones por virus de hepatitis B en jóvenes encarcelados.</w:t>
      </w:r>
      <w:r>
        <w:t xml:space="preserve"> En términos generales no se recomienda la detección sistemática de los marcadores del virus de hepatitis B en jóvenes encarcelados. Sin embargo, en estados en que se ha logrado un nivel alto de vacunación contra dicha infección en adolescentes, los métodos iniciales para valorar la inmunidad a tal enfermedad pudieran ahorrar el costo de la vacuna, a condición de que la rapidez de las pruebas no retrase la vacunación contra la enfermedad en caso de que el paciente no sea inmune. Es conveniente que las instalaciones correccionales valoren periódicamente la inmunidad a la hepatitis B de los jóvenes internos cuando entran a la institución para conocer en forma aproximada la prevalencia del trastorno y valorar la conveniencia de emprender pruebas antes de la inmunización. Es importante buscar virus de hepatitis A, B y C en todo adolescente detenido que muestra signos y síntomas de tal infección para identificar la presencia de infecciones crónicas y otras coexistentes. También se tratará de detectar el antígeno de superficie de hepatitis B en toda adolescente embarazada. Los comportamientos de alto riesgo de dicha población impiden confiar en resultados negativos de pruebas de HBsAg antes del encarcelamiento o en antecedentes de vacunación contra hepatitis B. Los datos aportados pueden ser falsos o quizá no hubo aplicación real de la vacuna.</w:t>
      </w:r>
    </w:p>
    <w:p w14:paraId="6EBC3C01" w14:textId="77777777" w:rsidR="0072615D" w:rsidRDefault="0072615D">
      <w:pPr>
        <w:pStyle w:val="BodyText"/>
        <w:ind w:left="440" w:firstLine="340"/>
      </w:pPr>
      <w:r>
        <w:t>En todo adolescente al que se realice una valoración médica en una correccional se emprenderá la aplicación de una serie de vacunas contra hepatitis B o se completará la serie iniciada en fechas previas, salvo que haya una prueba indudable de que se completó la serie previa de vacunas. No existen límites cronológicos ni restricciones en los intervalos para completar la serie de vacunas contra la hepatitis mencionada, razón por la cual los funcionarios de la correccional deben pensar en la posibilidad de aplicar la vacuna contra esa enfermedad a los internos para completar una serie que se comenzó en fecha previa. La flexibilidad en el calendario de vacunación contra la hepatitis B, que incluye regímenes de dos dosis para jovencitos de 11 a 15 años, permite una gran flexibilidad cuando se escoja un régimen que lleve al máximo la probabilidad de completar una serie de vacunas en el lapso en que está encarcelado el adolescente o poco después (véase “Medidas de erradicación” en Hepatitis B, sección 3). Sin embargo, es de suma importancia comenzar la serie de vacunas contra tal enfermedad porque una sola dosis puede proteger de las complicaciones que representa el estado de portador crónico en adolescentes de alto riesgo que quizá ya no retornen a las visitas de vigilancia. No se recomienda la detección serológica sistemática antes y después de la vacunación. En estados donde la aplicación de la vacuna contra hepatitis B es una de las exigencias para la incorporación escolar, las correccionales pueden utilizar una combinación de antecedentes de vacunación, datos de registro de ella y métodos serológicos para elaborar normas institucionales respecto de la necesidad de vacunación contra hepatitis B en grupos de adolescentes de edades específicas. Las correccionales deben contar con mecanismos vigentes para completar la serie de vacunas de hepatitis B en la comunidad después que el joven sale de la correccional. Es importante dar a él, a sus padres o al tutor legal datos de la vacunación, el registro estatal de esta medida y el sitio en que se preste atención médica futura en la comunidad.</w:t>
      </w:r>
    </w:p>
    <w:p w14:paraId="4656DB56" w14:textId="77777777" w:rsidR="0072615D" w:rsidRDefault="0072615D">
      <w:pPr>
        <w:pStyle w:val="BodyText"/>
        <w:ind w:left="440" w:firstLine="340"/>
      </w:pPr>
      <w:r>
        <w:t xml:space="preserve">En Estados Unidos se cuenta con regímenes profilácticos después de exposición a hepatitis B para adolescentes encarcelados no inmunizados, después de las posibles exposiciones percutáneas o sexuales al virus de dicha enfermedad (véase “Atención de personas expuestas” en Hepatitis B, sección 3). Si se advierte la presencia (positividad) del antígeno de superficie de dicha hepatitis en el individuo que fue la fuente de la exposición, el interno no vacunado expuesto por vía percutánea debe recibir concentrado inmunoglobulínico contra hepatitis B </w:t>
      </w:r>
      <w:r>
        <w:rPr>
          <w:i/>
          <w:iCs/>
        </w:rPr>
        <w:t>(</w:t>
      </w:r>
      <w:r>
        <w:rPr>
          <w:rFonts w:ascii="Times New Roman" w:eastAsia="Times New Roman" w:hAnsi="Times New Roman" w:cs="Times New Roman"/>
          <w:i/>
          <w:iCs/>
          <w:sz w:val="16"/>
          <w:szCs w:val="16"/>
        </w:rPr>
        <w:t>hepatitis B immune globulin</w:t>
      </w:r>
      <w:r>
        <w:rPr>
          <w:i/>
          <w:iCs/>
        </w:rPr>
        <w:t xml:space="preserve">, </w:t>
      </w:r>
      <w:r>
        <w:t>HBIG) en término de 72 h de la exposición. En caso de exposición de tipo sexual no se necesita aplicar el concentrado en cuestión y sólo habrá que completar la serie de vacunas contra hepatitis B. Los jóvenes expuestos que no han completado su serie de vacunas deben recibir las faltantes, según el calendario programado.</w:t>
      </w:r>
    </w:p>
    <w:p w14:paraId="0D295E84" w14:textId="77777777" w:rsidR="0072615D" w:rsidRDefault="0072615D">
      <w:pPr>
        <w:pStyle w:val="BodyText"/>
        <w:ind w:left="440" w:firstLine="340"/>
      </w:pPr>
      <w:r>
        <w:t>Habrá que practicar pruebas en busca del antígeno de superficie de HB en toda adolescente embarazada en el momento en que se identifica la gestación, sean cuales sean sus antecedentes de vacunación contra dicha enfermedad y los resultados previos de identificación de dicho antígeno y el anticuerpo contra él. Si no se detecta el antígeno de superficie en la adolescente mencionada, se comenzará la aplicación de una serie de vacunas contra hepatitis B lo más pronto posible durante la evolución del embarazo. La gestación no constituye contraindicación para la aplicación de vacuna de hepatitis B en cualquier trimestre. Habrá que notificar a la institución prenatal de la paciente si se identifica antígeno de superficie en la adolescente embarazada, al hospital en que dará a luz a su pequeño y al departamento de salud estatal en que se hará la asistencia y el tratamiento. Los hijos de madres que tienen el antígeno de superficie comentado deben recibir la vacuna contra hepatitis B y HBIG en término de 12 h de su nacimiento (véase “Atención de personas expuestas” en Hepatitis B, sección 3).</w:t>
      </w:r>
    </w:p>
    <w:p w14:paraId="071BB37E" w14:textId="77777777" w:rsidR="0072615D" w:rsidRDefault="0072615D">
      <w:pPr>
        <w:pStyle w:val="BodyText"/>
        <w:ind w:left="440" w:firstLine="340"/>
      </w:pPr>
      <w:r>
        <w:t>Los adolescentes encarcelados que muestran signos de infección crónica de hepatitis B deben ser valorados por un especialista para conocer la magnitud de su hepatopatía y si son candidatos para recibir antivíricos. Es importante notificar la presencia de antígeno de superficie de HB en los detenidos, al departamento de salud local para facilitar la vigilancia a largo plazo una vez liberados.</w:t>
      </w:r>
    </w:p>
    <w:p w14:paraId="4CC18B77" w14:textId="77777777" w:rsidR="0072615D" w:rsidRDefault="0072615D">
      <w:pPr>
        <w:pStyle w:val="BodyText"/>
        <w:spacing w:after="100"/>
        <w:ind w:left="440" w:firstLine="340"/>
      </w:pPr>
      <w:r>
        <w:t xml:space="preserve">Cabe esperar que 15 a 35% de los adolescentes que se tornan portadores crónicos del virus de hepatitis B fallezcan de complicaciones (cirrosis y carcinoma hepatocelular) de su infección por hepatitis B. Entre las opciones terapéuticas actuales contra la infección crónica mencionada están el uso de interferón alfa, lamivudina y adefovir dipivoxil (en Estados Unidos la </w:t>
      </w:r>
      <w:r>
        <w:rPr>
          <w:rFonts w:ascii="Times New Roman" w:eastAsia="Times New Roman" w:hAnsi="Times New Roman" w:cs="Times New Roman"/>
          <w:i/>
          <w:iCs/>
          <w:sz w:val="16"/>
          <w:szCs w:val="16"/>
        </w:rPr>
        <w:t>Food and Drug Administration</w:t>
      </w:r>
      <w:r>
        <w:t xml:space="preserve"> [FDA] ha aprobado su empleo para personas de 16 años y mayores). Es importante aplicar la vacuna contra hepatitis A a todo portador crónico del virus de hepatitis B para evitar hepatopatía fulminante en caso de que también se sobreañada la infección por el virus de hepatitis A. Habrá que disuadir a los internos que son portadores crónicos de hepatitis B que no consuman y abusen de tabaco y drogas subrepticias, pues pueden degradar gravemente su función hepática en sujetos con cirrosis inducida por hepatitis B. Los portadores crónicos del virus de hepatitis B pueden seguir siendo infectantes para sus contactos sexuales y hogareños durante toda la vida y hay que orientarlos en este sentido para que protejan a sus compañeros sexuales y a los contactos comentados.</w:t>
      </w:r>
    </w:p>
    <w:p w14:paraId="381031E4" w14:textId="77777777" w:rsidR="0072615D" w:rsidRDefault="0072615D">
      <w:pPr>
        <w:pStyle w:val="Bodytext70"/>
        <w:ind w:firstLine="440"/>
      </w:pPr>
      <w:r>
        <w:t>Hepatitis C</w:t>
      </w:r>
    </w:p>
    <w:p w14:paraId="6056D39D" w14:textId="77777777" w:rsidR="0072615D" w:rsidRDefault="0072615D">
      <w:pPr>
        <w:pStyle w:val="BodyText"/>
        <w:ind w:left="440" w:firstLine="0"/>
      </w:pPr>
      <w:r>
        <w:t>De los cerca de cuatro millones de casos de infección por virus de hepatitis C en Estados Unidos, en promedio 30% corresponden a personas que han pasado algún tiempo dentro de correccionales en tal país. El consumo de drogas inyectables explica la proporción más alta de infecciones en los internos, y el segundo lugar corresponde a la exposición a múltiples compañeros sexuales. Se sabe que incluso 80% de los internos que consumen drogas subrepticias inyectables se infectarán del virus de hepatitis C en término de cinco años de haber comenzado el consumo de tales productos. Se piensa que los tatuajes y la perforación de zonas del cuerpo no constituyen un punto de origen notable de transmisión del virus de hepatitis C. A diferencia de las infecciones por virus de hepatitis A y B, una vez que la persona se infecta del virus C, la infección crónica es la norma sin excepciones. Hasta 80% de personas con el cuadro seguirán mostrando la infección crónica y 20% de ellos terminarán por mostrar cirrosis. En Estados Unidos el número de fallecimientos anuales por virus de hepatitis C va de 8 000 a 10 000 personas, lo cual es mayor que la cifra de mortalidad por infección por virus de hepatitis B, en un factor de dos. La infección concomitante con VIH incrementa el número de partículas del virus de hepatitis C y acelera la evolución hasta llegar a la cirrosis. La coexistencia de los virus de hepatitis A o hepatitis B incrementa el peligro de hepatopatía fulminante letal. La persistencia del virus de hepatitis C y su supervivencia en una comunidad son mediadas por las personas con infección crónica. La circulación de un segmento de la sociedad que entra y sale de las correccionales hace que se cuente con un reservorio constante del estado de portador del virus de hepatitis C crónica que aumenta año tras año.</w:t>
      </w:r>
    </w:p>
    <w:p w14:paraId="7E011B6D" w14:textId="77777777" w:rsidR="0072615D" w:rsidRDefault="0072615D">
      <w:pPr>
        <w:pStyle w:val="BodyText"/>
        <w:ind w:left="440" w:firstLine="340"/>
      </w:pPr>
      <w:r>
        <w:t>Son escasos los estudios de prevalencia de la infección por virus de hepatitis C en jóvenes encarcelados, pero indican un incremento del doble al cuádruple en tal cifra cuando se les compara con la de jóvenes que no llegan al sistema de justicia juvenil. El uso de drogas inyectables constituye el factor de riesgo predominante de la infección por tal virus en los jóvenes detenidos, y como aspecto notable, la cifra siempre es mayor en adolescentes del sexo femenino que en varones. La permanencia repetitiva dentro de las correccionales incrementa las cifras de prevalencias de hepatitis C en adultos, hasta 10 veces la cifra señalada en la población global de Estados Unidos.</w:t>
      </w:r>
    </w:p>
    <w:p w14:paraId="0B862C4C" w14:textId="77777777" w:rsidR="0072615D" w:rsidRDefault="0072615D">
      <w:pPr>
        <w:pStyle w:val="BodyText"/>
        <w:ind w:left="440" w:firstLine="340"/>
      </w:pPr>
      <w:r>
        <w:t>Practicar pruebas en busca del virus de hepatitis C en los internos ha generado conflictos para los administradores de las correccionales. Muchos de ellos consideran que el diagnóstico y el posible tratamiento de los detenidos con una infección por virus de hepatitis C no es parte de la misión correccional y prefieren que los sistemas asistenciales públicos dediquen sus recursos a afrontar tal problema. Los internos por lo común rechazan la práctica de pruebas, incluso si están expuestos a un gran peligro de hepatitis, para evitar que sus compañeros de prisión los molesten. No contar con una vacuna contra hepatitis C impone una presión importante a la orientación sobre profilaxia para que origine cambios en comportamientos de alto riesgo, y a la asesoría sobre conservación de la salud, para que disminuyan los peligros clínicos en los infectados. Esto incluye modificaciones en el estilo de vida y no consumir ni abusar de drogas subrepticias y alcohol, que son elementos que modifican enormemente la cifra de morbilidad y mortalidad de hepatitis C crónica.</w:t>
      </w:r>
    </w:p>
    <w:p w14:paraId="355E114A" w14:textId="77777777" w:rsidR="0072615D" w:rsidRDefault="0072615D">
      <w:pPr>
        <w:pStyle w:val="BodyText"/>
        <w:spacing w:line="276" w:lineRule="auto"/>
        <w:ind w:left="440" w:firstLine="340"/>
      </w:pPr>
      <w:r>
        <w:rPr>
          <w:rFonts w:ascii="Times New Roman" w:eastAsia="Times New Roman" w:hAnsi="Times New Roman" w:cs="Times New Roman"/>
          <w:i/>
          <w:iCs/>
          <w:sz w:val="16"/>
          <w:szCs w:val="16"/>
        </w:rPr>
        <w:t>Recomendaciones para erradicación de las infecciones por virus de hepatitis C en jóvenes encarcelados</w:t>
      </w:r>
      <w:r>
        <w:rPr>
          <w:i/>
          <w:iCs/>
        </w:rPr>
        <w:t>.</w:t>
      </w:r>
      <w:r>
        <w:t xml:space="preserve"> Hoy día no se recomienda la detección sistemática de la infección por virus de hepatitis C en adolescentes encarcelados. Orientar tal método de detección a los adultos con base en los criterios de riesgo ha sido una medida fiable y económica en correccionales que las utilizan en forma constante. Los factores de riesgo por evaluar en los jóvenes recién aprisionados que habría que considerar en los métodos de detección sistemática de la hepatitis C incluyen: 1) antecedentes de uso de drogas inyectables, informados por el mismo individuo; 2) antecedente de hepatopatía; 3) presencia del anticuerpo “central” de hepatitis B; 4) mayor concentración de alanina transaminasa; o 5) antecedente de hemodiálisis o de haber recibido factores de coagulación, sangre en transfusiones u órganos en trasplante. Cabe esperar que 30% de los jóvenes varones o mujeres recién internados en cárceles tengan uno o más de estos elementos, y por medio de los estudios sistemáticos en busca de anticuerpos contra hepatitis C en tal grupo se detectarán más de 90% de las infecciones por tal partícula en las correccionales. Algunos transgresores juveniles quizá no informen de los comportamientos de riesgo y aún así expresen interés por someterse a pruebas para identificar hepatitis C cuando se les brinda como opción. Habrá que hacer adaptaciones a tales solicitudes en casi todos los casos. Los adolescentes con signos o síntomas de hepatitis deben ser sometidos a métodos diagnósticos para buscar las hepatitis A, B y C y así identificar la presencia de infección crónica por los virus B y C y la susceptibilidad a infecciones concomitantes con el virus de hepatitis A.</w:t>
      </w:r>
    </w:p>
    <w:p w14:paraId="74CA07C4" w14:textId="77777777" w:rsidR="0072615D" w:rsidRDefault="0072615D">
      <w:pPr>
        <w:pStyle w:val="BodyText"/>
        <w:ind w:left="440" w:firstLine="340"/>
        <w:sectPr w:rsidR="0072615D" w:rsidSect="0072615D">
          <w:headerReference w:type="even" r:id="rId364"/>
          <w:headerReference w:type="default" r:id="rId365"/>
          <w:footerReference w:type="even" r:id="rId366"/>
          <w:footerReference w:type="default" r:id="rId367"/>
          <w:footnotePr>
            <w:numFmt w:val="chicago"/>
          </w:footnotePr>
          <w:type w:val="continuous"/>
          <w:pgSz w:w="8501" w:h="13022"/>
          <w:pgMar w:top="699" w:right="614" w:bottom="429" w:left="518" w:header="0" w:footer="3" w:gutter="0"/>
          <w:cols w:space="720"/>
          <w:noEndnote/>
          <w:docGrid w:linePitch="360"/>
          <w15:footnoteColumns w:val="1"/>
        </w:sectPr>
      </w:pPr>
      <w:r>
        <w:t xml:space="preserve">En caso de detectar el virus de hepatitis C, los adolescentes deben recibir atención médica constante para valorar la posibilidad de una infección crónica por dicho virus, y tal situación debe ser notificada al departamento de salud local. La presencia del anticuerpo contra el virus mencionado y el hecho de no identificar ácido RNA de la partícula (ácido nucleico) no anula la posibilidad de que exista una enfermedad activa crónica persistente. Hay variabilidad de un día a otro en la antigenemia del virus de hepatitis C y surge en presencia de anticuerpos circulantes contra ella. Todo joven con hepatitis C crónica infecciosa debe ser sometido a valoración médica continua para vigilar la evolución de su hepatopatía y saber si es candidato idóneo para intervenciones terapéuticas en lo futuro. Los adolescentes encarcelados que tienen hepatitis C deben participar en un programa de disminución de riesgos para evitar el consumo de drogas </w:t>
      </w:r>
    </w:p>
    <w:p w14:paraId="0598D9C6" w14:textId="77777777" w:rsidR="0072615D" w:rsidRDefault="0072615D">
      <w:pPr>
        <w:pStyle w:val="BodyText"/>
        <w:ind w:left="440" w:firstLine="0"/>
      </w:pPr>
      <w:r>
        <w:t>y alcohol, y recibir orientación sobre prácticas sexuales seguras para proteger a sus compañeros de sexo y a la comunidad en su totalidad (</w:t>
      </w:r>
      <w:hyperlink r:id="rId368" w:history="1">
        <w:r>
          <w:t>www.hepprograms.org</w:t>
        </w:r>
      </w:hyperlink>
      <w:r>
        <w:t>). Estudios recientes que han valorado la terapia con antivíricos sugieren mejores resultados si se emprende su administración en forma oportuna. Se cuenta con tratamientos terapéuticos que incorporan el empleo de interferón alfa, ribavirina e interferón pegilado en adultos con hepatitis C crónica (infección vírica). Sin embargo, en Estados Unidos la FDA no ha aprobado el uso de dichos regímenes para personas menores de 18 años. La consulta con un especialista experto en hepatopatías crónicas permitirá esclarecer las opciones de nuevos tratamientos, y si han sido aprobados para usar en niños (</w:t>
      </w:r>
      <w:hyperlink r:id="rId369" w:history="1">
        <w:r>
          <w:t>www.niddk.nih.gov/health/digest/pubs/chrnhepc/chrnhepc.htm</w:t>
        </w:r>
      </w:hyperlink>
      <w:r>
        <w:t>). Si el adolescente tiene una infección por virus de hepatitis C diagnosticada debe recibir vacunas contra los virus de hepatitis A y B si no fue inmunizado previamente.</w:t>
      </w:r>
    </w:p>
    <w:p w14:paraId="53E7463D" w14:textId="77777777" w:rsidR="0072615D" w:rsidRDefault="0072615D">
      <w:pPr>
        <w:pStyle w:val="BodyText"/>
        <w:spacing w:after="560"/>
        <w:ind w:left="420" w:firstLine="340"/>
      </w:pPr>
      <w:r>
        <w:t>Se ha definido con certeza la enorme frecuencia de hepatitis en las poblaciones de jóvenes en correccionales. Tales instituciones, de forma conjunta con los departamentos de salud pública y otros recursos de la comunidad, tienen la oportunidad de valorar, incluir, erradicar y evitar la infección del hígado en un segmento tan vulnerable de la sociedad como son los jóvenes internados. La hepatitis C constituye uno de los grandes problemas dentro de las correccionales en su conjunto porque no se cuenta con una vacuna para proteger a los prisioneros y al público. La cifra extraordinariamente grande de estado de portador crónico en sujetos ya infectados, agrava el peligro para sus propias comunidades al ser liberados. La naturaleza controlada del sistema correccional permite emprender muchas de las estrategias de prevención y tratamiento de la hepatitis en una población de niños que por lo demás sería difícil de abordar. Los pediatras deben colaborar con las organizaciones de salud pública estatales y locales, así como con los administradores de correccionales, para ocuparse de las necesidades sanitarias de los jóvenes detenidos y también para proteger a la comunidad en su totalidad.</w:t>
      </w:r>
    </w:p>
    <w:p w14:paraId="6A7E6CAC" w14:textId="77777777" w:rsidR="0072615D" w:rsidRDefault="0072615D">
      <w:pPr>
        <w:pStyle w:val="Bodytext100"/>
        <w:spacing w:after="60" w:line="298" w:lineRule="auto"/>
        <w:ind w:left="1100"/>
        <w:jc w:val="left"/>
      </w:pPr>
      <w:r>
        <w:rPr>
          <w:sz w:val="34"/>
          <w:szCs w:val="34"/>
        </w:rPr>
        <w:t>V</w:t>
      </w:r>
      <w:r>
        <w:t>aloración médica inicial en busca</w:t>
      </w:r>
    </w:p>
    <w:p w14:paraId="0F1BEC83" w14:textId="77777777" w:rsidR="0072615D" w:rsidRDefault="0072615D">
      <w:pPr>
        <w:pStyle w:val="Other0"/>
        <w:spacing w:after="60" w:line="389" w:lineRule="auto"/>
        <w:ind w:firstLine="0"/>
        <w:jc w:val="center"/>
        <w:rPr>
          <w:sz w:val="32"/>
          <w:szCs w:val="32"/>
        </w:rPr>
      </w:pPr>
      <w:r>
        <w:rPr>
          <w:rFonts w:ascii="Times New Roman" w:eastAsia="Times New Roman" w:hAnsi="Times New Roman" w:cs="Times New Roman"/>
          <w:sz w:val="26"/>
          <w:szCs w:val="26"/>
        </w:rPr>
        <w:t>DE ENFERMEDADES INFECCIOSAS EN NIÑOS</w:t>
      </w:r>
      <w:r>
        <w:rPr>
          <w:rFonts w:ascii="Times New Roman" w:eastAsia="Times New Roman" w:hAnsi="Times New Roman" w:cs="Times New Roman"/>
          <w:sz w:val="26"/>
          <w:szCs w:val="26"/>
        </w:rPr>
        <w:br/>
        <w:t>EXTRANJEROS ADOPTADOS</w:t>
      </w:r>
      <w:r>
        <w:rPr>
          <w:rFonts w:ascii="Times New Roman" w:eastAsia="Times New Roman" w:hAnsi="Times New Roman" w:cs="Times New Roman"/>
          <w:sz w:val="32"/>
          <w:szCs w:val="32"/>
        </w:rPr>
        <w:footnoteReference w:id="78"/>
      </w:r>
    </w:p>
    <w:p w14:paraId="3D4D11E4" w14:textId="77777777" w:rsidR="0072615D" w:rsidRDefault="0072615D">
      <w:pPr>
        <w:pStyle w:val="BodyText"/>
        <w:ind w:left="420" w:firstLine="0"/>
      </w:pPr>
      <w:r>
        <w:t>Cada año familias de Estados Unidos adoptan más de 18 000 niños de otros países. Más de 90% de los pequeños extranjeros adoptados provienen de Asia (China, Corea del Sur, Vietnam, india y Camboya), América del Centro y del Sur (Guatemala y Colombia) y países en el este de Europa (Rusia, Rumania, Ucrania, Kazajstan y Bulgaria). Son muy pocos los niños provenientes de África y el Medio Oriente que son adoptados en Estados Unidos. Los orígenes diversos de los menores, el desconocimiento de sus antecedentes clínicos antes de la adopción, las circunstancias de vida en que se desenvolvían (como orfanatorios, hogares de adopción o ambos) y la escasez de atención médica fiable en algunos países en desarrollo, hacen que su valoración sea una tarea muy difícil, aunque de suma importancia en su cuidado. y alcohol, y recibir orientación sobre prácticas sexuales seguras para proteger a sus compañeros de sexo y a la comunidad en su totalidad (</w:t>
      </w:r>
      <w:hyperlink r:id="rId370" w:history="1">
        <w:r>
          <w:t>www.hepprograms.org</w:t>
        </w:r>
      </w:hyperlink>
      <w:r>
        <w:t>). Estudios recientes que han valorado la terapia con antivíricos sugieren mejores resultados si se emprende su administración en forma oportuna. Se cuenta con tratamientos terapéuticos que incorporan el empleo de interferón alfa, ribavirina e interferón pegilado en adultos con hepatitis C crónica (infección vírica). Sin embargo, en Estados Unidos la FDA no ha aprobado el uso de dichos regímenes para personas menores de 18 años. La consulta con un especialista experto en hepatopatías crónicas permitirá esclarecer las opciones de nuevos tratamientos, y si han sido aprobados para usar en niños (</w:t>
      </w:r>
      <w:hyperlink r:id="rId371" w:history="1">
        <w:r>
          <w:t>www.niddk.nih.gov/health/digest/pubs/chrnhepc/chrnhepc.htm</w:t>
        </w:r>
      </w:hyperlink>
      <w:r>
        <w:t>). Si el adolescente tiene una infección por virus de hepatitis C diagnosticada debe recibir vacunas contra los virus de hepatitis A y B si no fue inmunizado previamente.</w:t>
      </w:r>
    </w:p>
    <w:p w14:paraId="50B4296D" w14:textId="77777777" w:rsidR="0072615D" w:rsidRDefault="0072615D">
      <w:pPr>
        <w:pStyle w:val="BodyText"/>
        <w:spacing w:after="560"/>
        <w:ind w:left="420" w:firstLine="340"/>
      </w:pPr>
      <w:r>
        <w:t>Se ha definido con certeza la enorme frecuencia de hepatitis en las poblaciones de jóvenes en correccionales. Tales instituciones, de forma conjunta con los departamentos de salud pública y otros recursos de la comunidad, tienen la oportunidad de valorar, incluir, erradicar y evitar la infección del hígado en un segmento tan vulnerable de la sociedad como son los jóvenes internados. La hepatitis C constituye uno de los grandes problemas dentro de las correccionales en su conjunto porque no se cuenta con una vacuna para proteger a los prisioneros y al público. La cifra extraordinariamente grande de estado de portador crónico en sujetos ya infectados, agrava el peligro para sus propias comunidades al ser liberados. La naturaleza controlada del sistema correccional permite emprender muchas de las estrategias de prevención y tratamiento de la hepatitis en una población de niños que por lo demás sería difícil de abordar. Los pediatras deben colaborar con las organizaciones de salud pública estatales y locales, así como con los administradores de correccionales, para ocuparse de las necesidades sanitarias de los jóvenes detenidos y también para proteger a la comunidad en su totalidad.</w:t>
      </w:r>
    </w:p>
    <w:p w14:paraId="2AA60D05" w14:textId="77777777" w:rsidR="0072615D" w:rsidRDefault="0072615D">
      <w:pPr>
        <w:pStyle w:val="Bodytext100"/>
        <w:spacing w:after="60" w:line="298" w:lineRule="auto"/>
        <w:ind w:left="1100"/>
        <w:jc w:val="left"/>
      </w:pPr>
      <w:r>
        <w:rPr>
          <w:sz w:val="34"/>
          <w:szCs w:val="34"/>
        </w:rPr>
        <w:t>V</w:t>
      </w:r>
      <w:r>
        <w:t>aloración médica inicial en busca</w:t>
      </w:r>
    </w:p>
    <w:p w14:paraId="3F4E4B2A" w14:textId="77777777" w:rsidR="0072615D" w:rsidRDefault="0072615D">
      <w:pPr>
        <w:pStyle w:val="Other0"/>
        <w:spacing w:after="60" w:line="389" w:lineRule="auto"/>
        <w:ind w:firstLine="0"/>
        <w:jc w:val="center"/>
        <w:rPr>
          <w:sz w:val="32"/>
          <w:szCs w:val="32"/>
        </w:rPr>
      </w:pPr>
      <w:r>
        <w:rPr>
          <w:rFonts w:ascii="Times New Roman" w:eastAsia="Times New Roman" w:hAnsi="Times New Roman" w:cs="Times New Roman"/>
          <w:sz w:val="26"/>
          <w:szCs w:val="26"/>
        </w:rPr>
        <w:t>DE ENFERMEDADES INFECCIOSAS EN NIÑOS</w:t>
      </w:r>
      <w:r>
        <w:rPr>
          <w:rFonts w:ascii="Times New Roman" w:eastAsia="Times New Roman" w:hAnsi="Times New Roman" w:cs="Times New Roman"/>
          <w:sz w:val="26"/>
          <w:szCs w:val="26"/>
        </w:rPr>
        <w:br/>
        <w:t>EXTRANJEROS ADOPTADOS</w:t>
      </w:r>
      <w:r>
        <w:rPr>
          <w:rFonts w:ascii="Times New Roman" w:eastAsia="Times New Roman" w:hAnsi="Times New Roman" w:cs="Times New Roman"/>
          <w:sz w:val="32"/>
          <w:szCs w:val="32"/>
        </w:rPr>
        <w:footnoteReference w:id="79"/>
      </w:r>
    </w:p>
    <w:p w14:paraId="39A655A3" w14:textId="77777777" w:rsidR="0072615D" w:rsidRDefault="0072615D">
      <w:pPr>
        <w:pStyle w:val="BodyText"/>
        <w:spacing w:after="300"/>
        <w:ind w:left="420" w:firstLine="0"/>
        <w:sectPr w:rsidR="0072615D" w:rsidSect="0072615D">
          <w:headerReference w:type="even" r:id="rId372"/>
          <w:headerReference w:type="default" r:id="rId373"/>
          <w:footerReference w:type="even" r:id="rId374"/>
          <w:footerReference w:type="default" r:id="rId375"/>
          <w:footnotePr>
            <w:numFmt w:val="chicago"/>
          </w:footnotePr>
          <w:type w:val="continuous"/>
          <w:pgSz w:w="8501" w:h="13022"/>
          <w:pgMar w:top="699" w:right="614" w:bottom="429" w:left="518" w:header="0" w:footer="1" w:gutter="0"/>
          <w:cols w:space="720"/>
          <w:noEndnote/>
          <w:docGrid w:linePitch="360"/>
          <w15:footnoteColumns w:val="1"/>
        </w:sectPr>
      </w:pPr>
      <w:r>
        <w:t>Cada año familias de Estados Unidos adoptan más de 18 000 niños de otros países. Más de 90% de los pequeños extranjeros adoptados provienen de Asia (China, Corea del Sur, Vietnam, india y Camboya), América del Centro y del Sur (Guatemala y Colombia) y países en el este de Europa (Rusia, Rumania, Ucrania, Kazajstan y Bulgaria). Son muy pocos los niños provenientes de África y el Medio Oriente que son adoptados en Estados Unidos. Los orígenes diversos de los menores, el desconocimiento de sus antecedentes clínicos antes de la adopción, las circunstancias de vida en que se desenvolvían (como orfanatorios, hogares de adopción o ambos) y la escasez de atención médica fiable en algunos países en desarrollo, hacen que su valoración sea una tarea muy difícil, aunque de suma importancia en su cuidado.</w:t>
      </w:r>
    </w:p>
    <w:p w14:paraId="3D301DB7" w14:textId="77777777" w:rsidR="0072615D" w:rsidRDefault="0072615D">
      <w:pPr>
        <w:pStyle w:val="BodyText"/>
        <w:ind w:left="420" w:firstLine="340"/>
      </w:pPr>
      <w:r>
        <w:t>Los niños extranjeros adoptados pueden diferir de los refugiados en cuanto a su valoración y tratamiento médicos antes de llegar a Estados Unidos (país de adopción), y en la frecuencia de algunas enfermedades infecciosas. Los niños refugiados posiblemente estuvieron en campos de confinamiento durante meses y quizá en ellos recibieron atención y tratamiento médicos, pero es muy variable el acceso a la atención clínica y la calidad de la misma en el caso de pequeños de otras naciones. A todos los niños en adopción y los refugiados se les practica obligatoriamente una exploración clínica, tarea de un médico designado por el Departamento de Estado norteamericano, en su país de origen antes de internarse en Estados Unidos. Sin embargo, dicho examen o exploración se limita a completar las exigencias legales para la identificación sistemática de algunas enfermedades transmisibles y también la búsqueda de algunos defectos físicos o psíquicos graves que constituirían un impedimento para concederles la visa de residencia permanente. Tal valoración no constituye un examen integral de la salud del menor. Los documentos médicos que acompañan a los niños extranjeros adoptados por lo común son obsoletos y tal vez inexactos y no se cuenta con un solo método de saber si tales datos son fiables. Por todo lo comentado, la valoración y el tratamiento médicos que se basen sólo en tales registros pueden hacer que la detección de enfermedades infecciosas sea inadecuada y se retrase el inicio, o bien se omitan algunas medidas preventivas como serían las vacunaciones.</w:t>
      </w:r>
    </w:p>
    <w:p w14:paraId="79F0C49A" w14:textId="77777777" w:rsidR="0072615D" w:rsidRDefault="0072615D">
      <w:pPr>
        <w:pStyle w:val="BodyText"/>
        <w:ind w:left="420" w:firstLine="340"/>
      </w:pPr>
      <w:r>
        <w:t>Las enfermedades infecciosas constituyen algunas de las entidades médicas que se identifican con mayor frecuencia en los niños adoptados extranjeros en el primer día de revisión sistemática después de su llegada a Estados Unidos. Los menores pueden estar asintomáticos y por tal razón, los diagnósticos se formularán gracias a estudios de detección sistemática además de la anamnesis y la exploración física. Ante el hecho de que en etapa prenatal no se hicieron estudios de detección sistemática de virus de hepatitis B, sífilis y virus de inmunodeficiencia humana (VIH), y ante la elevada prevalencia de algunas parasitosis intestinales y tuberculosis, habrá que someter a dicho tipo de investigación a todos los adoptados extranjeros al llegar a Estados Unidos. En el cuadro 2-17 se incluyen las pruebas de detección sistemática de enfermedades infecciosas que se sugieren en tal etapa (véanse los resúmenes en la sección 3, con datos específicos de cada enfermedad). Además de las infecciones, hay que integrar como parte de la valoración de todo niño adoptado, otros aspectos médicos y del desarrollo que incluyen evaluación de la audición y la visión, del crecimiento y el desarrollo y la nutrición, conocer la exposición al plomo, hemogramas e índices de eritrocitos completos y examen físico en busca de anomalías congénitas.</w:t>
      </w:r>
    </w:p>
    <w:p w14:paraId="24B340F5" w14:textId="77777777" w:rsidR="0072615D" w:rsidRDefault="0072615D">
      <w:pPr>
        <w:pStyle w:val="BodyText"/>
        <w:spacing w:after="100"/>
        <w:ind w:left="420" w:firstLine="340"/>
      </w:pPr>
      <w:r>
        <w:t>Los niños extranjeros adoptados deben ser examinados en término de dos semanas de su internamiento a Estados Unidos o en fecha anterior si hay alguna duda clínica o sanitaria inmediata. Los padres por lo común tienen escasa información sobre el niño antes de adoptarlo. Es conveniente que ellos se reúnan con el médico antes de la adopción para revisar la información disponible y comentar problemas médicos comunes en cuanto a sus futuros hijos adoptivos. Los progenitores que no se han reunido con el médico antes de la adopción deben avisarle el momento en que su hijo llega, de tal forma que se pueda concertar oportunamente una valoración clínica inicial.</w:t>
      </w:r>
    </w:p>
    <w:p w14:paraId="0BCFB7F8" w14:textId="77777777" w:rsidR="0072615D" w:rsidRDefault="0072615D">
      <w:pPr>
        <w:pStyle w:val="Bodytext70"/>
        <w:ind w:firstLine="420"/>
      </w:pPr>
      <w:r>
        <w:t>Hepatitis vírica</w:t>
      </w:r>
    </w:p>
    <w:p w14:paraId="3AD16B14" w14:textId="77777777" w:rsidR="0072615D" w:rsidRDefault="0072615D">
      <w:pPr>
        <w:pStyle w:val="BodyText"/>
        <w:spacing w:after="160" w:line="290" w:lineRule="auto"/>
        <w:ind w:left="420" w:firstLine="0"/>
        <w:rPr>
          <w:sz w:val="16"/>
          <w:szCs w:val="16"/>
        </w:rPr>
      </w:pPr>
      <w:r>
        <w:t xml:space="preserve">La prevalencia de los marcadores de la infección por el virus de hepatitis B </w:t>
      </w:r>
      <w:r>
        <w:rPr>
          <w:i/>
          <w:iCs/>
        </w:rPr>
        <w:t>(</w:t>
      </w:r>
      <w:r>
        <w:rPr>
          <w:rFonts w:ascii="Times New Roman" w:eastAsia="Times New Roman" w:hAnsi="Times New Roman" w:cs="Times New Roman"/>
          <w:i/>
          <w:iCs/>
          <w:sz w:val="16"/>
          <w:szCs w:val="16"/>
        </w:rPr>
        <w:t>hepatitis B virus</w:t>
      </w:r>
      <w:r>
        <w:rPr>
          <w:i/>
          <w:iCs/>
        </w:rPr>
        <w:t>,</w:t>
      </w:r>
      <w:r>
        <w:t xml:space="preserve"> HBV) que incluye el antígeno de superficie de dicha partícula </w:t>
      </w:r>
      <w:r>
        <w:rPr>
          <w:i/>
          <w:iCs/>
        </w:rPr>
        <w:t>(</w:t>
      </w:r>
      <w:r>
        <w:rPr>
          <w:rFonts w:ascii="Times New Roman" w:eastAsia="Times New Roman" w:hAnsi="Times New Roman" w:cs="Times New Roman"/>
          <w:i/>
          <w:iCs/>
          <w:sz w:val="16"/>
          <w:szCs w:val="16"/>
        </w:rPr>
        <w:t>hepatitis B surface</w:t>
      </w:r>
    </w:p>
    <w:p w14:paraId="0F05AAC5" w14:textId="77777777" w:rsidR="0072615D" w:rsidRDefault="0072615D">
      <w:pPr>
        <w:pStyle w:val="Heading31"/>
        <w:keepNext/>
        <w:keepLines/>
        <w:pBdr>
          <w:bottom w:val="single" w:sz="4" w:space="0" w:color="auto"/>
        </w:pBdr>
        <w:spacing w:after="400" w:line="211" w:lineRule="auto"/>
        <w:jc w:val="center"/>
      </w:pPr>
      <w:bookmarkStart w:id="545" w:name="bookmark545"/>
      <w:bookmarkStart w:id="546" w:name="bookmark546"/>
      <w:bookmarkStart w:id="547" w:name="bookmark547"/>
      <w:r>
        <w:rPr>
          <w:b w:val="0"/>
          <w:bCs w:val="0"/>
        </w:rPr>
        <w:t xml:space="preserve">Cuadro 2-17. </w:t>
      </w:r>
      <w:r>
        <w:t>Métodos de detección sistemática de enfermedades</w:t>
      </w:r>
      <w:r>
        <w:br/>
        <w:t>infecciosas en niños extranjeros adoptados</w:t>
      </w:r>
      <w:bookmarkEnd w:id="545"/>
      <w:bookmarkEnd w:id="546"/>
      <w:bookmarkEnd w:id="547"/>
    </w:p>
    <w:p w14:paraId="67750C80" w14:textId="77777777" w:rsidR="0072615D" w:rsidRDefault="0072615D">
      <w:pPr>
        <w:pStyle w:val="Bodytext20"/>
        <w:spacing w:line="295" w:lineRule="auto"/>
        <w:ind w:firstLine="460"/>
        <w:jc w:val="both"/>
      </w:pPr>
      <w:r>
        <w:t>Pruebas serológicas para detectar virus de hepatitis B</w:t>
      </w:r>
    </w:p>
    <w:p w14:paraId="106D688A" w14:textId="77777777" w:rsidR="0072615D" w:rsidRDefault="0072615D">
      <w:pPr>
        <w:pStyle w:val="Bodytext20"/>
        <w:spacing w:line="295" w:lineRule="auto"/>
        <w:ind w:firstLine="540"/>
        <w:jc w:val="both"/>
      </w:pPr>
      <w:r>
        <w:t>Antígeno de superficie de hepatitis B (HBsAg)</w:t>
      </w:r>
    </w:p>
    <w:p w14:paraId="50502809" w14:textId="77777777" w:rsidR="0072615D" w:rsidRDefault="0072615D">
      <w:pPr>
        <w:pStyle w:val="Bodytext20"/>
        <w:spacing w:line="295" w:lineRule="auto"/>
        <w:ind w:firstLine="540"/>
        <w:jc w:val="both"/>
      </w:pPr>
      <w:r>
        <w:t>Anticuerpo contra el antígeno de superficie HB (anti-HBs)</w:t>
      </w:r>
    </w:p>
    <w:p w14:paraId="2E1CBA10" w14:textId="77777777" w:rsidR="0072615D" w:rsidRDefault="0072615D">
      <w:pPr>
        <w:pStyle w:val="Bodytext20"/>
        <w:spacing w:line="295" w:lineRule="auto"/>
        <w:ind w:firstLine="540"/>
      </w:pPr>
      <w:r>
        <w:t>Anticuerpo contra el antígeno central de hepatitis B (anti-HBc)</w:t>
      </w:r>
    </w:p>
    <w:p w14:paraId="1F1AB4A8" w14:textId="77777777" w:rsidR="0072615D" w:rsidRDefault="0072615D">
      <w:pPr>
        <w:pStyle w:val="Bodytext20"/>
        <w:spacing w:line="295" w:lineRule="auto"/>
        <w:ind w:firstLine="460"/>
        <w:jc w:val="both"/>
      </w:pPr>
      <w:r>
        <w:t>Métodos serológicos para detectar virus de hepatitis C (véase el texto)</w:t>
      </w:r>
    </w:p>
    <w:p w14:paraId="5E915763" w14:textId="77777777" w:rsidR="0072615D" w:rsidRDefault="0072615D">
      <w:pPr>
        <w:pStyle w:val="Bodytext20"/>
        <w:spacing w:line="295" w:lineRule="auto"/>
        <w:ind w:firstLine="460"/>
        <w:jc w:val="both"/>
      </w:pPr>
      <w:r>
        <w:t>Métodos serológicos para detectar sífilis</w:t>
      </w:r>
    </w:p>
    <w:p w14:paraId="08D26050" w14:textId="77777777" w:rsidR="0072615D" w:rsidRDefault="0072615D">
      <w:pPr>
        <w:pStyle w:val="Bodytext20"/>
        <w:spacing w:line="295" w:lineRule="auto"/>
        <w:ind w:firstLine="540"/>
        <w:jc w:val="both"/>
      </w:pPr>
      <w:r>
        <w:t>Pruebas sin treponemas (RPR, VDRL, ART)</w:t>
      </w:r>
    </w:p>
    <w:p w14:paraId="09C58D65" w14:textId="77777777" w:rsidR="0072615D" w:rsidRDefault="0072615D">
      <w:pPr>
        <w:pStyle w:val="Bodytext20"/>
        <w:spacing w:line="295" w:lineRule="auto"/>
        <w:ind w:firstLine="540"/>
        <w:jc w:val="both"/>
      </w:pPr>
      <w:r>
        <w:t>Pruebas con treponemas (MHA-TP, FTA-ABS)</w:t>
      </w:r>
    </w:p>
    <w:p w14:paraId="7ACE153C" w14:textId="77777777" w:rsidR="0072615D" w:rsidRDefault="0072615D">
      <w:pPr>
        <w:pStyle w:val="Bodytext20"/>
        <w:spacing w:line="295" w:lineRule="auto"/>
        <w:ind w:firstLine="460"/>
        <w:jc w:val="both"/>
      </w:pPr>
      <w:r>
        <w:t>Pruebas serológicas para detectar virus 1 y 2 de inmunodeficiencia humana</w:t>
      </w:r>
    </w:p>
    <w:p w14:paraId="4F118BD1" w14:textId="77777777" w:rsidR="0072615D" w:rsidRDefault="0072615D">
      <w:pPr>
        <w:pStyle w:val="Bodytext20"/>
        <w:spacing w:line="295" w:lineRule="auto"/>
        <w:ind w:firstLine="460"/>
        <w:jc w:val="both"/>
      </w:pPr>
      <w:r>
        <w:t>Hemograma completo con índices eritrocíticos</w:t>
      </w:r>
    </w:p>
    <w:p w14:paraId="6F2DB5DA" w14:textId="77777777" w:rsidR="0072615D" w:rsidRDefault="0072615D">
      <w:pPr>
        <w:pStyle w:val="Bodytext20"/>
        <w:spacing w:line="295" w:lineRule="auto"/>
        <w:ind w:firstLine="460"/>
        <w:jc w:val="both"/>
      </w:pPr>
      <w:r>
        <w:t>Coproparasitoscópico en busca de huevecillos y parásitos (tres muestras)</w:t>
      </w:r>
      <w:r>
        <w:rPr>
          <w:vertAlign w:val="superscript"/>
        </w:rPr>
        <w:footnoteReference w:id="80"/>
      </w:r>
      <w:r>
        <w:rPr>
          <w:vertAlign w:val="superscript"/>
        </w:rPr>
        <w:t xml:space="preserve"> </w:t>
      </w:r>
      <w:r>
        <w:rPr>
          <w:vertAlign w:val="superscript"/>
        </w:rPr>
        <w:footnoteReference w:id="81"/>
      </w:r>
    </w:p>
    <w:p w14:paraId="47A65FBC" w14:textId="77777777" w:rsidR="0072615D" w:rsidRDefault="0072615D">
      <w:pPr>
        <w:pStyle w:val="Bodytext20"/>
        <w:pBdr>
          <w:bottom w:val="single" w:sz="4" w:space="0" w:color="auto"/>
        </w:pBdr>
        <w:spacing w:line="295" w:lineRule="auto"/>
        <w:ind w:left="460"/>
        <w:rPr>
          <w:sz w:val="19"/>
          <w:szCs w:val="19"/>
        </w:rPr>
      </w:pPr>
      <w:r>
        <w:t xml:space="preserve">Coproparisotoscópico en busca de antígenos de </w:t>
      </w:r>
      <w:r>
        <w:rPr>
          <w:i/>
          <w:iCs/>
        </w:rPr>
        <w:t>Giardia lambli</w:t>
      </w:r>
      <w:r>
        <w:rPr>
          <w:i/>
          <w:iCs/>
          <w:sz w:val="15"/>
          <w:szCs w:val="15"/>
        </w:rPr>
        <w:t>a</w:t>
      </w:r>
      <w:r>
        <w:t xml:space="preserve"> y </w:t>
      </w:r>
      <w:r>
        <w:rPr>
          <w:i/>
          <w:iCs/>
        </w:rPr>
        <w:t>Cryptosporidia</w:t>
      </w:r>
      <w:r>
        <w:t xml:space="preserve"> (una muestra)</w:t>
      </w:r>
      <w:r>
        <w:rPr>
          <w:vertAlign w:val="superscript"/>
        </w:rPr>
        <w:t xml:space="preserve">1 </w:t>
      </w:r>
      <w:r>
        <w:t>Cutirreacción con tuberculina</w:t>
      </w:r>
      <w:r>
        <w:rPr>
          <w:vertAlign w:val="superscript"/>
        </w:rPr>
        <w:t>1</w:t>
      </w:r>
      <w:r>
        <w:t xml:space="preserve"> </w:t>
      </w:r>
      <w:r>
        <w:rPr>
          <w:rStyle w:val="BodyTextChar"/>
        </w:rPr>
        <w:t>métodos de estudio en busca de dicha enfermedad en el menor. La institución de la vacunación obligatoria contra HBV en los niños en Estados Unidos ayuda a disminuir el peligro de la infección por dicho virus en los contactos escolares y en el núcleo hogareño del niño adoptado, pero muchos adultos quizá no estén inmunizados contra dicha forma de hepatitis. Habrá que vacunar con HBV a todos los contactos hogareños susceptibles del niño al que, una vez en Estados Unidos, se le detecta la presencia del antígeno de superficie de HB. En el caso de que no se identifique dicho antígeno, el niño adoptado debe ser vacunado contra HBV tan pronto sea posible, y para ello se seguirá el calendario recomendado de vacunaciones en niños y adolescentes (véase fig. 1-1). No es necesario vacunar al niño que tiene antígeno de superficie y anticuerpos contra el antígeno central de la hepatitis B.</w:t>
      </w:r>
    </w:p>
    <w:p w14:paraId="54B38CBB" w14:textId="77777777" w:rsidR="0072615D" w:rsidRDefault="0072615D">
      <w:pPr>
        <w:pStyle w:val="BodyText"/>
        <w:ind w:left="400" w:firstLine="340"/>
      </w:pPr>
      <w:r>
        <w:t>El virus de hepatitis D, que aparece sólo junto con la réplica activa de HBV, puede identificarse en niños adoptados, particularmente los provenientes del este de Europa, África, América del Sur y Oriente Medio. Se cuenta con métodos serológicos para identificar la infección por el virus de hepatitis D (véase “Hepatitis D”, sección 3), pero no se recomienda su práctica sistemática porque la positividad de la prueba, es decir, la presencia de dicho virus no modifica el tratamiento clínico.</w:t>
      </w:r>
    </w:p>
    <w:p w14:paraId="072ACF2F" w14:textId="77777777" w:rsidR="0072615D" w:rsidRDefault="0072615D">
      <w:pPr>
        <w:pStyle w:val="BodyText"/>
        <w:ind w:left="400" w:firstLine="340"/>
      </w:pPr>
      <w:r>
        <w:t xml:space="preserve">Muchos niños extranjeros adoptados se han contagiado del virus de hepatitis A </w:t>
      </w:r>
      <w:r>
        <w:rPr>
          <w:i/>
          <w:iCs/>
        </w:rPr>
        <w:t>(</w:t>
      </w:r>
      <w:r>
        <w:rPr>
          <w:rFonts w:ascii="Times New Roman" w:eastAsia="Times New Roman" w:hAnsi="Times New Roman" w:cs="Times New Roman"/>
          <w:i/>
          <w:iCs/>
          <w:sz w:val="16"/>
          <w:szCs w:val="16"/>
        </w:rPr>
        <w:t>hepatitis A virus</w:t>
      </w:r>
      <w:r>
        <w:rPr>
          <w:i/>
          <w:iCs/>
        </w:rPr>
        <w:t>,</w:t>
      </w:r>
      <w:r>
        <w:t xml:space="preserve"> HAV) en los comienzos de su vida y, por tal motivo, poseen ya protección. No están indicados los métodos sistemáticos serológicos para detectar anticuerpos contra HAV, y así identificar a niños susceptibles. Sin embargo, debido a que en algunas zonas de Estados Unidos se recomienda comenzar antes de los dos años de edad las vacunaciones sistemáticas de los niños contra HAV (véase “Hepatitis A”, sección 3), cabe pensar en la búsqueda de anticuerpos contra HAV como un método económico para saber si los niños en cuestión tienen signos de haber padecido la infección. Si el menor no tiene signos de que tuvo la infección, pero vive en una zona de alto riesgo, deberá ser vacunado contra la hepatitis A.</w:t>
      </w:r>
    </w:p>
    <w:p w14:paraId="105AEB1C" w14:textId="77777777" w:rsidR="0072615D" w:rsidRDefault="0072615D">
      <w:pPr>
        <w:pStyle w:val="BodyText"/>
        <w:spacing w:after="100"/>
        <w:ind w:left="400" w:firstLine="340"/>
      </w:pPr>
      <w:r>
        <w:t>La detección serológica sistemática en busca de infección por el virus de hepatitis C no está indicada por la baja prevalencia de infección en casi toda la zona. Sin embargo, hay que practicar tal método en niños que provienen de China, Rusia, Este de Europa y el Sudeste Asiático. La decisión de practicar métodos serológicos sistemáticamente a niños de otras zonas dependerá de los datos de anamnesis (p. ej., haber recibido hemoderivados, consumo de drogas por la madre) y la prevalencia de la infección en el país de origen del niño.</w:t>
      </w:r>
    </w:p>
    <w:p w14:paraId="0AFA4B05" w14:textId="77777777" w:rsidR="0072615D" w:rsidRDefault="0072615D">
      <w:pPr>
        <w:pStyle w:val="Bodytext70"/>
        <w:ind w:firstLine="400"/>
      </w:pPr>
      <w:r>
        <w:t>Virus citomegálico</w:t>
      </w:r>
    </w:p>
    <w:p w14:paraId="3F1CBAFC" w14:textId="77777777" w:rsidR="0072615D" w:rsidRDefault="0072615D">
      <w:pPr>
        <w:pStyle w:val="BodyText"/>
        <w:spacing w:after="100"/>
        <w:ind w:firstLine="400"/>
      </w:pPr>
      <w:r>
        <w:t>No se recomienda la identificación sistemática de los virus citomegálicos.</w:t>
      </w:r>
    </w:p>
    <w:p w14:paraId="4C3E29EA" w14:textId="77777777" w:rsidR="0072615D" w:rsidRDefault="0072615D">
      <w:pPr>
        <w:pStyle w:val="Bodytext70"/>
        <w:ind w:firstLine="400"/>
      </w:pPr>
      <w:r>
        <w:t>Enteropatógenos</w:t>
      </w:r>
    </w:p>
    <w:p w14:paraId="07DAE415" w14:textId="77777777" w:rsidR="0072615D" w:rsidRDefault="0072615D">
      <w:pPr>
        <w:pStyle w:val="BodyText"/>
        <w:spacing w:after="100" w:line="276" w:lineRule="auto"/>
        <w:ind w:left="400" w:firstLine="0"/>
      </w:pPr>
      <w:r>
        <w:t xml:space="preserve">Por medio del estudio coproparasitoscópico en busca de huevecillos y parásitos, hecho por un laboratorio experto, se podrá identificar algún elemento patógeno en 15 a 35% de los niños extranjeros adoptados. La prevalencia de parásitos intestinales varía con la edad del menor y su país de origen. Los patógenos identificados con mayor frecuencia son </w:t>
      </w:r>
      <w:r>
        <w:rPr>
          <w:rFonts w:ascii="Times New Roman" w:eastAsia="Times New Roman" w:hAnsi="Times New Roman" w:cs="Times New Roman"/>
          <w:i/>
          <w:iCs/>
          <w:sz w:val="16"/>
          <w:szCs w:val="16"/>
        </w:rPr>
        <w:t>Giardia lamblia</w:t>
      </w:r>
      <w:r>
        <w:rPr>
          <w:i/>
          <w:iCs/>
        </w:rPr>
        <w:t>,</w:t>
      </w:r>
      <w:r>
        <w:t xml:space="preserve"> especies de </w:t>
      </w:r>
      <w:r>
        <w:rPr>
          <w:rFonts w:ascii="Times New Roman" w:eastAsia="Times New Roman" w:hAnsi="Times New Roman" w:cs="Times New Roman"/>
          <w:i/>
          <w:iCs/>
          <w:sz w:val="16"/>
          <w:szCs w:val="16"/>
        </w:rPr>
        <w:t>Hymenolepis</w:t>
      </w:r>
      <w:r>
        <w:rPr>
          <w:i/>
          <w:iCs/>
        </w:rPr>
        <w:t xml:space="preserve">, </w:t>
      </w:r>
      <w:r>
        <w:rPr>
          <w:rFonts w:ascii="Times New Roman" w:eastAsia="Times New Roman" w:hAnsi="Times New Roman" w:cs="Times New Roman"/>
          <w:i/>
          <w:iCs/>
          <w:sz w:val="16"/>
          <w:szCs w:val="16"/>
        </w:rPr>
        <w:t>Ascaris lumbricoiodes</w:t>
      </w:r>
      <w:r>
        <w:t xml:space="preserve"> y </w:t>
      </w:r>
      <w:r>
        <w:rPr>
          <w:rFonts w:ascii="Times New Roman" w:eastAsia="Times New Roman" w:hAnsi="Times New Roman" w:cs="Times New Roman"/>
          <w:i/>
          <w:iCs/>
          <w:sz w:val="16"/>
          <w:szCs w:val="16"/>
        </w:rPr>
        <w:t>Trichuris trichiura</w:t>
      </w:r>
      <w:r>
        <w:rPr>
          <w:i/>
          <w:iCs/>
        </w:rPr>
        <w:t xml:space="preserve">. </w:t>
      </w:r>
      <w:r>
        <w:t xml:space="preserve">Se identifican con menor frecuencia parásitos como </w:t>
      </w:r>
      <w:r>
        <w:rPr>
          <w:rFonts w:ascii="Times New Roman" w:eastAsia="Times New Roman" w:hAnsi="Times New Roman" w:cs="Times New Roman"/>
          <w:i/>
          <w:iCs/>
          <w:sz w:val="16"/>
          <w:szCs w:val="16"/>
        </w:rPr>
        <w:t>Strongyloides stercoralis</w:t>
      </w:r>
      <w:r>
        <w:rPr>
          <w:i/>
          <w:iCs/>
        </w:rPr>
        <w:t xml:space="preserve">, </w:t>
      </w:r>
      <w:r>
        <w:rPr>
          <w:rFonts w:ascii="Times New Roman" w:eastAsia="Times New Roman" w:hAnsi="Times New Roman" w:cs="Times New Roman"/>
          <w:i/>
          <w:iCs/>
          <w:sz w:val="16"/>
          <w:szCs w:val="16"/>
        </w:rPr>
        <w:t>Entamoeba histolytica</w:t>
      </w:r>
      <w:r>
        <w:t xml:space="preserve"> y uncinarias. Por lo común basta una muestra de excremento para la identificación de huevecillos y parásitos intestinales en niños asintomáticos, aunque algunos expertos recomiendan someter a pruebas tres muestras para detectar invasión por </w:t>
      </w:r>
      <w:r>
        <w:rPr>
          <w:rFonts w:ascii="Times New Roman" w:eastAsia="Times New Roman" w:hAnsi="Times New Roman" w:cs="Times New Roman"/>
          <w:i/>
          <w:iCs/>
          <w:sz w:val="16"/>
          <w:szCs w:val="16"/>
        </w:rPr>
        <w:t>Ascaris</w:t>
      </w:r>
      <w:r>
        <w:t xml:space="preserve"> y tenias, que pudieran ser asintomáticas. Si existen signos o síntomas de vías gastrointestinales o malnutrición, habrá necesidad de analizar tres muestras de excremento de dichos niños sintomáticos en busca de huevecillos y parásitos, además de la muestra en la cual se buscó el antígeno de </w:t>
      </w:r>
      <w:r>
        <w:rPr>
          <w:rFonts w:ascii="Times New Roman" w:eastAsia="Times New Roman" w:hAnsi="Times New Roman" w:cs="Times New Roman"/>
          <w:i/>
          <w:iCs/>
          <w:sz w:val="16"/>
          <w:szCs w:val="16"/>
        </w:rPr>
        <w:t>G. lamblia</w:t>
      </w:r>
      <w:r>
        <w:t xml:space="preserve"> y </w:t>
      </w:r>
      <w:r>
        <w:rPr>
          <w:rFonts w:ascii="Times New Roman" w:eastAsia="Times New Roman" w:hAnsi="Times New Roman" w:cs="Times New Roman"/>
          <w:i/>
          <w:iCs/>
          <w:sz w:val="16"/>
          <w:szCs w:val="16"/>
        </w:rPr>
        <w:t>Cryptosporidium parvum</w:t>
      </w:r>
      <w:r>
        <w:rPr>
          <w:i/>
          <w:iCs/>
        </w:rPr>
        <w:t>.</w:t>
      </w:r>
      <w:r>
        <w:t xml:space="preserve"> Además, se hará cultivo de muestras de excrementos en niños con diarrea, en busca de especies de </w:t>
      </w:r>
      <w:r>
        <w:rPr>
          <w:rFonts w:ascii="Times New Roman" w:eastAsia="Times New Roman" w:hAnsi="Times New Roman" w:cs="Times New Roman"/>
          <w:i/>
          <w:iCs/>
          <w:sz w:val="16"/>
          <w:szCs w:val="16"/>
        </w:rPr>
        <w:t>Salmonella</w:t>
      </w:r>
      <w:r>
        <w:rPr>
          <w:i/>
          <w:iCs/>
        </w:rPr>
        <w:t xml:space="preserve">, </w:t>
      </w:r>
      <w:r>
        <w:rPr>
          <w:rFonts w:ascii="Times New Roman" w:eastAsia="Times New Roman" w:hAnsi="Times New Roman" w:cs="Times New Roman"/>
          <w:i/>
          <w:iCs/>
          <w:sz w:val="16"/>
          <w:szCs w:val="16"/>
        </w:rPr>
        <w:t>Shigella</w:t>
      </w:r>
      <w:r>
        <w:rPr>
          <w:i/>
          <w:iCs/>
        </w:rPr>
        <w:t xml:space="preserve">, </w:t>
      </w:r>
      <w:r>
        <w:rPr>
          <w:rFonts w:ascii="Times New Roman" w:eastAsia="Times New Roman" w:hAnsi="Times New Roman" w:cs="Times New Roman"/>
          <w:i/>
          <w:iCs/>
          <w:sz w:val="16"/>
          <w:szCs w:val="16"/>
        </w:rPr>
        <w:t>Campylobacter</w:t>
      </w:r>
      <w:r>
        <w:t xml:space="preserve"> y </w:t>
      </w:r>
      <w:r>
        <w:rPr>
          <w:rFonts w:ascii="Times New Roman" w:eastAsia="Times New Roman" w:hAnsi="Times New Roman" w:cs="Times New Roman"/>
          <w:i/>
          <w:iCs/>
          <w:sz w:val="16"/>
          <w:szCs w:val="16"/>
        </w:rPr>
        <w:t>Escherichia coli</w:t>
      </w:r>
      <w:r>
        <w:t xml:space="preserve"> O157:H7. La terapia para erradicar los parásitos intestinales por lo común brinda resultados satisfactorios, pero no siempre hay erradicación total de ellos. Por tal motivo, es importante repetir las pruebas de identificación de huevecillos y parásitos después de tratar a niños que siguen estando sintomáticos, y así se podrá eliminar satisfactoriamente los parásitos. Además, hay que valorar de nuevo en busca de los parásitos mencionados a todos los niños con signos o síntomas de vías gastrointestinales que surgen o reaparecen meses o años después de haber llegado los menores a Estados Unidos. Es posible que con los métodos de detección inicial de huevecillos y parásitos no se detecten algunos parásitos de los intestinos como especies de </w:t>
      </w:r>
      <w:r>
        <w:rPr>
          <w:rFonts w:ascii="Times New Roman" w:eastAsia="Times New Roman" w:hAnsi="Times New Roman" w:cs="Times New Roman"/>
          <w:i/>
          <w:iCs/>
          <w:sz w:val="16"/>
          <w:szCs w:val="16"/>
        </w:rPr>
        <w:t>Cyclospora</w:t>
      </w:r>
      <w:r>
        <w:t xml:space="preserve"> y </w:t>
      </w:r>
      <w:r>
        <w:rPr>
          <w:rFonts w:ascii="Times New Roman" w:eastAsia="Times New Roman" w:hAnsi="Times New Roman" w:cs="Times New Roman"/>
          <w:i/>
          <w:iCs/>
          <w:sz w:val="16"/>
          <w:szCs w:val="16"/>
        </w:rPr>
        <w:t>S. stercoralis</w:t>
      </w:r>
      <w:r>
        <w:t>.</w:t>
      </w:r>
    </w:p>
    <w:p w14:paraId="736CA695" w14:textId="77777777" w:rsidR="0072615D" w:rsidRDefault="0072615D">
      <w:pPr>
        <w:pStyle w:val="Bodytext70"/>
        <w:ind w:firstLine="400"/>
      </w:pPr>
      <w:r>
        <w:t>Tuberculosis</w:t>
      </w:r>
    </w:p>
    <w:p w14:paraId="2A3FA1BC" w14:textId="77777777" w:rsidR="0072615D" w:rsidRDefault="0072615D">
      <w:pPr>
        <w:pStyle w:val="BodyText"/>
        <w:spacing w:after="100" w:line="271" w:lineRule="auto"/>
        <w:ind w:left="400" w:firstLine="0"/>
      </w:pPr>
      <w:r>
        <w:t xml:space="preserve">Los niños adoptados provenientes de otros países suelen padecer tuberculosis. Las cifras notificadas de una infección latente por </w:t>
      </w:r>
      <w:r>
        <w:rPr>
          <w:rFonts w:ascii="Times New Roman" w:eastAsia="Times New Roman" w:hAnsi="Times New Roman" w:cs="Times New Roman"/>
          <w:i/>
          <w:iCs/>
          <w:sz w:val="16"/>
          <w:szCs w:val="16"/>
        </w:rPr>
        <w:t>Mycobacterium tuberculosis</w:t>
      </w:r>
      <w:r>
        <w:t xml:space="preserve"> varían de 0.6 a 19%. La enfermedad puede ser más grave en niños de corta edad y reactivarse en años ulteriores, razón por la cual adquiere importancia particular en dicha población de alto riesgo la detección sistemática con la prueba de tuberculina (cutirreacción) (</w:t>
      </w:r>
      <w:r>
        <w:rPr>
          <w:rFonts w:ascii="Times New Roman" w:eastAsia="Times New Roman" w:hAnsi="Times New Roman" w:cs="Times New Roman"/>
          <w:i/>
          <w:iCs/>
          <w:sz w:val="16"/>
          <w:szCs w:val="16"/>
        </w:rPr>
        <w:t>tuberculin skin test</w:t>
      </w:r>
      <w:r>
        <w:rPr>
          <w:i/>
          <w:iCs/>
        </w:rPr>
        <w:t>,</w:t>
      </w:r>
      <w:r>
        <w:t xml:space="preserve"> TST) (véase “Tuberculosis”, sección 3). No está indicada la práctica sistemática de radiografías de tórax en niños asintomáticos cuyos resultados de la cutirreacción con tuberculina son negativos. Sin embargo, dado que es común la malnutrición entre los niños extranjeros adoptados, surge la preocupación y la duda de que algunos de ellos puedan ser anérgicos. Si se sospecha malnutrición, habrá que repetir la cutirreacción tuberculínica una vez que mejoró la nutrición del pequeño. Haber recibido la vacuna del bacilo de Calmette-Guérin (BCG) no constituye contraindicación para practicar TST, y la positividad de la cutirreacción tampoco debe ser atribuida a la vacuna mencionada. En los niños en cuestión se necesitan más estudios para saber si tienen tuberculosis y si necesitan tratamiento (véase “Tuberculosis”, sección 3). Si se sospecha dicha enfermedad en niños adoptados provenientes de otros países, habrá que hacer todos los intentos por aislar la micobacteria y estudiar su susceptibilidad a fármacos, dada la elevada prevalencia de resistencia a medicamentos, en muchos países.</w:t>
      </w:r>
    </w:p>
    <w:p w14:paraId="662C69A9" w14:textId="77777777" w:rsidR="0072615D" w:rsidRDefault="0072615D">
      <w:pPr>
        <w:pStyle w:val="Bodytext70"/>
        <w:ind w:firstLine="400"/>
      </w:pPr>
      <w:r>
        <w:t>Sífilis</w:t>
      </w:r>
    </w:p>
    <w:p w14:paraId="50DE535B" w14:textId="77777777" w:rsidR="0072615D" w:rsidRDefault="0072615D">
      <w:pPr>
        <w:pStyle w:val="BodyText"/>
        <w:spacing w:after="100"/>
        <w:ind w:left="400" w:firstLine="0"/>
      </w:pPr>
      <w:r>
        <w:t>La sífilis congénita, en particular la que ataca el sistema nervioso central, quizá no se diagnosticó o incluso fue tratada inadecuadamente en niños adoptados provenientes de algunos países en desarrollo. Cada pequeño de ese grupo debe ser sometido a pruebas sistemáticas en busca de sífilis, por estudios serológicos fiables sin treponemas y con treponemas, independientemente del antecedente o informe del tratamiento (véase “Sífilis”, sección 3). Se valorará a todo niño con una prueba serológica treponémica positiva para saber la extensión de la infección y así aplicar el tratamiento apropiado (véase “Sífilis”, sección 3).</w:t>
      </w:r>
    </w:p>
    <w:p w14:paraId="7C30B787" w14:textId="77777777" w:rsidR="0072615D" w:rsidRDefault="0072615D">
      <w:pPr>
        <w:pStyle w:val="Bodytext70"/>
        <w:ind w:firstLine="380"/>
      </w:pPr>
      <w:r>
        <w:t>Infección por virus de inmunodeficiencia humana (VIH)</w:t>
      </w:r>
    </w:p>
    <w:p w14:paraId="73FD9E57" w14:textId="77777777" w:rsidR="0072615D" w:rsidRDefault="0072615D">
      <w:pPr>
        <w:pStyle w:val="BodyText"/>
        <w:spacing w:after="100"/>
        <w:ind w:left="380" w:firstLine="0"/>
      </w:pPr>
      <w:r>
        <w:t>El peligro de que los niños extranjeros adoptados estén infectados por VIH depende de su país de origen y de factores de riesgo individuales. Ante los cambios rápidos de las características epidemiológicas de la infección por dicho virus y el hecho de que los niños pudieran provenir de poblaciones que están expuestas a alto riesgo de tener la infección, en todo niño extranjero por adoptar se harán pruebas sistemáticas en busca de VIH. En los datos de envío suele incluirse los resultados de una prueba de VIH de muchos niños, pero es probable que tal información proveniente del país de origen no sea fiable. En niños menores de 18 meses de vida se pueden detectar anticuerpos que provinieron de la madre a través de la placenta, sin que exista infección en ellos. En consecuencia, si se identifican anticuerpos contra VIH en el niño asintomático de esa edad, se necesita valoración clínica, estudios de vigilancia y orientación (véase “Humana, infección por virus de inmunodeficiencia [VIH]”, sección 3).</w:t>
      </w:r>
    </w:p>
    <w:p w14:paraId="63B069D0" w14:textId="77777777" w:rsidR="0072615D" w:rsidRDefault="0072615D">
      <w:pPr>
        <w:pStyle w:val="Bodytext70"/>
        <w:ind w:firstLine="380"/>
      </w:pPr>
      <w:r>
        <w:t>Otras enfermedades infecciosas</w:t>
      </w:r>
    </w:p>
    <w:p w14:paraId="01D8344C" w14:textId="77777777" w:rsidR="0072615D" w:rsidRDefault="0072615D">
      <w:pPr>
        <w:pStyle w:val="BodyText"/>
        <w:ind w:left="380" w:firstLine="0"/>
      </w:pPr>
      <w:r>
        <w:t>Entre las infecciones cutáneas por bacterias y hongos que se detectan a menudo en niños extranjeros adoptados están la sarna y la pediculosis. Hay que orientar a la familia de adopción que revise al menor en busca de signos de una y otra parasitosis para emprender el tratamiento y evitar el contagio de otros miembros de la familia (véanse “Escabiasis” [sarna] y “Pediculosis”, sección 3). Pocas veces los niños extranjeros en adopción presentan enfermedades como fiebre tifoidea, paludismo, lepra o melioidosis. No es recomendable la detección sistemática y temprana de tales enfermedades, pero descubrir signos como fiebre, esplenomegalia, infecciones de vías respiratorias, anemia o eosinofilia obligarán a emprender una valoración adecuada con base en las características epidemiológicas de enfermedades infecciosas en el país de origen del niño y así identificar la causa de su enfermedad. Si el menor provino de un país con paludismo, habrá que pensar en tal enfermedad e incluirla en las entidades del diagnóstico diferencial (véase “Paludismo”, sección 3).</w:t>
      </w:r>
    </w:p>
    <w:p w14:paraId="5E5AF204" w14:textId="77777777" w:rsidR="0072615D" w:rsidRDefault="0072615D">
      <w:pPr>
        <w:pStyle w:val="BodyText"/>
        <w:spacing w:after="100"/>
        <w:ind w:left="380" w:firstLine="340"/>
      </w:pPr>
      <w:r>
        <w:t>Los clínicos deben sospechar la posibilidad de algunas enfermedades que son propias de los niños adoptados y sus manifestaciones clínicas. Algunas, como la cisticercosis del sistema nervioso central, pueden tener largos periodos de incubación y tal vez no ser detectadas en la fase de búsqueda inicial. Por tal motivo, con base en los datos de la valoración inicial hay que considerar la repetición de la evaluación seis meses después de la adopción. En casi todos los casos, mientras más largo sea el intervalo desde la adopción hasta la aparición de un síndrome clínico, habrá menor posibilidad de atribuir este último a un patógeno adquirido en el país de origen.</w:t>
      </w:r>
    </w:p>
    <w:p w14:paraId="62037C50" w14:textId="77777777" w:rsidR="0072615D" w:rsidRDefault="0072615D">
      <w:pPr>
        <w:pStyle w:val="Bodytext70"/>
        <w:ind w:firstLine="380"/>
      </w:pPr>
      <w:r>
        <w:t>Inmunizaciones</w:t>
      </w:r>
    </w:p>
    <w:p w14:paraId="3AC4F961" w14:textId="77777777" w:rsidR="0072615D" w:rsidRDefault="0072615D">
      <w:pPr>
        <w:pStyle w:val="BodyText"/>
        <w:ind w:left="380" w:firstLine="0"/>
      </w:pPr>
      <w:r>
        <w:t xml:space="preserve">Algunos niños extranjeros adoptados poseerán documentación escrita de vacunaciones hechas en su país de origen. A pesar de que suele haber documentación de vacunaciones como la del bacilo BCG, la aplicación de toxoides diftérico y tetánico y de tos ferina </w:t>
      </w:r>
      <w:r>
        <w:rPr>
          <w:i/>
          <w:iCs/>
        </w:rPr>
        <w:t>(</w:t>
      </w:r>
      <w:r>
        <w:rPr>
          <w:rFonts w:ascii="Times New Roman" w:eastAsia="Times New Roman" w:hAnsi="Times New Roman" w:cs="Times New Roman"/>
          <w:i/>
          <w:iCs/>
          <w:sz w:val="16"/>
          <w:szCs w:val="16"/>
        </w:rPr>
        <w:t>diphtheria and tetanus toxoids and pertussis</w:t>
      </w:r>
      <w:r>
        <w:rPr>
          <w:i/>
          <w:iCs/>
        </w:rPr>
        <w:t>,</w:t>
      </w:r>
      <w:r>
        <w:t xml:space="preserve"> DTP), la vacuna contra virus poliomielítico, sarampión y hepatitis B, pocas veces se aplican vacunas como la que se tiene contra </w:t>
      </w:r>
      <w:r>
        <w:rPr>
          <w:rFonts w:ascii="Times New Roman" w:eastAsia="Times New Roman" w:hAnsi="Times New Roman" w:cs="Times New Roman"/>
          <w:i/>
          <w:iCs/>
          <w:sz w:val="16"/>
          <w:szCs w:val="16"/>
        </w:rPr>
        <w:t>Haemophilus influenzae</w:t>
      </w:r>
      <w:r>
        <w:t xml:space="preserve"> tipo B, parotiditis y rubéola, y rara vez se aplican las elaboradas contra </w:t>
      </w:r>
      <w:r>
        <w:rPr>
          <w:rFonts w:ascii="Times New Roman" w:eastAsia="Times New Roman" w:hAnsi="Times New Roman" w:cs="Times New Roman"/>
          <w:i/>
          <w:iCs/>
          <w:sz w:val="16"/>
          <w:szCs w:val="16"/>
        </w:rPr>
        <w:t>Streptococcus pneumoniae</w:t>
      </w:r>
      <w:r>
        <w:t xml:space="preserve"> y varicela. Los niños y adolescentes extranjeros adoptados deben ser vacunados conforme a los calendarios recomendados en Estados Unidos para ambos grupos de edad sanos (véanse fig. 1-1 y cuadro 1-6) o a los de la Organización Mundial de la Salud. En términos generales será mejor no aceptar la documentación escrita de las vacunaciones como evidencia inequívoca de que se han aplicado, salvo que vacunas, fechas de aplicación, número de dosis, intervalos entre las dosis y edad del paciente en la fecha en que se le aplicaron sean similares a los calendarios estadounidenses o de la Organización Mundial de la Salud vigentes (véase “Vacunaciones hechas fuera de Estados Unidos”, sección 1). En otros países se producen algunas vacunas con potencia inadecuada, aunque casi todas las que se usan a nivel mundial son elaboradas con los debidos estándares de control de calidad y por ello su acción es fiable. Sin embargo, por lo común no se cuenta con datos sobre su almacenamiento, manejo, sitio en que fueron administradas, potencia y distribuidores. Antes los escasos datos en cuanto a la verificación de los registros de vacunación en otros países, una opción para asegurar que se aplicaron las vacunas y que fueron inmunógenas es valorar las concentraciones de anticuerpos a los antígenos aplicados. Pueden hacerse pruebas serológicas para saber si existen concentraciones protectoras de anticuerpos. Cuando hay duda, una alternativa igualmente aceptable sería volver a vacunar al menor.</w:t>
      </w:r>
    </w:p>
    <w:p w14:paraId="319FE2CB" w14:textId="77777777" w:rsidR="0072615D" w:rsidRDefault="0072615D">
      <w:pPr>
        <w:pStyle w:val="BodyText"/>
        <w:ind w:left="360" w:firstLine="360"/>
        <w:sectPr w:rsidR="0072615D" w:rsidSect="0072615D">
          <w:headerReference w:type="even" r:id="rId376"/>
          <w:headerReference w:type="default" r:id="rId377"/>
          <w:footerReference w:type="even" r:id="rId378"/>
          <w:footerReference w:type="default" r:id="rId379"/>
          <w:footnotePr>
            <w:numFmt w:val="chicago"/>
          </w:footnotePr>
          <w:type w:val="continuous"/>
          <w:pgSz w:w="8501" w:h="13022"/>
          <w:pgMar w:top="699" w:right="614" w:bottom="429" w:left="518" w:header="0" w:footer="3" w:gutter="0"/>
          <w:cols w:space="720"/>
          <w:noEndnote/>
          <w:docGrid w:linePitch="360"/>
          <w15:footnoteColumns w:val="1"/>
        </w:sectPr>
      </w:pPr>
      <w:r>
        <w:t>El cuadro 2-18 señala las vacunas respecto de las cuales se pueden hacer pruebas de anticuerpos, especifica el tipo de métodos por practicar y señala estrategias recomendadas o alternativas. En niños mayores de seis meses de vida con documentación escrita de vacunaciones, o sin ella, el médico debe considerar la posibilidad de identificar y valorar los anticuerpos contra difteria y tétanos, virus de hepatitis B y virus poliomielíticos, para saber si el menor posee concentraciones de ellos, en nivel protector. Si las concentraciones brindan protección, entonces habrá que completar las series de vacunaciones, según convenga para la edad del menor. Es posible medir los anticuerpos contra sarampión, parotiditis y rubéola para saber si el niño posee inmunidad contra dichas enfermedades. Muchos menores necesitarán una dosis de las vacunas contra parotiditis y rubéola porque ellas pocas veces son aplicadas en países en desarrollo. Puede hacerse pruebas para valorar anticuerpos contra sarampión, y si arrojan resultados positivos, se podrá administrar una dosis de vacuna triple (MMR) para protección contra parotiditis y rubéola. En niños menores de 12 meses de vida será mejor no evaluar anticuerpos contra sarampión y varicela, por la posible presencia de anticuerpos provenientes de la madre. En la actualidad no existe ninguna prueba que valore anticuerpos que sea lo suficientemente fiable o que se pueda practicar de manera sistemática para valorar la inmunidad a la tos ferina. Si no se cuenta con métodos serológicos de pruebas y tampoco se puede asegurar que el menor recibió vacunas inmunógenas, una decisión prudente sería repetir toda la serie.</w:t>
      </w:r>
    </w:p>
    <w:p w14:paraId="5DCC5671" w14:textId="77777777" w:rsidR="0072615D" w:rsidRDefault="0072615D">
      <w:pPr>
        <w:pStyle w:val="Heading41"/>
        <w:keepNext/>
        <w:keepLines/>
        <w:framePr w:w="619" w:h="298" w:wrap="none" w:hAnchor="page" w:x="707" w:y="342"/>
        <w:pBdr>
          <w:top w:val="single" w:sz="0" w:space="0" w:color="231F20"/>
          <w:left w:val="single" w:sz="0" w:space="0" w:color="231F20"/>
          <w:bottom w:val="single" w:sz="0" w:space="0" w:color="231F20"/>
          <w:right w:val="single" w:sz="0" w:space="0" w:color="231F20"/>
        </w:pBdr>
        <w:shd w:val="clear" w:color="auto" w:fill="231F20"/>
      </w:pPr>
      <w:bookmarkStart w:id="548" w:name="bookmark548"/>
      <w:bookmarkStart w:id="549" w:name="bookmark549"/>
      <w:bookmarkStart w:id="550" w:name="bookmark550"/>
      <w:r>
        <w:rPr>
          <w:color w:val="FFFFFF"/>
        </w:rPr>
        <w:t>Vacuna</w:t>
      </w:r>
      <w:bookmarkEnd w:id="548"/>
      <w:bookmarkEnd w:id="549"/>
      <w:bookmarkEnd w:id="550"/>
    </w:p>
    <w:p w14:paraId="031D1EF2" w14:textId="77777777" w:rsidR="0072615D" w:rsidRDefault="0072615D">
      <w:pPr>
        <w:pStyle w:val="Heading31"/>
        <w:keepNext/>
        <w:keepLines/>
        <w:framePr w:w="8366" w:h="317" w:wrap="none" w:hAnchor="page" w:x="2195" w:y="1"/>
      </w:pPr>
      <w:bookmarkStart w:id="551" w:name="bookmark551"/>
      <w:bookmarkStart w:id="552" w:name="bookmark552"/>
      <w:bookmarkStart w:id="553" w:name="bookmark553"/>
      <w:r>
        <w:rPr>
          <w:b w:val="0"/>
          <w:bCs w:val="0"/>
        </w:rPr>
        <w:t xml:space="preserve">Cuadro 2-18. </w:t>
      </w:r>
      <w:r>
        <w:t>Estrategias para la valoración y la vacunación de niños extranjeros adoptados</w:t>
      </w:r>
      <w:r>
        <w:rPr>
          <w:vertAlign w:val="superscript"/>
        </w:rPr>
        <w:t>1</w:t>
      </w:r>
      <w:bookmarkEnd w:id="551"/>
      <w:bookmarkEnd w:id="552"/>
      <w:bookmarkEnd w:id="553"/>
    </w:p>
    <w:p w14:paraId="0F38E0FD" w14:textId="77777777" w:rsidR="0072615D" w:rsidRDefault="0072615D">
      <w:pPr>
        <w:pStyle w:val="Heading41"/>
        <w:keepNext/>
        <w:keepLines/>
        <w:framePr w:w="2026" w:h="298" w:wrap="none" w:hAnchor="page" w:x="3529" w:y="342"/>
        <w:pBdr>
          <w:top w:val="single" w:sz="0" w:space="0" w:color="231F20"/>
          <w:left w:val="single" w:sz="0" w:space="0" w:color="231F20"/>
          <w:bottom w:val="single" w:sz="0" w:space="0" w:color="231F20"/>
          <w:right w:val="single" w:sz="0" w:space="0" w:color="231F20"/>
        </w:pBdr>
        <w:shd w:val="clear" w:color="auto" w:fill="231F20"/>
        <w:jc w:val="center"/>
      </w:pPr>
      <w:bookmarkStart w:id="554" w:name="bookmark554"/>
      <w:bookmarkStart w:id="555" w:name="bookmark555"/>
      <w:bookmarkStart w:id="556" w:name="bookmark556"/>
      <w:r>
        <w:rPr>
          <w:color w:val="FFFFFF"/>
        </w:rPr>
        <w:t>Estrategia recomendada</w:t>
      </w:r>
      <w:bookmarkEnd w:id="554"/>
      <w:bookmarkEnd w:id="555"/>
      <w:bookmarkEnd w:id="556"/>
    </w:p>
    <w:p w14:paraId="141C10CC" w14:textId="77777777" w:rsidR="0072615D" w:rsidRDefault="0072615D">
      <w:pPr>
        <w:pStyle w:val="Heading41"/>
        <w:keepNext/>
        <w:keepLines/>
        <w:framePr w:w="1790" w:h="298" w:wrap="none" w:hAnchor="page" w:x="7499" w:y="342"/>
        <w:pBdr>
          <w:top w:val="single" w:sz="0" w:space="0" w:color="231F20"/>
          <w:left w:val="single" w:sz="0" w:space="0" w:color="231F20"/>
          <w:bottom w:val="single" w:sz="0" w:space="0" w:color="231F20"/>
          <w:right w:val="single" w:sz="0" w:space="0" w:color="231F20"/>
        </w:pBdr>
        <w:shd w:val="clear" w:color="auto" w:fill="231F20"/>
        <w:jc w:val="center"/>
      </w:pPr>
      <w:bookmarkStart w:id="557" w:name="bookmark557"/>
      <w:bookmarkStart w:id="558" w:name="bookmark558"/>
      <w:bookmarkStart w:id="559" w:name="bookmark559"/>
      <w:r>
        <w:rPr>
          <w:color w:val="FFFFFF"/>
        </w:rPr>
        <w:t>Estrategia alternativa</w:t>
      </w:r>
      <w:bookmarkEnd w:id="557"/>
      <w:bookmarkEnd w:id="558"/>
      <w:bookmarkEnd w:id="559"/>
    </w:p>
    <w:p w14:paraId="13BD2626" w14:textId="77777777" w:rsidR="0072615D" w:rsidRDefault="0072615D">
      <w:pPr>
        <w:pStyle w:val="Bodytext20"/>
        <w:framePr w:w="2472" w:h="893" w:wrap="none" w:hAnchor="page" w:x="702" w:y="707"/>
        <w:spacing w:after="200"/>
      </w:pPr>
      <w:r>
        <w:t>Contra hepatitis B</w:t>
      </w:r>
    </w:p>
    <w:p w14:paraId="5A6D3095" w14:textId="77777777" w:rsidR="0072615D" w:rsidRDefault="0072615D">
      <w:pPr>
        <w:pStyle w:val="Bodytext20"/>
        <w:framePr w:w="2472" w:h="893" w:wrap="none" w:hAnchor="page" w:x="702" w:y="707"/>
      </w:pPr>
      <w:r>
        <w:t>Toxoides de difteria y tétanos y tos ferina acelular (DTaP)</w:t>
      </w:r>
    </w:p>
    <w:p w14:paraId="29EDA77C" w14:textId="77777777" w:rsidR="0072615D" w:rsidRDefault="0072615D">
      <w:pPr>
        <w:pStyle w:val="Bodytext20"/>
        <w:framePr w:w="3974" w:h="1325" w:wrap="none" w:hAnchor="page" w:x="3500" w:y="707"/>
      </w:pPr>
      <w:r>
        <w:t>Estudios serológicos para detectar antígeno de superficie de hepatitis B</w:t>
      </w:r>
    </w:p>
    <w:p w14:paraId="1D3F1458" w14:textId="77777777" w:rsidR="0072615D" w:rsidRDefault="0072615D">
      <w:pPr>
        <w:pStyle w:val="Bodytext20"/>
        <w:framePr w:w="3974" w:h="1325" w:wrap="none" w:hAnchor="page" w:x="3500" w:y="707"/>
      </w:pPr>
      <w:r>
        <w:t>Vacunar con DTaP y emprender pruebas serológicas para detectar anticuerpos IgG específicos contra las toxinas de tétanos y difteria en caso de que surja reacción local intensa a la primera dosis</w:t>
      </w:r>
    </w:p>
    <w:p w14:paraId="17FC34B6" w14:textId="77777777" w:rsidR="0072615D" w:rsidRDefault="0072615D">
      <w:pPr>
        <w:pStyle w:val="Bodytext20"/>
        <w:framePr w:w="4406" w:h="1757" w:wrap="none" w:hAnchor="page" w:x="7499" w:y="1139"/>
      </w:pPr>
      <w:r>
        <w:t>Niños cuyos registros indican haber recibido tres dosis o más: estudios serológicos para detectar anticuerpos IgG específicos contra las toxinas de difteria y tétanos antes de aplicar dosis complementarias o usar una sola dosis de refuerzo de DtaP, seguidos de métodos serológicos después de un mes para buscar anticuerpos IgG específicos contra las toxinas de difteria y tétanos para volver a vacunar según sea apropiado (véase el texto)</w:t>
      </w:r>
    </w:p>
    <w:p w14:paraId="417EDB32" w14:textId="77777777" w:rsidR="0072615D" w:rsidRDefault="0072615D">
      <w:pPr>
        <w:pStyle w:val="Bodytext20"/>
        <w:framePr w:w="2213" w:h="461" w:wrap="none" w:hAnchor="page" w:x="707" w:y="3083"/>
      </w:pPr>
      <w:r>
        <w:t xml:space="preserve">Contra </w:t>
      </w:r>
      <w:r>
        <w:rPr>
          <w:i/>
          <w:iCs/>
        </w:rPr>
        <w:t xml:space="preserve">Haemophilus influenzae </w:t>
      </w:r>
      <w:r>
        <w:t>tipo b (Hib)</w:t>
      </w:r>
    </w:p>
    <w:p w14:paraId="3AABE608" w14:textId="77777777" w:rsidR="0072615D" w:rsidRDefault="0072615D">
      <w:pPr>
        <w:pStyle w:val="Bodytext20"/>
        <w:framePr w:w="2462" w:h="235" w:wrap="none" w:hAnchor="page" w:x="3500" w:y="3083"/>
        <w:spacing w:line="240" w:lineRule="auto"/>
      </w:pPr>
      <w:r>
        <w:t>Vacunación apropiada a cada edad</w:t>
      </w:r>
    </w:p>
    <w:p w14:paraId="6FA484B7" w14:textId="77777777" w:rsidR="0072615D" w:rsidRDefault="0072615D">
      <w:pPr>
        <w:pStyle w:val="Bodytext20"/>
        <w:framePr w:w="2050" w:h="235" w:wrap="none" w:hAnchor="page" w:x="707" w:y="3731"/>
        <w:spacing w:line="240" w:lineRule="auto"/>
      </w:pPr>
      <w:r>
        <w:t>Contra virus de poliomielitis</w:t>
      </w:r>
    </w:p>
    <w:p w14:paraId="15844915" w14:textId="77777777" w:rsidR="0072615D" w:rsidRDefault="0072615D">
      <w:pPr>
        <w:pStyle w:val="Bodytext20"/>
        <w:framePr w:w="2933" w:h="461" w:wrap="none" w:hAnchor="page" w:x="3500" w:y="3731"/>
      </w:pPr>
      <w:r>
        <w:t>Vacunar con el producto hecho con virus poliomielíticos inactivados (IPV)</w:t>
      </w:r>
    </w:p>
    <w:p w14:paraId="0EF473FD" w14:textId="77777777" w:rsidR="0072615D" w:rsidRDefault="0072615D">
      <w:pPr>
        <w:pStyle w:val="Bodytext20"/>
        <w:framePr w:w="4310" w:h="1109" w:wrap="none" w:hAnchor="page" w:x="7503" w:y="3731"/>
      </w:pPr>
      <w:r>
        <w:t>Métodos serológicos en busca de anticuerpos neutralizantes de los tipos 1, 2 y 3 de los virus poliomielíticos (disponibilidad escasa) o aplicar una sola dosis de IPV para después realizar pruebas serológicas en busca de anticuerpos neutralizantes a los tres tipos del virus mencionado</w:t>
      </w:r>
    </w:p>
    <w:p w14:paraId="53125DB7" w14:textId="77777777" w:rsidR="0072615D" w:rsidRDefault="0072615D">
      <w:pPr>
        <w:pStyle w:val="Bodytext20"/>
        <w:framePr w:w="2659" w:h="451" w:wrap="none" w:hAnchor="page" w:x="707" w:y="5027"/>
        <w:spacing w:line="240" w:lineRule="auto"/>
      </w:pPr>
      <w:r>
        <w:t>Contra sarampión-parotiditis-rubéola</w:t>
      </w:r>
    </w:p>
    <w:p w14:paraId="02A22727" w14:textId="77777777" w:rsidR="0072615D" w:rsidRDefault="0072615D">
      <w:pPr>
        <w:pStyle w:val="Bodytext20"/>
        <w:framePr w:w="2659" w:h="451" w:wrap="none" w:hAnchor="page" w:x="707" w:y="5027"/>
        <w:spacing w:line="240" w:lineRule="auto"/>
      </w:pPr>
      <w:r>
        <w:t>(triple o MMR)</w:t>
      </w:r>
    </w:p>
    <w:p w14:paraId="21C4A556" w14:textId="77777777" w:rsidR="0072615D" w:rsidRDefault="0072615D">
      <w:pPr>
        <w:pStyle w:val="Bodytext20"/>
        <w:framePr w:w="3816" w:h="893" w:wrap="none" w:hAnchor="page" w:x="3500" w:y="5027"/>
      </w:pPr>
      <w:r>
        <w:t>Aplicar la vacuna triple o medir anticuerpos contra sarampión, y si se les detecta, aplicar la vacuna triple para obtener protección contra la parotiditis y la rubéola</w:t>
      </w:r>
    </w:p>
    <w:p w14:paraId="1007A77E" w14:textId="77777777" w:rsidR="0072615D" w:rsidRDefault="0072615D">
      <w:pPr>
        <w:pStyle w:val="Bodytext20"/>
        <w:framePr w:w="4498" w:h="677" w:wrap="none" w:hAnchor="page" w:x="7503" w:y="5027"/>
      </w:pPr>
      <w:r>
        <w:t>Métodos serológicos para detectar anticuerpos del tipo de inmunoglobulina G (IgG) contra los virus de la vacuna, según lo indique el registro de vacunaciones</w:t>
      </w:r>
    </w:p>
    <w:p w14:paraId="10B14FB0" w14:textId="77777777" w:rsidR="0072615D" w:rsidRDefault="0072615D">
      <w:pPr>
        <w:pStyle w:val="Bodytext20"/>
        <w:framePr w:w="1109" w:h="226" w:wrap="none" w:hAnchor="page" w:x="707" w:y="6107"/>
        <w:spacing w:line="240" w:lineRule="auto"/>
      </w:pPr>
      <w:r>
        <w:t>Contra varicela</w:t>
      </w:r>
    </w:p>
    <w:p w14:paraId="7D4ACE47" w14:textId="77777777" w:rsidR="0072615D" w:rsidRDefault="0072615D">
      <w:pPr>
        <w:pStyle w:val="Bodytext20"/>
        <w:framePr w:w="3557" w:h="677" w:wrap="none" w:hAnchor="page" w:x="3500" w:y="6107"/>
      </w:pPr>
      <w:r>
        <w:t>Vacunación (apropiada a la edad) de niños que no tienen antecedentes fiables de haber padecido la varicela o pruebas serológicas de protección</w:t>
      </w:r>
    </w:p>
    <w:p w14:paraId="39D8749A" w14:textId="77777777" w:rsidR="0072615D" w:rsidRDefault="0072615D">
      <w:pPr>
        <w:pStyle w:val="Bodytext80"/>
        <w:framePr w:w="192" w:h="6062" w:hRule="exact" w:wrap="none" w:hAnchor="page" w:x="12390" w:y="836"/>
        <w:textDirection w:val="tbRl"/>
        <w:rPr>
          <w:sz w:val="16"/>
          <w:szCs w:val="16"/>
        </w:rPr>
      </w:pPr>
      <w:r>
        <w:t xml:space="preserve">VALORACIÓN MÉDICA INICIAL EN BUSCA DE ENFERMEDADES INFECCIOSAS </w:t>
      </w:r>
      <w:r>
        <w:rPr>
          <w:sz w:val="16"/>
          <w:szCs w:val="16"/>
        </w:rPr>
        <w:t>197</w:t>
      </w:r>
    </w:p>
    <w:p w14:paraId="3FFE06B2" w14:textId="77777777" w:rsidR="0072615D" w:rsidRDefault="0072615D">
      <w:pPr>
        <w:spacing w:line="360" w:lineRule="exact"/>
      </w:pPr>
    </w:p>
    <w:p w14:paraId="0F53B0D6" w14:textId="77777777" w:rsidR="0072615D" w:rsidRDefault="0072615D">
      <w:pPr>
        <w:spacing w:line="360" w:lineRule="exact"/>
      </w:pPr>
    </w:p>
    <w:p w14:paraId="18B3B0E0" w14:textId="77777777" w:rsidR="0072615D" w:rsidRDefault="0072615D">
      <w:pPr>
        <w:spacing w:line="360" w:lineRule="exact"/>
      </w:pPr>
    </w:p>
    <w:p w14:paraId="40953E84" w14:textId="77777777" w:rsidR="0072615D" w:rsidRDefault="0072615D">
      <w:pPr>
        <w:spacing w:line="360" w:lineRule="exact"/>
      </w:pPr>
    </w:p>
    <w:p w14:paraId="388C302F" w14:textId="77777777" w:rsidR="0072615D" w:rsidRDefault="0072615D">
      <w:pPr>
        <w:spacing w:line="360" w:lineRule="exact"/>
      </w:pPr>
    </w:p>
    <w:p w14:paraId="752159EE" w14:textId="77777777" w:rsidR="0072615D" w:rsidRDefault="0072615D">
      <w:pPr>
        <w:spacing w:line="360" w:lineRule="exact"/>
      </w:pPr>
    </w:p>
    <w:p w14:paraId="1B83FE04" w14:textId="77777777" w:rsidR="0072615D" w:rsidRDefault="0072615D">
      <w:pPr>
        <w:spacing w:line="360" w:lineRule="exact"/>
      </w:pPr>
    </w:p>
    <w:p w14:paraId="31B4B15A" w14:textId="77777777" w:rsidR="0072615D" w:rsidRDefault="0072615D">
      <w:pPr>
        <w:spacing w:line="360" w:lineRule="exact"/>
      </w:pPr>
    </w:p>
    <w:p w14:paraId="7C0491A0" w14:textId="77777777" w:rsidR="0072615D" w:rsidRDefault="0072615D">
      <w:pPr>
        <w:spacing w:line="360" w:lineRule="exact"/>
      </w:pPr>
    </w:p>
    <w:p w14:paraId="56538F59" w14:textId="77777777" w:rsidR="0072615D" w:rsidRDefault="0072615D">
      <w:pPr>
        <w:spacing w:line="360" w:lineRule="exact"/>
      </w:pPr>
    </w:p>
    <w:p w14:paraId="5EAF3CA5" w14:textId="77777777" w:rsidR="0072615D" w:rsidRDefault="0072615D">
      <w:pPr>
        <w:spacing w:line="360" w:lineRule="exact"/>
      </w:pPr>
    </w:p>
    <w:p w14:paraId="03B674B0" w14:textId="77777777" w:rsidR="0072615D" w:rsidRDefault="0072615D">
      <w:pPr>
        <w:spacing w:line="360" w:lineRule="exact"/>
      </w:pPr>
    </w:p>
    <w:p w14:paraId="09A74940" w14:textId="77777777" w:rsidR="0072615D" w:rsidRDefault="0072615D">
      <w:pPr>
        <w:spacing w:line="360" w:lineRule="exact"/>
      </w:pPr>
    </w:p>
    <w:p w14:paraId="71B1D066" w14:textId="77777777" w:rsidR="0072615D" w:rsidRDefault="0072615D">
      <w:pPr>
        <w:spacing w:line="360" w:lineRule="exact"/>
      </w:pPr>
    </w:p>
    <w:p w14:paraId="4D94C314" w14:textId="77777777" w:rsidR="0072615D" w:rsidRDefault="0072615D">
      <w:pPr>
        <w:spacing w:line="360" w:lineRule="exact"/>
      </w:pPr>
    </w:p>
    <w:p w14:paraId="5F0CB101" w14:textId="77777777" w:rsidR="0072615D" w:rsidRDefault="0072615D">
      <w:pPr>
        <w:spacing w:line="360" w:lineRule="exact"/>
      </w:pPr>
    </w:p>
    <w:p w14:paraId="04EF4BEF" w14:textId="77777777" w:rsidR="0072615D" w:rsidRDefault="0072615D">
      <w:pPr>
        <w:spacing w:line="360" w:lineRule="exact"/>
      </w:pPr>
    </w:p>
    <w:p w14:paraId="6B40B7C2" w14:textId="77777777" w:rsidR="0072615D" w:rsidRDefault="0072615D">
      <w:pPr>
        <w:spacing w:line="360" w:lineRule="exact"/>
      </w:pPr>
    </w:p>
    <w:p w14:paraId="2CD68690" w14:textId="77777777" w:rsidR="0072615D" w:rsidRDefault="0072615D">
      <w:pPr>
        <w:spacing w:after="401" w:line="1" w:lineRule="exact"/>
      </w:pPr>
    </w:p>
    <w:p w14:paraId="3CF50A2B" w14:textId="77777777" w:rsidR="0072615D" w:rsidRDefault="0072615D">
      <w:pPr>
        <w:spacing w:line="1" w:lineRule="exact"/>
        <w:sectPr w:rsidR="0072615D" w:rsidSect="0072615D">
          <w:headerReference w:type="even" r:id="rId380"/>
          <w:headerReference w:type="default" r:id="rId381"/>
          <w:footerReference w:type="even" r:id="rId382"/>
          <w:footerReference w:type="default" r:id="rId383"/>
          <w:footnotePr>
            <w:numFmt w:val="chicago"/>
          </w:footnotePr>
          <w:pgSz w:w="13022" w:h="8501" w:orient="landscape"/>
          <w:pgMar w:top="1099" w:right="441" w:bottom="519" w:left="686" w:header="671" w:footer="3" w:gutter="0"/>
          <w:cols w:space="720"/>
          <w:noEndnote/>
          <w:docGrid w:linePitch="360"/>
          <w15:footnoteColumns w:val="1"/>
        </w:sectPr>
      </w:pPr>
    </w:p>
    <w:p w14:paraId="1F93F4E1" w14:textId="77777777" w:rsidR="0072615D" w:rsidRDefault="0072615D">
      <w:pPr>
        <w:pStyle w:val="Heading31"/>
        <w:keepNext/>
        <w:keepLines/>
        <w:framePr w:w="9302" w:h="322" w:wrap="none" w:hAnchor="page" w:x="1695" w:y="1"/>
        <w:rPr>
          <w:sz w:val="16"/>
          <w:szCs w:val="16"/>
        </w:rPr>
      </w:pPr>
      <w:bookmarkStart w:id="560" w:name="bookmark560"/>
      <w:bookmarkStart w:id="561" w:name="bookmark561"/>
      <w:bookmarkStart w:id="562" w:name="bookmark562"/>
      <w:r>
        <w:rPr>
          <w:b w:val="0"/>
          <w:bCs w:val="0"/>
        </w:rPr>
        <w:t xml:space="preserve">Cuadro 2-18. </w:t>
      </w:r>
      <w:r>
        <w:t>Estrategias para la valoración y la vacunación de niños extranjeros adoptados</w:t>
      </w:r>
      <w:r>
        <w:rPr>
          <w:vertAlign w:val="superscript"/>
        </w:rPr>
        <w:t>1</w:t>
      </w:r>
      <w:r>
        <w:t xml:space="preserve"> </w:t>
      </w:r>
      <w:r>
        <w:rPr>
          <w:rFonts w:ascii="Times New Roman" w:eastAsia="Times New Roman" w:hAnsi="Times New Roman" w:cs="Times New Roman"/>
          <w:b w:val="0"/>
          <w:bCs w:val="0"/>
          <w:i/>
          <w:iCs/>
          <w:w w:val="100"/>
          <w:sz w:val="16"/>
          <w:szCs w:val="16"/>
        </w:rPr>
        <w:t>co^rtinuación</w:t>
      </w:r>
      <w:bookmarkEnd w:id="560"/>
      <w:bookmarkEnd w:id="561"/>
      <w:bookmarkEnd w:id="562"/>
    </w:p>
    <w:tbl>
      <w:tblPr>
        <w:tblOverlap w:val="never"/>
        <w:tblW w:w="0" w:type="auto"/>
        <w:tblLayout w:type="fixed"/>
        <w:tblCellMar>
          <w:left w:w="10" w:type="dxa"/>
          <w:right w:w="10" w:type="dxa"/>
        </w:tblCellMar>
        <w:tblLook w:val="04A0" w:firstRow="1" w:lastRow="0" w:firstColumn="1" w:lastColumn="0" w:noHBand="0" w:noVBand="1"/>
      </w:tblPr>
      <w:tblGrid>
        <w:gridCol w:w="2165"/>
        <w:gridCol w:w="6667"/>
        <w:gridCol w:w="2602"/>
      </w:tblGrid>
      <w:tr w:rsidR="0072615D" w14:paraId="7696EFA3" w14:textId="77777777">
        <w:tblPrEx>
          <w:tblCellMar>
            <w:top w:w="0" w:type="dxa"/>
            <w:bottom w:w="0" w:type="dxa"/>
          </w:tblCellMar>
        </w:tblPrEx>
        <w:trPr>
          <w:trHeight w:hRule="exact" w:val="274"/>
        </w:trPr>
        <w:tc>
          <w:tcPr>
            <w:tcW w:w="2165" w:type="dxa"/>
            <w:shd w:val="clear" w:color="auto" w:fill="231F20"/>
            <w:vAlign w:val="bottom"/>
          </w:tcPr>
          <w:p w14:paraId="0A262CBD" w14:textId="77777777" w:rsidR="0072615D" w:rsidRDefault="0072615D">
            <w:pPr>
              <w:pStyle w:val="Other0"/>
              <w:framePr w:w="11434" w:h="1738" w:vSpace="494" w:wrap="none" w:hAnchor="page" w:x="635" w:y="375"/>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Vacuna</w:t>
            </w:r>
          </w:p>
        </w:tc>
        <w:tc>
          <w:tcPr>
            <w:tcW w:w="6667" w:type="dxa"/>
            <w:shd w:val="clear" w:color="auto" w:fill="231F20"/>
            <w:vAlign w:val="bottom"/>
          </w:tcPr>
          <w:p w14:paraId="758F0FB2" w14:textId="77777777" w:rsidR="0072615D" w:rsidRDefault="0072615D">
            <w:pPr>
              <w:pStyle w:val="Other0"/>
              <w:framePr w:w="11434" w:h="1738" w:vSpace="494" w:wrap="none" w:hAnchor="page" w:x="635" w:y="375"/>
              <w:pBdr>
                <w:top w:val="single" w:sz="0" w:space="0" w:color="231F20"/>
                <w:left w:val="single" w:sz="0" w:space="0" w:color="231F20"/>
                <w:bottom w:val="single" w:sz="0" w:space="0" w:color="231F20"/>
                <w:right w:val="single" w:sz="0" w:space="0" w:color="231F20"/>
              </w:pBdr>
              <w:shd w:val="clear" w:color="auto" w:fill="231F20"/>
              <w:tabs>
                <w:tab w:val="left" w:pos="4665"/>
              </w:tabs>
              <w:spacing w:line="240" w:lineRule="auto"/>
              <w:ind w:firstLine="700"/>
              <w:rPr>
                <w:sz w:val="24"/>
                <w:szCs w:val="24"/>
              </w:rPr>
            </w:pPr>
            <w:r>
              <w:rPr>
                <w:rFonts w:ascii="Arial" w:eastAsia="Arial" w:hAnsi="Arial" w:cs="Arial"/>
                <w:b/>
                <w:bCs/>
                <w:color w:val="FFFFFF"/>
                <w:w w:val="70"/>
                <w:sz w:val="24"/>
                <w:szCs w:val="24"/>
              </w:rPr>
              <w:t>Estrategia recomendada</w:t>
            </w:r>
            <w:r>
              <w:rPr>
                <w:rFonts w:ascii="Arial" w:eastAsia="Arial" w:hAnsi="Arial" w:cs="Arial"/>
                <w:b/>
                <w:bCs/>
                <w:color w:val="FFFFFF"/>
                <w:w w:val="70"/>
                <w:sz w:val="24"/>
                <w:szCs w:val="24"/>
              </w:rPr>
              <w:tab/>
              <w:t>Estrategia alternativa</w:t>
            </w:r>
          </w:p>
        </w:tc>
        <w:tc>
          <w:tcPr>
            <w:tcW w:w="2602" w:type="dxa"/>
            <w:shd w:val="clear" w:color="auto" w:fill="231F20"/>
          </w:tcPr>
          <w:p w14:paraId="0C5A12FB" w14:textId="77777777" w:rsidR="0072615D" w:rsidRDefault="0072615D">
            <w:pPr>
              <w:framePr w:w="11434" w:h="1738" w:vSpace="494" w:wrap="none" w:hAnchor="page" w:x="635" w:y="375"/>
              <w:rPr>
                <w:sz w:val="10"/>
                <w:szCs w:val="10"/>
              </w:rPr>
            </w:pPr>
          </w:p>
        </w:tc>
      </w:tr>
      <w:tr w:rsidR="0072615D" w14:paraId="2DE84DAC" w14:textId="77777777">
        <w:tblPrEx>
          <w:tblCellMar>
            <w:top w:w="0" w:type="dxa"/>
            <w:bottom w:w="0" w:type="dxa"/>
          </w:tblCellMar>
        </w:tblPrEx>
        <w:trPr>
          <w:trHeight w:hRule="exact" w:val="1464"/>
        </w:trPr>
        <w:tc>
          <w:tcPr>
            <w:tcW w:w="2165" w:type="dxa"/>
            <w:tcBorders>
              <w:bottom w:val="single" w:sz="4" w:space="0" w:color="auto"/>
            </w:tcBorders>
            <w:shd w:val="clear" w:color="auto" w:fill="FFFFFF"/>
          </w:tcPr>
          <w:p w14:paraId="177432DC" w14:textId="77777777" w:rsidR="0072615D" w:rsidRDefault="0072615D">
            <w:pPr>
              <w:pStyle w:val="Other0"/>
              <w:framePr w:w="11434" w:h="1738" w:vSpace="494" w:wrap="none" w:hAnchor="page" w:x="635" w:y="375"/>
              <w:spacing w:line="240" w:lineRule="auto"/>
              <w:ind w:firstLine="0"/>
              <w:rPr>
                <w:sz w:val="16"/>
                <w:szCs w:val="16"/>
              </w:rPr>
            </w:pPr>
            <w:r>
              <w:rPr>
                <w:rFonts w:ascii="Times New Roman" w:eastAsia="Times New Roman" w:hAnsi="Times New Roman" w:cs="Times New Roman"/>
                <w:sz w:val="16"/>
                <w:szCs w:val="16"/>
              </w:rPr>
              <w:t>Contra neumococos</w:t>
            </w:r>
          </w:p>
        </w:tc>
        <w:tc>
          <w:tcPr>
            <w:tcW w:w="6667" w:type="dxa"/>
            <w:tcBorders>
              <w:bottom w:val="single" w:sz="4" w:space="0" w:color="auto"/>
            </w:tcBorders>
            <w:shd w:val="clear" w:color="auto" w:fill="FFFFFF"/>
            <w:vAlign w:val="center"/>
          </w:tcPr>
          <w:p w14:paraId="5FCFD219" w14:textId="77777777" w:rsidR="0072615D" w:rsidRDefault="0072615D">
            <w:pPr>
              <w:pStyle w:val="Other0"/>
              <w:framePr w:w="11434" w:h="1738" w:vSpace="494" w:wrap="none" w:hAnchor="page" w:x="635" w:y="375"/>
              <w:spacing w:line="283" w:lineRule="auto"/>
              <w:ind w:firstLine="700"/>
              <w:rPr>
                <w:sz w:val="16"/>
                <w:szCs w:val="16"/>
              </w:rPr>
            </w:pPr>
            <w:r>
              <w:rPr>
                <w:rFonts w:ascii="Times New Roman" w:eastAsia="Times New Roman" w:hAnsi="Times New Roman" w:cs="Times New Roman"/>
                <w:sz w:val="16"/>
                <w:szCs w:val="16"/>
              </w:rPr>
              <w:t>Vacunación apropiada a la edad</w:t>
            </w:r>
          </w:p>
          <w:p w14:paraId="42BC016B" w14:textId="77777777" w:rsidR="0072615D" w:rsidRDefault="0072615D">
            <w:pPr>
              <w:pStyle w:val="Other0"/>
              <w:framePr w:w="11434" w:h="1738" w:vSpace="494" w:wrap="none" w:hAnchor="page" w:x="635" w:y="375"/>
              <w:spacing w:line="286" w:lineRule="auto"/>
              <w:ind w:left="780"/>
              <w:rPr>
                <w:sz w:val="15"/>
                <w:szCs w:val="15"/>
              </w:rPr>
            </w:pPr>
            <w:r>
              <w:rPr>
                <w:rFonts w:ascii="Times New Roman" w:eastAsia="Times New Roman" w:hAnsi="Times New Roman" w:cs="Times New Roman"/>
                <w:sz w:val="16"/>
                <w:szCs w:val="16"/>
              </w:rPr>
              <w:t xml:space="preserve">DTaP, toxoides de difteria y tétanos y tos ferina acelular </w:t>
            </w:r>
            <w:r>
              <w:rPr>
                <w:rFonts w:ascii="Times New Roman" w:eastAsia="Times New Roman" w:hAnsi="Times New Roman" w:cs="Times New Roman"/>
                <w:i/>
                <w:iCs/>
                <w:sz w:val="15"/>
                <w:szCs w:val="15"/>
              </w:rPr>
              <w:t>(</w:t>
            </w:r>
            <w:r>
              <w:rPr>
                <w:rFonts w:ascii="Times New Roman" w:eastAsia="Times New Roman" w:hAnsi="Times New Roman" w:cs="Times New Roman"/>
                <w:i/>
                <w:iCs/>
                <w:sz w:val="16"/>
                <w:szCs w:val="16"/>
              </w:rPr>
              <w:t>diphtheria and tetanus toxoids and acellular pertussis)</w:t>
            </w:r>
            <w:r>
              <w:rPr>
                <w:rFonts w:ascii="Times New Roman" w:eastAsia="Times New Roman" w:hAnsi="Times New Roman" w:cs="Times New Roman"/>
                <w:i/>
                <w:iCs/>
                <w:sz w:val="15"/>
                <w:szCs w:val="15"/>
              </w:rPr>
              <w:t>;</w:t>
            </w:r>
            <w:r>
              <w:rPr>
                <w:rFonts w:ascii="Times New Roman" w:eastAsia="Times New Roman" w:hAnsi="Times New Roman" w:cs="Times New Roman"/>
                <w:sz w:val="16"/>
                <w:szCs w:val="16"/>
              </w:rPr>
              <w:t xml:space="preserve"> IPV, virus poliomielíticos inactivados </w:t>
            </w:r>
            <w:r>
              <w:rPr>
                <w:rFonts w:ascii="Times New Roman" w:eastAsia="Times New Roman" w:hAnsi="Times New Roman" w:cs="Times New Roman"/>
                <w:i/>
                <w:iCs/>
                <w:sz w:val="15"/>
                <w:szCs w:val="15"/>
              </w:rPr>
              <w:t>(</w:t>
            </w:r>
            <w:r>
              <w:rPr>
                <w:rFonts w:ascii="Times New Roman" w:eastAsia="Times New Roman" w:hAnsi="Times New Roman" w:cs="Times New Roman"/>
                <w:i/>
                <w:iCs/>
                <w:sz w:val="16"/>
                <w:szCs w:val="16"/>
              </w:rPr>
              <w:t>inactivatedpoliovirus vaccine)</w:t>
            </w:r>
            <w:r>
              <w:rPr>
                <w:rFonts w:ascii="Times New Roman" w:eastAsia="Times New Roman" w:hAnsi="Times New Roman" w:cs="Times New Roman"/>
                <w:i/>
                <w:iCs/>
                <w:sz w:val="15"/>
                <w:szCs w:val="15"/>
              </w:rPr>
              <w:t>;</w:t>
            </w:r>
            <w:r>
              <w:rPr>
                <w:rFonts w:ascii="Times New Roman" w:eastAsia="Times New Roman" w:hAnsi="Times New Roman" w:cs="Times New Roman"/>
                <w:sz w:val="16"/>
                <w:szCs w:val="16"/>
              </w:rPr>
              <w:t xml:space="preserve"> MMR, sarampión- parotiditis-rubéola </w:t>
            </w:r>
            <w:r>
              <w:rPr>
                <w:rFonts w:ascii="Times New Roman" w:eastAsia="Times New Roman" w:hAnsi="Times New Roman" w:cs="Times New Roman"/>
                <w:i/>
                <w:iCs/>
                <w:sz w:val="15"/>
                <w:szCs w:val="15"/>
              </w:rPr>
              <w:t>(</w:t>
            </w:r>
            <w:r>
              <w:rPr>
                <w:rFonts w:ascii="Times New Roman" w:eastAsia="Times New Roman" w:hAnsi="Times New Roman" w:cs="Times New Roman"/>
                <w:i/>
                <w:iCs/>
                <w:sz w:val="16"/>
                <w:szCs w:val="16"/>
              </w:rPr>
              <w:t>measles-mumps-rubella</w:t>
            </w:r>
            <w:r>
              <w:rPr>
                <w:rFonts w:ascii="Times New Roman" w:eastAsia="Times New Roman" w:hAnsi="Times New Roman" w:cs="Times New Roman"/>
                <w:i/>
                <w:iCs/>
                <w:sz w:val="15"/>
                <w:szCs w:val="15"/>
              </w:rPr>
              <w:t>)</w:t>
            </w:r>
          </w:p>
        </w:tc>
        <w:tc>
          <w:tcPr>
            <w:tcW w:w="2602" w:type="dxa"/>
            <w:tcBorders>
              <w:bottom w:val="single" w:sz="4" w:space="0" w:color="auto"/>
            </w:tcBorders>
            <w:shd w:val="clear" w:color="auto" w:fill="FFFFFF"/>
          </w:tcPr>
          <w:p w14:paraId="418F34C5" w14:textId="77777777" w:rsidR="0072615D" w:rsidRDefault="0072615D">
            <w:pPr>
              <w:framePr w:w="11434" w:h="1738" w:vSpace="494" w:wrap="none" w:hAnchor="page" w:x="635" w:y="375"/>
              <w:rPr>
                <w:sz w:val="10"/>
                <w:szCs w:val="10"/>
              </w:rPr>
            </w:pPr>
          </w:p>
        </w:tc>
      </w:tr>
    </w:tbl>
    <w:p w14:paraId="43F88CBC" w14:textId="77777777" w:rsidR="0072615D" w:rsidRDefault="0072615D">
      <w:pPr>
        <w:framePr w:w="11434" w:h="1738" w:vSpace="494" w:wrap="none" w:hAnchor="page" w:x="635" w:y="375"/>
        <w:spacing w:line="1" w:lineRule="exact"/>
      </w:pPr>
    </w:p>
    <w:p w14:paraId="313BEC8D" w14:textId="77777777" w:rsidR="0072615D" w:rsidRDefault="0072615D">
      <w:pPr>
        <w:pStyle w:val="Tablecaption0"/>
        <w:framePr w:w="10987" w:h="398" w:wrap="none" w:hAnchor="page" w:x="688" w:y="2209"/>
        <w:spacing w:line="254" w:lineRule="auto"/>
        <w:ind w:hanging="160"/>
      </w:pPr>
      <w:r>
        <w:rPr>
          <w:sz w:val="8"/>
          <w:szCs w:val="8"/>
          <w:vertAlign w:val="superscript"/>
        </w:rPr>
        <w:t>1</w:t>
      </w:r>
      <w:r>
        <w:rPr>
          <w:sz w:val="8"/>
          <w:szCs w:val="8"/>
        </w:rPr>
        <w:t xml:space="preserve"> </w:t>
      </w:r>
      <w:r>
        <w:t xml:space="preserve">Centers for Disease Control and Prevention. General recommendations on immunization. Recommendations of the Advisory Committee on Immunization Practices and the American Academy of Family Physicians. </w:t>
      </w:r>
      <w:r>
        <w:rPr>
          <w:i/>
          <w:iCs/>
        </w:rPr>
        <w:t>MMWR Recomm Rep.</w:t>
      </w:r>
      <w:r>
        <w:t xml:space="preserve"> 2002;51(RR-2):1-35. Véanse también figura 1-1 y cuadro 1-6.</w:t>
      </w:r>
    </w:p>
    <w:p w14:paraId="62EEB869" w14:textId="77777777" w:rsidR="0072615D" w:rsidRDefault="0072615D">
      <w:pPr>
        <w:pStyle w:val="Bodytext80"/>
        <w:framePr w:w="192" w:h="6053" w:hRule="exact" w:wrap="none" w:hAnchor="page" w:x="12390" w:y="63"/>
        <w:textDirection w:val="tbRl"/>
      </w:pPr>
      <w:r>
        <w:rPr>
          <w:sz w:val="16"/>
          <w:szCs w:val="16"/>
        </w:rPr>
        <w:t xml:space="preserve">198 </w:t>
      </w:r>
      <w:r>
        <w:t>VALORACIÓN MÉDICA INICIAL EN BUSCA DE ENFERMEDADES INFECCIOSAS</w:t>
      </w:r>
    </w:p>
    <w:p w14:paraId="7B257027" w14:textId="77777777" w:rsidR="0072615D" w:rsidRDefault="0072615D">
      <w:pPr>
        <w:spacing w:line="360" w:lineRule="exact"/>
      </w:pPr>
    </w:p>
    <w:p w14:paraId="664C8A77" w14:textId="77777777" w:rsidR="0072615D" w:rsidRDefault="0072615D">
      <w:pPr>
        <w:spacing w:line="360" w:lineRule="exact"/>
      </w:pPr>
    </w:p>
    <w:p w14:paraId="2168F2A4" w14:textId="77777777" w:rsidR="0072615D" w:rsidRDefault="0072615D">
      <w:pPr>
        <w:spacing w:line="360" w:lineRule="exact"/>
      </w:pPr>
    </w:p>
    <w:p w14:paraId="52313746" w14:textId="77777777" w:rsidR="0072615D" w:rsidRDefault="0072615D">
      <w:pPr>
        <w:spacing w:line="360" w:lineRule="exact"/>
      </w:pPr>
    </w:p>
    <w:p w14:paraId="45224D06" w14:textId="77777777" w:rsidR="0072615D" w:rsidRDefault="0072615D">
      <w:pPr>
        <w:spacing w:line="360" w:lineRule="exact"/>
      </w:pPr>
    </w:p>
    <w:p w14:paraId="4FF1BBCA" w14:textId="77777777" w:rsidR="0072615D" w:rsidRDefault="0072615D">
      <w:pPr>
        <w:spacing w:line="360" w:lineRule="exact"/>
      </w:pPr>
    </w:p>
    <w:p w14:paraId="07BE21B5" w14:textId="77777777" w:rsidR="0072615D" w:rsidRDefault="0072615D">
      <w:pPr>
        <w:spacing w:line="360" w:lineRule="exact"/>
      </w:pPr>
    </w:p>
    <w:p w14:paraId="241FD0C2" w14:textId="77777777" w:rsidR="0072615D" w:rsidRDefault="0072615D">
      <w:pPr>
        <w:spacing w:line="360" w:lineRule="exact"/>
      </w:pPr>
    </w:p>
    <w:p w14:paraId="73985833" w14:textId="77777777" w:rsidR="0072615D" w:rsidRDefault="0072615D">
      <w:pPr>
        <w:spacing w:line="360" w:lineRule="exact"/>
      </w:pPr>
    </w:p>
    <w:p w14:paraId="367C7F6F" w14:textId="77777777" w:rsidR="0072615D" w:rsidRDefault="0072615D">
      <w:pPr>
        <w:spacing w:line="360" w:lineRule="exact"/>
      </w:pPr>
    </w:p>
    <w:p w14:paraId="6131962C" w14:textId="77777777" w:rsidR="0072615D" w:rsidRDefault="0072615D">
      <w:pPr>
        <w:spacing w:line="360" w:lineRule="exact"/>
      </w:pPr>
    </w:p>
    <w:p w14:paraId="465AEF73" w14:textId="77777777" w:rsidR="0072615D" w:rsidRDefault="0072615D">
      <w:pPr>
        <w:spacing w:line="360" w:lineRule="exact"/>
      </w:pPr>
    </w:p>
    <w:p w14:paraId="29A0E3F9" w14:textId="77777777" w:rsidR="0072615D" w:rsidRDefault="0072615D">
      <w:pPr>
        <w:spacing w:line="360" w:lineRule="exact"/>
      </w:pPr>
    </w:p>
    <w:p w14:paraId="1C568F17" w14:textId="77777777" w:rsidR="0072615D" w:rsidRDefault="0072615D">
      <w:pPr>
        <w:spacing w:line="360" w:lineRule="exact"/>
      </w:pPr>
    </w:p>
    <w:p w14:paraId="3FBC31B5" w14:textId="77777777" w:rsidR="0072615D" w:rsidRDefault="0072615D">
      <w:pPr>
        <w:spacing w:line="360" w:lineRule="exact"/>
      </w:pPr>
    </w:p>
    <w:p w14:paraId="31CBCA1E" w14:textId="77777777" w:rsidR="0072615D" w:rsidRDefault="0072615D">
      <w:pPr>
        <w:spacing w:after="714" w:line="1" w:lineRule="exact"/>
      </w:pPr>
    </w:p>
    <w:p w14:paraId="7215A0CF" w14:textId="77777777" w:rsidR="0072615D" w:rsidRDefault="0072615D">
      <w:pPr>
        <w:spacing w:line="1" w:lineRule="exact"/>
        <w:sectPr w:rsidR="0072615D" w:rsidSect="0072615D">
          <w:headerReference w:type="even" r:id="rId384"/>
          <w:headerReference w:type="default" r:id="rId385"/>
          <w:footerReference w:type="even" r:id="rId386"/>
          <w:footerReference w:type="default" r:id="rId387"/>
          <w:footnotePr>
            <w:numFmt w:val="chicago"/>
          </w:footnotePr>
          <w:pgSz w:w="13022" w:h="8501" w:orient="landscape"/>
          <w:pgMar w:top="456" w:right="442" w:bottom="456" w:left="634" w:header="28" w:footer="28" w:gutter="0"/>
          <w:cols w:space="720"/>
          <w:noEndnote/>
          <w:docGrid w:linePitch="360"/>
          <w15:footnoteColumns w:val="1"/>
        </w:sectPr>
      </w:pPr>
    </w:p>
    <w:p w14:paraId="42C72314" w14:textId="77777777" w:rsidR="0072615D" w:rsidRDefault="0072615D">
      <w:pPr>
        <w:pStyle w:val="Bodytext100"/>
        <w:spacing w:before="100" w:after="140"/>
      </w:pPr>
      <w:r>
        <w:rPr>
          <w:sz w:val="34"/>
          <w:szCs w:val="34"/>
        </w:rPr>
        <w:t>L</w:t>
      </w:r>
      <w:r>
        <w:t>esiones por agujas desechadas</w:t>
      </w:r>
    </w:p>
    <w:p w14:paraId="6C999619" w14:textId="77777777" w:rsidR="0072615D" w:rsidRDefault="0072615D">
      <w:pPr>
        <w:pStyle w:val="Other0"/>
        <w:spacing w:after="240" w:line="240" w:lineRule="auto"/>
        <w:ind w:firstLine="0"/>
        <w:jc w:val="center"/>
        <w:rPr>
          <w:sz w:val="26"/>
          <w:szCs w:val="26"/>
        </w:rPr>
      </w:pPr>
      <w:r>
        <w:rPr>
          <w:rFonts w:ascii="Times New Roman" w:eastAsia="Times New Roman" w:hAnsi="Times New Roman" w:cs="Times New Roman"/>
          <w:sz w:val="26"/>
          <w:szCs w:val="26"/>
        </w:rPr>
        <w:t>EN LA COMUNIDAD</w:t>
      </w:r>
    </w:p>
    <w:p w14:paraId="5B202322" w14:textId="77777777" w:rsidR="0072615D" w:rsidRDefault="0072615D">
      <w:pPr>
        <w:pStyle w:val="BodyText"/>
        <w:ind w:firstLine="0"/>
      </w:pPr>
      <w:r>
        <w:t>Algunas personas perciben que el contacto, o las lesiones, con agujas y jeringuillas hipodérmicas que fueron descartadas en sitios públicos por usuarios de drogas inyectables constituyen un riesgo notable de transmisión de patógenos hematógenos, en particular el virus de inmunodeficiencia humana (VIH). A pesar de que las lesiones mencionadas quizá no originen tanto riesgo como las que aparecen en las instituciones asistenciales, la persona que las sufre suele necesitar de valoración y orientación. Incluso cuando es posible calcular la posibilidad de que una jeringuilla descartada contenga un patógeno hematógeno, a partir de las cifras de prevalencia de tales infecciones en la comunidad local, dicha valoración no influye de manera significativa en la necesidad de someter a prueba a la persona lesionada o expuesta.</w:t>
      </w:r>
    </w:p>
    <w:p w14:paraId="7AF0B879" w14:textId="77777777" w:rsidR="0072615D" w:rsidRDefault="0072615D">
      <w:pPr>
        <w:pStyle w:val="BodyText"/>
        <w:ind w:firstLine="360"/>
      </w:pPr>
      <w:r>
        <w:t>El tratamiento de personas con lesiones por pinchazo de aguja incluye atención inmediata de la herida, valoración de la necesidad de profilaxia y también prevención. Conviene la limpieza y cuidados regulares de heridas; rara vez se necesita cerrarlas quirúrgicamente. Se aplicará el concentrado inmunoglobulínico contra el tétanos y también el toxoide tetánico, según se consideren adecuados con base en la situación de inmunización que muestra la víctima (véase “Tétanos”, sección 3).</w:t>
      </w:r>
    </w:p>
    <w:p w14:paraId="7FE1F416" w14:textId="77777777" w:rsidR="0072615D" w:rsidRDefault="0072615D">
      <w:pPr>
        <w:pStyle w:val="BodyText"/>
        <w:ind w:firstLine="360"/>
      </w:pPr>
      <w:r>
        <w:t>El siguiente paso en el tratamiento de las exposiciones es valorar la necesidad de profilaxia contra virus hematógenos y en particular los de las hepatitis B (HBV) y C (HCV) y también VIH. El peligro de contagio de algunos patógenos depende de la naturaleza de la herida, la capacidad que tengan los gérmenes de sobrevivir en superficies del entorno, las cifras de prevalencia entre los consumidores de drogas inyectables de la localidad, y la probabilidad de que la jeringuilla y la aguja hubieran pertenecido a un usuario local de drogas inyectables. A diferencia de la exposición ocupacional de sangre o líquidos corporales en la cual se conoce el estado del individuo respecto de los virus de HBV, HCV y VIH en la sangre derramada, por lo común no se dispone de tales datos que orienten en las decisiones en el caso de exposición no ocupacional.</w:t>
      </w:r>
      <w:r>
        <w:footnoteReference w:id="82"/>
      </w:r>
    </w:p>
    <w:p w14:paraId="1A5DF332" w14:textId="77777777" w:rsidR="0072615D" w:rsidRDefault="0072615D">
      <w:pPr>
        <w:pStyle w:val="BodyText"/>
        <w:ind w:firstLine="360"/>
      </w:pPr>
      <w:r>
        <w:t>Entre los principales patógenos hematógenos, el más resistente es el virus de hepatitis B y vive incluso siete días en superficies de objetos del entorno. Los niños que no han completado la serie de tres dosis de vacuna contra HBV deben recibir una dosis de tal preparado y si así conviene se les programará para recibir el resto de las dosis y así completar el plan vacunal. Por lo común no conviene aplicar concentrado inmunoglobulínico de hepatitis B si el niño ha recibido un régimen de tres dosis de la vacuna contra HBV (véase cuadro 3-30). Sin embargo, hay diferencias de opinión de los expertos en cuanto a la necesidad de aplicar dicho concentrado inmunoglobulínico en el momento de la lesión, de un niño con vacunación incompleta. si el menor ha recibido dos dosis de la vacuna en un lapso de cuatro meses anteriores, o más, en casi todos los casos bastará la aplicación inmediata de sólo la tercera dosis de la vacuna.</w:t>
      </w:r>
    </w:p>
    <w:p w14:paraId="21477ABD" w14:textId="77777777" w:rsidR="0072615D" w:rsidRDefault="0072615D">
      <w:pPr>
        <w:pStyle w:val="BodyText"/>
        <w:ind w:firstLine="360"/>
      </w:pPr>
      <w:r>
        <w:t>El aspecto de mayor trascendencia y preocupación para la familia y la víctima es la infección por VIH. El punto de controversia es la necesidad de estudios serológicos iniciales para detectar la infección preexistente por dicho virus. Si los resultados de los estudios iniciales son negativos, ello refuerza la conclusión de que cualquier resultado positivo ulterior reflejará infección transmitida por el pinchazo de la aguja. La positividad de la prueba en un niño obliga a investigar más sobre la causa, como transmisión perinatal, abuso o actividad sexual o consumo de drogas. Otra opción sería obtener y conservar una muestra de suero (inicial o primera) para buscar en ella más tarde anticuerpos contra VIH en el caso poco probable de que un resultado ulterior fuese positivo. Se necesitan consejo y orientación antes de realizar la prueba y después de hacerla (véase “Humana, infección por virus de inmunodeficiencia [VIH]”, sección 3).</w:t>
      </w:r>
    </w:p>
    <w:p w14:paraId="4E3C79A1" w14:textId="77777777" w:rsidR="0072615D" w:rsidRDefault="0072615D">
      <w:pPr>
        <w:pStyle w:val="BodyText"/>
        <w:ind w:firstLine="360"/>
      </w:pPr>
      <w:r>
        <w:t>Es pequeño el peligro de contagio de VIH por una aguja desechada en público. En tales casos, la cifra del riesgo sería menor que el riesgo de 0.3% de contagio del virus a un miembro del personal asistencial por la lesión ocasionada por la aguja con sangre de una persona con infección sabida por VIH. No se cuenta con datos de la eficacia de la profilaxia después de una exposición a base de antirretrovíricos en las circunstancias mencionadas en adultos o niños, y como resultado, el Servicio de Salud Pública de Estados Unidos no ha hecho ninguna recomendación en pro o en contra de las medidas preventivas en tales circunstancias.</w:t>
      </w:r>
      <w:r>
        <w:footnoteReference w:id="83"/>
      </w:r>
      <w:r>
        <w:t xml:space="preserve"> </w:t>
      </w:r>
      <w:r>
        <w:rPr>
          <w:rFonts w:ascii="Times New Roman" w:eastAsia="Times New Roman" w:hAnsi="Times New Roman" w:cs="Times New Roman"/>
          <w:sz w:val="15"/>
          <w:szCs w:val="15"/>
        </w:rPr>
        <w:t xml:space="preserve">ț </w:t>
      </w:r>
      <w:r>
        <w:t>Además, la administración de antirretrovíricos conlleva algún riesgo, y por lo común es el de ocasionar efectos adversos notables (véase “Humana, infección por virus de inmunodeficiencia [VIH]”, sección 3). Por tal situación no conviene emprender sistemáticamente en tales casos la profilaxia después de la exposición. Sin embargo, algunos expertos recomiendan pensar en la quimioprofilaxia con antirretrovíricos si se cuenta con la aguja, la jeringuilla, o ambos, y se descubre que contienen sangre visible y que la fuente es una persona infectada por VIH. Otros expertos recomiendan emprender la quimioprofilaxia si la jeringuilla o la aguja contienen sangre visible, y otros más recomiendan emprender tal medida en todos los casos de pinchazo por agujas. La búsqueda de VIH en la jeringuilla no es práctica ni fiable y por ello no se le recomienda. Es mejor consultar con un especialista en infección por VIH antes de decidir si se emprende la quimioprofilaxia mencionada. Si la decisión consiste en emprender tal estrategia preventiva, es necesario reducir al mínimo cualquier retraso en la administración de los medicamentos (véase “Humana, infección por virus de inmunodeficiencia [VIH]”, sección 3). Los medicamentos que se sugieren son iguales a los que se emplean después de exposición ocupacional al VIH (véase “Humana, infección por virus de inmunodeficiencia [VIH]”, sección 3).</w:t>
      </w:r>
    </w:p>
    <w:p w14:paraId="0112EE95" w14:textId="77777777" w:rsidR="0072615D" w:rsidRDefault="0072615D">
      <w:pPr>
        <w:pStyle w:val="BodyText"/>
        <w:ind w:firstLine="360"/>
      </w:pPr>
      <w:r>
        <w:t>Los estudios de vigilancia en busca de anticuerpos séricos contra VIH en un niño incluirán métodos practicados a los seis meses y también a las seis y 12 semanas después del pinchazo. Los métodos en cuestión también son convenientes si surge un cuadro anormal compatible con el síndrome agudo vinculado con VIH antes de la prueba hecha a la sexta semana (véase “Humana, infección por virus de inmunodeficiencia [VIH]”, sección 3).</w:t>
      </w:r>
    </w:p>
    <w:p w14:paraId="4E577C7B" w14:textId="77777777" w:rsidR="0072615D" w:rsidRDefault="0072615D">
      <w:pPr>
        <w:pStyle w:val="BodyText"/>
        <w:ind w:firstLine="360"/>
        <w:sectPr w:rsidR="0072615D" w:rsidSect="0072615D">
          <w:headerReference w:type="even" r:id="rId388"/>
          <w:headerReference w:type="default" r:id="rId389"/>
          <w:footerReference w:type="even" r:id="rId390"/>
          <w:footerReference w:type="default" r:id="rId391"/>
          <w:headerReference w:type="first" r:id="rId392"/>
          <w:footerReference w:type="first" r:id="rId393"/>
          <w:footnotePr>
            <w:numFmt w:val="chicago"/>
          </w:footnotePr>
          <w:pgSz w:w="8501" w:h="13022"/>
          <w:pgMar w:top="941" w:right="673" w:bottom="533" w:left="953" w:header="0" w:footer="3" w:gutter="0"/>
          <w:cols w:space="720"/>
          <w:noEndnote/>
          <w:titlePg/>
          <w:docGrid w:linePitch="360"/>
          <w15:footnoteColumns w:val="1"/>
        </w:sectPr>
      </w:pPr>
      <w:r>
        <w:t xml:space="preserve">En orden de importancia, el patógeno hematógeno que ocupa el tercer lugar sería el virus de hepatitis C. A pesar de que es innegable la transmisión del virus entre usuarios de drogas al compartir jeringuillas, es poco el riesgo de contagio a partir del </w:t>
      </w:r>
    </w:p>
    <w:p w14:paraId="0D4F56ED" w14:textId="77777777" w:rsidR="0072615D" w:rsidRDefault="0072615D">
      <w:pPr>
        <w:pStyle w:val="BodyText"/>
        <w:ind w:firstLine="0"/>
      </w:pPr>
      <w:r>
        <w:t>equipo descartado, porque es pequeña la viabilidad del virus en las superficies del entorno. Los concentrados globulínicos y los antivíricos no protegen de la infección por el virus de hepatitis C, y no hay certeza en cuanto a la necesidad de emprender estudios para identificarlo. En caso de que se acepte la búsqueda de anticuerpos contra dicho virus, se emprenderá desde el momento de la lesión y se repetirá seis meses después.</w:t>
      </w:r>
    </w:p>
    <w:p w14:paraId="37C671AE" w14:textId="77777777" w:rsidR="0072615D" w:rsidRDefault="0072615D">
      <w:pPr>
        <w:pStyle w:val="BodyText"/>
        <w:ind w:firstLine="0"/>
      </w:pPr>
      <w:r>
        <w:t>Los resultados positivos deben ser confirmados por medio de métodos suplementarios de laboratorio orientados a ese fin (véase “Hepatitis C”, sección 3).</w:t>
      </w:r>
    </w:p>
    <w:p w14:paraId="5303E0CC" w14:textId="77777777" w:rsidR="0072615D" w:rsidRDefault="0072615D">
      <w:pPr>
        <w:pStyle w:val="BodyText"/>
        <w:spacing w:after="560" w:line="276" w:lineRule="auto"/>
        <w:ind w:firstLine="360"/>
      </w:pPr>
      <w:r>
        <w:t xml:space="preserve">Los pinchazos de aguja en niños pueden llevarse al mínimo si se cumplen programas sanitarios de eliminación segura de tales dispositivos y mediante programas de intercambio de jeringuillas y agujas usadas, es decir, recibir las que han usado los toxicómanos y reponerlas por otras estériles. El intercambio de agujas y jeringuillas disminuye la posibilidad de eliminación inadecuada y la propagación de patógenos hematógenos sin acrecentar la frecuencia de uso de drogas inyectables. En Estados Unidos la </w:t>
      </w:r>
      <w:r>
        <w:rPr>
          <w:rFonts w:ascii="Times New Roman" w:eastAsia="Times New Roman" w:hAnsi="Times New Roman" w:cs="Times New Roman"/>
          <w:i/>
          <w:iCs/>
          <w:sz w:val="16"/>
          <w:szCs w:val="16"/>
        </w:rPr>
        <w:t>American Academy of Pediatrics</w:t>
      </w:r>
      <w:r>
        <w:t xml:space="preserve"> apoya los programas de intercambio de agujas, junto con programas de destoxicación y dentro del contexto de la investigación incesante para corroborar su eficacia.</w:t>
      </w:r>
    </w:p>
    <w:p w14:paraId="56D3E1FA" w14:textId="77777777" w:rsidR="0072615D" w:rsidRDefault="0072615D">
      <w:pPr>
        <w:pStyle w:val="Bodytext100"/>
        <w:spacing w:after="220"/>
      </w:pPr>
      <w:r>
        <w:rPr>
          <w:sz w:val="34"/>
          <w:szCs w:val="34"/>
        </w:rPr>
        <w:t>M</w:t>
      </w:r>
      <w:r>
        <w:t>ordeduras</w:t>
      </w:r>
    </w:p>
    <w:p w14:paraId="199114EE" w14:textId="77777777" w:rsidR="0072615D" w:rsidRDefault="0072615D">
      <w:pPr>
        <w:pStyle w:val="BodyText"/>
        <w:ind w:firstLine="0"/>
      </w:pPr>
      <w:r>
        <w:t>Hasta 1% de todas las consultas para atender a niños en los departamentos de urgencia en los meses de verano, comprenden el tratamiento de mordeduras por humanos o animales. Se ha calculado que cada año en Estados Unidos ocurren 4.5 millones de mordeduras de perros, 400 000 mordeduras de gatos y 250 000 mordeduras de humanos. Las cifras de infección después de mordeduras de gato puede exceder de 50% y las correspondientes a las mordeduras de perros o humanos pueden ser de 15 a 20%. Las mordeduras de humanos, animales salvajes o mascotas exóticas pueden ser causa de infecciones graves. Conviene señalar a los padres que orienten a sus hijos a no tener contacto con animales salvajes y que pongan a buen recaudo los botes de basura para que los mapaches y otros animales no sean atraídos al hogar y a los sitios en que pueden jugar los niños. Las posibilidades de contagio de rabia aumentan en caso de mordedura de un animal salvaje (en particular un murciélago o un carnívoro) o si el agresor fue un animal doméstico que no puede ser observado durante un lapso de 10 días después de tal accidente (véase “Rabia”, sección 3). Es indispensable alejarse de todo animal muerto porque pueden tener el virus de la rabia en tejidos del sistema nervioso y en la saliva y estar infestados de artrópodos (pulgas o garrapatas) y a su vez infectados con bacterias, ricketssias, protozoos o virus de muy diverso tipo.</w:t>
      </w:r>
    </w:p>
    <w:p w14:paraId="6DDCB185" w14:textId="77777777" w:rsidR="0072615D" w:rsidRDefault="0072615D">
      <w:pPr>
        <w:pStyle w:val="BodyText"/>
        <w:ind w:firstLine="360"/>
      </w:pPr>
      <w:r>
        <w:t>Las medidas recomendadas en el tratamiento de mordeduras se incluyen en el cuadro 2-19. Por lo común no hay suficientes estudios prospectivos y comparativos que sirvan de sustento para recomendar el cierre de las mordeduras. En términos generales, es posible suturar las lesiones recientes, al parecer no infectadas y de bajo riesgo después de limpieza meticulosa de ellas, lavado y desbridamiento. Los métodos en cuestión se pueden facilitar con el uso de anestésicos locales. la colocación de suturas agrava el peligro de infección de la herida, y por tal razón algunos clínicos prefieren tratar las heridas pequeñas simplemente al aproximar sus bordes con tela adhesiva o material adhesivo para tejidos. Las mordeduras en la cara, que pudieran tener trascendencia estética, raras veces se infectan y será mejor cerrarlas, en la medida de lo posible. Existe equipo descartado, porque es pequeña la viabilidad del virus en las superficies del entorno. Los concentrados globulínicos y los antivíricos no protegen de la infección por el virus de hepatitis C, y no hay certeza en cuanto a la necesidad de emprender estudios para identificarlo. En caso de que se acepte la búsqueda de anticuerpos contra dicho virus, se emprenderá desde el momento de la lesión y se repetirá seis meses después.</w:t>
      </w:r>
    </w:p>
    <w:p w14:paraId="46932AF6" w14:textId="77777777" w:rsidR="0072615D" w:rsidRDefault="0072615D">
      <w:pPr>
        <w:pStyle w:val="BodyText"/>
        <w:ind w:firstLine="0"/>
      </w:pPr>
      <w:r>
        <w:t>Los resultados positivos deben ser confirmados por medio de métodos suplementarios de laboratorio orientados a ese fin (véase “Hepatitis C”, sección 3).</w:t>
      </w:r>
    </w:p>
    <w:p w14:paraId="16E3EBB9" w14:textId="77777777" w:rsidR="0072615D" w:rsidRDefault="0072615D">
      <w:pPr>
        <w:pStyle w:val="BodyText"/>
        <w:spacing w:after="560" w:line="276" w:lineRule="auto"/>
        <w:ind w:firstLine="360"/>
      </w:pPr>
      <w:r>
        <w:t xml:space="preserve">Los pinchazos de aguja en niños pueden llevarse al mínimo si se cumplen programas sanitarios de eliminación segura de tales dispositivos y mediante programas de intercambio de jeringuillas y agujas usadas, es decir, recibir las que han usado los toxicómanos y reponerlas por otras estériles. El intercambio de agujas y jeringuillas disminuye la posibilidad de eliminación inadecuada y la propagación de patógenos hematógenos sin acrecentar la frecuencia de uso de drogas inyectables. En Estados Unidos la </w:t>
      </w:r>
      <w:r>
        <w:rPr>
          <w:rFonts w:ascii="Times New Roman" w:eastAsia="Times New Roman" w:hAnsi="Times New Roman" w:cs="Times New Roman"/>
          <w:i/>
          <w:iCs/>
          <w:sz w:val="16"/>
          <w:szCs w:val="16"/>
        </w:rPr>
        <w:t>American Academy of Pediatrics</w:t>
      </w:r>
      <w:r>
        <w:t xml:space="preserve"> apoya los programas de intercambio de agujas, junto con programas de destoxicación y dentro del contexto de la investigación incesante para corroborar su eficacia.</w:t>
      </w:r>
    </w:p>
    <w:p w14:paraId="40D6CF34" w14:textId="77777777" w:rsidR="0072615D" w:rsidRDefault="0072615D">
      <w:pPr>
        <w:pStyle w:val="Bodytext100"/>
        <w:spacing w:after="220"/>
      </w:pPr>
      <w:r>
        <w:rPr>
          <w:sz w:val="34"/>
          <w:szCs w:val="34"/>
        </w:rPr>
        <w:t>M</w:t>
      </w:r>
      <w:r>
        <w:t>ordeduras</w:t>
      </w:r>
    </w:p>
    <w:p w14:paraId="0BD7E42C" w14:textId="77777777" w:rsidR="0072615D" w:rsidRDefault="0072615D">
      <w:pPr>
        <w:pStyle w:val="BodyText"/>
        <w:ind w:firstLine="0"/>
      </w:pPr>
      <w:r>
        <w:t>Hasta 1% de todas las consultas para atender a niños en los departamentos de urgencia en los meses de verano, comprenden el tratamiento de mordeduras por humanos o animales. Se ha calculado que cada año en Estados Unidos ocurren 4.5 millones de mordeduras de perros, 400 000 mordeduras de gatos y 250 000 mordeduras de humanos. Las cifras de infección después de mordeduras de gato puede exceder de 50% y las correspondientes a las mordeduras de perros o humanos pueden ser de 15 a 20%. Las mordeduras de humanos, animales salvajes o mascotas exóticas pueden ser causa de infecciones graves. Conviene señalar a los padres que orienten a sus hijos a no tener contacto con animales salvajes y que pongan a buen recaudo los botes de basura para que los mapaches y otros animales no sean atraídos al hogar y a los sitios en que pueden jugar los niños. Las posibilidades de contagio de rabia aumentan en caso de mordedura de un animal salvaje (en particular un murciélago o un carnívoro) o si el agresor fue un animal doméstico que no puede ser observado durante un lapso de 10 días después de tal accidente (véase “Rabia”, sección 3). Es indispensable alejarse de todo animal muerto porque pueden tener el virus de la rabia en tejidos del sistema nervioso y en la saliva y estar infestados de artrópodos (pulgas o garrapatas) y a su vez infectados con bacterias, ricketssias, protozoos o virus de muy diverso tipo.</w:t>
      </w:r>
    </w:p>
    <w:p w14:paraId="74591D22" w14:textId="77777777" w:rsidR="0072615D" w:rsidRDefault="0072615D">
      <w:pPr>
        <w:pStyle w:val="BodyText"/>
        <w:spacing w:after="400"/>
        <w:ind w:firstLine="360"/>
        <w:sectPr w:rsidR="0072615D" w:rsidSect="0072615D">
          <w:headerReference w:type="even" r:id="rId394"/>
          <w:headerReference w:type="default" r:id="rId395"/>
          <w:footerReference w:type="even" r:id="rId396"/>
          <w:footerReference w:type="default" r:id="rId397"/>
          <w:footnotePr>
            <w:numFmt w:val="chicago"/>
          </w:footnotePr>
          <w:type w:val="continuous"/>
          <w:pgSz w:w="8501" w:h="13022"/>
          <w:pgMar w:top="941" w:right="673" w:bottom="533" w:left="953" w:header="0" w:footer="105" w:gutter="0"/>
          <w:cols w:space="720"/>
          <w:noEndnote/>
          <w:docGrid w:linePitch="360"/>
          <w15:footnoteColumns w:val="1"/>
        </w:sectPr>
      </w:pPr>
      <w:r>
        <w:t>Las medidas recomendadas en el tratamiento de mordeduras se incluyen en el cuadro 2-19. Por lo común no hay suficientes estudios prospectivos y comparativos que sirvan de sustento para recomendar el cierre de las mordeduras. En términos generales, es posible suturar las lesiones recientes, al parecer no infectadas y de bajo riesgo después de limpieza meticulosa de ellas, lavado y desbridamiento. Los métodos en cuestión se pueden facilitar con el uso de anestésicos locales. la colocación de suturas agrava el peligro de infección de la herida, y por tal razón algunos clínicos prefieren tratar las heridas pequeñas simplemente al aproximar sus bordes con tela adhesiva o material adhesivo para tejidos. Las mordeduras en la cara, que pudieran tener trascendencia estética, raras veces se infectan y será mejor cerrarlas, en la medida de lo posible. Existe</w:t>
      </w:r>
    </w:p>
    <w:p w14:paraId="19BFA78D" w14:textId="77777777" w:rsidR="0072615D" w:rsidRDefault="0072615D">
      <w:pPr>
        <w:pStyle w:val="Heading31"/>
        <w:keepNext/>
        <w:keepLines/>
        <w:framePr w:w="9082" w:h="317" w:wrap="none" w:hAnchor="page" w:x="1825" w:y="1"/>
      </w:pPr>
      <w:bookmarkStart w:id="563" w:name="bookmark563"/>
      <w:bookmarkStart w:id="564" w:name="bookmark564"/>
      <w:bookmarkStart w:id="565" w:name="bookmark565"/>
      <w:r>
        <w:rPr>
          <w:b w:val="0"/>
          <w:bCs w:val="0"/>
        </w:rPr>
        <w:t xml:space="preserve">Cuadro 20-19. </w:t>
      </w:r>
      <w:r>
        <w:t>Medidas profilácticas para evitar la infección en mordeduras de humanos o animales</w:t>
      </w:r>
      <w:bookmarkEnd w:id="563"/>
      <w:bookmarkEnd w:id="564"/>
      <w:bookmarkEnd w:id="565"/>
    </w:p>
    <w:tbl>
      <w:tblPr>
        <w:tblOverlap w:val="never"/>
        <w:tblW w:w="0" w:type="auto"/>
        <w:tblLayout w:type="fixed"/>
        <w:tblCellMar>
          <w:left w:w="10" w:type="dxa"/>
          <w:right w:w="10" w:type="dxa"/>
        </w:tblCellMar>
        <w:tblLook w:val="04A0" w:firstRow="1" w:lastRow="0" w:firstColumn="1" w:lastColumn="0" w:noHBand="0" w:noVBand="1"/>
      </w:tblPr>
      <w:tblGrid>
        <w:gridCol w:w="2798"/>
        <w:gridCol w:w="2002"/>
        <w:gridCol w:w="6600"/>
      </w:tblGrid>
      <w:tr w:rsidR="0072615D" w14:paraId="1E16F35A" w14:textId="77777777">
        <w:tblPrEx>
          <w:tblCellMar>
            <w:top w:w="0" w:type="dxa"/>
            <w:bottom w:w="0" w:type="dxa"/>
          </w:tblCellMar>
        </w:tblPrEx>
        <w:trPr>
          <w:trHeight w:hRule="exact" w:val="259"/>
        </w:trPr>
        <w:tc>
          <w:tcPr>
            <w:tcW w:w="2798" w:type="dxa"/>
            <w:shd w:val="clear" w:color="auto" w:fill="231F20"/>
          </w:tcPr>
          <w:p w14:paraId="688B8BFC" w14:textId="77777777" w:rsidR="0072615D" w:rsidRDefault="0072615D">
            <w:pPr>
              <w:framePr w:w="11400" w:h="576" w:vSpace="514" w:wrap="none" w:hAnchor="page" w:x="649" w:y="361"/>
              <w:rPr>
                <w:sz w:val="10"/>
                <w:szCs w:val="10"/>
              </w:rPr>
            </w:pPr>
          </w:p>
        </w:tc>
        <w:tc>
          <w:tcPr>
            <w:tcW w:w="2002" w:type="dxa"/>
            <w:shd w:val="clear" w:color="auto" w:fill="231F20"/>
          </w:tcPr>
          <w:p w14:paraId="4C86327D" w14:textId="77777777" w:rsidR="0072615D" w:rsidRDefault="0072615D">
            <w:pPr>
              <w:framePr w:w="11400" w:h="576" w:vSpace="514" w:wrap="none" w:hAnchor="page" w:x="649" w:y="361"/>
              <w:rPr>
                <w:sz w:val="10"/>
                <w:szCs w:val="10"/>
              </w:rPr>
            </w:pPr>
          </w:p>
        </w:tc>
        <w:tc>
          <w:tcPr>
            <w:tcW w:w="6600" w:type="dxa"/>
            <w:shd w:val="clear" w:color="auto" w:fill="231F20"/>
            <w:vAlign w:val="bottom"/>
          </w:tcPr>
          <w:p w14:paraId="534BCD7C" w14:textId="77777777" w:rsidR="0072615D" w:rsidRDefault="0072615D">
            <w:pPr>
              <w:pStyle w:val="Other0"/>
              <w:framePr w:w="11400" w:h="576" w:vSpace="514" w:wrap="none" w:hAnchor="page" w:x="649" w:y="361"/>
              <w:pBdr>
                <w:top w:val="single" w:sz="0" w:space="0" w:color="231F20"/>
                <w:left w:val="single" w:sz="0" w:space="0" w:color="231F20"/>
                <w:bottom w:val="single" w:sz="0" w:space="0" w:color="231F20"/>
                <w:right w:val="single" w:sz="0" w:space="0" w:color="231F20"/>
              </w:pBdr>
              <w:shd w:val="clear" w:color="auto" w:fill="231F20"/>
              <w:spacing w:line="240" w:lineRule="auto"/>
              <w:ind w:firstLine="240"/>
              <w:rPr>
                <w:sz w:val="24"/>
                <w:szCs w:val="24"/>
              </w:rPr>
            </w:pPr>
            <w:r>
              <w:rPr>
                <w:rFonts w:ascii="Arial" w:eastAsia="Arial" w:hAnsi="Arial" w:cs="Arial"/>
                <w:b/>
                <w:bCs/>
                <w:color w:val="FFFFFF"/>
                <w:w w:val="70"/>
                <w:sz w:val="24"/>
                <w:szCs w:val="24"/>
              </w:rPr>
              <w:t>Tiempo transcurrido desde la lesión</w:t>
            </w:r>
          </w:p>
        </w:tc>
      </w:tr>
      <w:tr w:rsidR="0072615D" w14:paraId="145A6B39" w14:textId="77777777">
        <w:tblPrEx>
          <w:tblCellMar>
            <w:top w:w="0" w:type="dxa"/>
            <w:bottom w:w="0" w:type="dxa"/>
          </w:tblCellMar>
        </w:tblPrEx>
        <w:trPr>
          <w:trHeight w:hRule="exact" w:val="317"/>
        </w:trPr>
        <w:tc>
          <w:tcPr>
            <w:tcW w:w="2798" w:type="dxa"/>
            <w:shd w:val="clear" w:color="auto" w:fill="231F20"/>
          </w:tcPr>
          <w:p w14:paraId="71828D59" w14:textId="77777777" w:rsidR="0072615D" w:rsidRDefault="0072615D">
            <w:pPr>
              <w:pStyle w:val="Other0"/>
              <w:framePr w:w="11400" w:h="576" w:vSpace="514" w:wrap="none" w:hAnchor="page" w:x="649"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Categoría del tratamiento</w:t>
            </w:r>
          </w:p>
        </w:tc>
        <w:tc>
          <w:tcPr>
            <w:tcW w:w="2002" w:type="dxa"/>
            <w:tcBorders>
              <w:top w:val="single" w:sz="4" w:space="0" w:color="auto"/>
            </w:tcBorders>
            <w:shd w:val="clear" w:color="auto" w:fill="231F20"/>
          </w:tcPr>
          <w:p w14:paraId="38757E60" w14:textId="77777777" w:rsidR="0072615D" w:rsidRDefault="0072615D">
            <w:pPr>
              <w:pStyle w:val="Other0"/>
              <w:framePr w:w="11400" w:h="576" w:vSpace="514" w:wrap="none" w:hAnchor="page" w:x="649" w:y="361"/>
              <w:pBdr>
                <w:top w:val="single" w:sz="0" w:space="0" w:color="231F20"/>
                <w:left w:val="single" w:sz="0" w:space="0" w:color="231F20"/>
                <w:bottom w:val="single" w:sz="0" w:space="0" w:color="231F20"/>
                <w:right w:val="single" w:sz="0" w:space="0" w:color="231F20"/>
              </w:pBdr>
              <w:shd w:val="clear" w:color="auto" w:fill="231F20"/>
              <w:spacing w:line="240" w:lineRule="auto"/>
              <w:ind w:firstLine="640"/>
              <w:rPr>
                <w:sz w:val="24"/>
                <w:szCs w:val="24"/>
              </w:rPr>
            </w:pPr>
            <w:r>
              <w:rPr>
                <w:rFonts w:ascii="Arial" w:eastAsia="Arial" w:hAnsi="Arial" w:cs="Arial"/>
                <w:b/>
                <w:bCs/>
                <w:color w:val="FFFFFF"/>
                <w:w w:val="70"/>
                <w:sz w:val="24"/>
                <w:szCs w:val="24"/>
              </w:rPr>
              <w:t>menos de 8 h</w:t>
            </w:r>
          </w:p>
        </w:tc>
        <w:tc>
          <w:tcPr>
            <w:tcW w:w="6600" w:type="dxa"/>
            <w:tcBorders>
              <w:top w:val="single" w:sz="4" w:space="0" w:color="auto"/>
            </w:tcBorders>
            <w:shd w:val="clear" w:color="auto" w:fill="231F20"/>
          </w:tcPr>
          <w:p w14:paraId="0E7E0A36" w14:textId="77777777" w:rsidR="0072615D" w:rsidRDefault="0072615D">
            <w:pPr>
              <w:pStyle w:val="Other0"/>
              <w:framePr w:w="11400" w:h="576" w:vSpace="514" w:wrap="none" w:hAnchor="page" w:x="649"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&gt;8 h</w:t>
            </w:r>
          </w:p>
        </w:tc>
      </w:tr>
    </w:tbl>
    <w:p w14:paraId="6BD0269F" w14:textId="77777777" w:rsidR="0072615D" w:rsidRDefault="0072615D">
      <w:pPr>
        <w:framePr w:w="11400" w:h="576" w:vSpace="514" w:wrap="none" w:hAnchor="page" w:x="649" w:y="361"/>
        <w:spacing w:line="1" w:lineRule="exact"/>
      </w:pPr>
    </w:p>
    <w:p w14:paraId="2B669574" w14:textId="77777777" w:rsidR="0072615D" w:rsidRDefault="0072615D">
      <w:pPr>
        <w:pStyle w:val="Tablecaption0"/>
        <w:framePr w:w="1450" w:h="235" w:wrap="none" w:hAnchor="page" w:x="692" w:y="990"/>
        <w:spacing w:line="240" w:lineRule="auto"/>
        <w:ind w:left="0"/>
        <w:rPr>
          <w:sz w:val="16"/>
          <w:szCs w:val="16"/>
        </w:rPr>
      </w:pPr>
      <w:r>
        <w:rPr>
          <w:sz w:val="16"/>
          <w:szCs w:val="16"/>
        </w:rPr>
        <w:t>Método de limpieza</w:t>
      </w:r>
    </w:p>
    <w:p w14:paraId="19804801" w14:textId="77777777" w:rsidR="0072615D" w:rsidRDefault="0072615D">
      <w:pPr>
        <w:pStyle w:val="Tablecaption0"/>
        <w:framePr w:w="3744" w:h="461" w:wrap="none" w:hAnchor="page" w:x="8027" w:y="990"/>
        <w:spacing w:line="283" w:lineRule="auto"/>
        <w:ind w:left="0"/>
        <w:rPr>
          <w:sz w:val="16"/>
          <w:szCs w:val="16"/>
        </w:rPr>
      </w:pPr>
      <w:r>
        <w:rPr>
          <w:sz w:val="16"/>
          <w:szCs w:val="16"/>
        </w:rPr>
        <w:t>Igual que el que se hace en heridas que tienen menos de 8 h</w:t>
      </w:r>
    </w:p>
    <w:p w14:paraId="6956FF11" w14:textId="77777777" w:rsidR="0072615D" w:rsidRDefault="0072615D">
      <w:pPr>
        <w:pStyle w:val="Bodytext20"/>
        <w:framePr w:w="7277" w:h="2851" w:wrap="none" w:hAnchor="page" w:x="697" w:y="990"/>
        <w:ind w:left="3520" w:hanging="100"/>
      </w:pPr>
      <w:r>
        <w:t>Eliminar con torundas la suciedad visible. Lavar con abundante solución salina estéril con un sistema de irrigación a gran presión (con jeringa).</w:t>
      </w:r>
      <w:r>
        <w:rPr>
          <w:vertAlign w:val="superscript"/>
        </w:rPr>
        <w:t>1</w:t>
      </w:r>
      <w:r>
        <w:t xml:space="preserve"> No irrigar las heridas puntiformes</w:t>
      </w:r>
    </w:p>
    <w:p w14:paraId="49840B90" w14:textId="77777777" w:rsidR="0072615D" w:rsidRDefault="0072615D">
      <w:pPr>
        <w:pStyle w:val="Bodytext20"/>
        <w:framePr w:w="7277" w:h="2851" w:wrap="none" w:hAnchor="page" w:x="697" w:y="990"/>
        <w:ind w:left="3520" w:hanging="3520"/>
      </w:pPr>
      <w:r>
        <w:t>Obtención de material de la herida para cultivo No se tomará el material salvo que existan signos de infección</w:t>
      </w:r>
    </w:p>
    <w:p w14:paraId="69BC6BBA" w14:textId="77777777" w:rsidR="0072615D" w:rsidRDefault="0072615D">
      <w:pPr>
        <w:pStyle w:val="Bodytext20"/>
        <w:framePr w:w="7277" w:h="2851" w:wrap="none" w:hAnchor="page" w:x="697" w:y="990"/>
        <w:ind w:left="3420"/>
      </w:pPr>
      <w:r>
        <w:t>Eliminar tejido desvitalizado</w:t>
      </w:r>
    </w:p>
    <w:p w14:paraId="7C7DA54B" w14:textId="77777777" w:rsidR="0072615D" w:rsidRDefault="0072615D">
      <w:pPr>
        <w:pStyle w:val="Bodytext20"/>
        <w:framePr w:w="7277" w:h="2851" w:wrap="none" w:hAnchor="page" w:x="697" w:y="990"/>
        <w:ind w:left="3420"/>
      </w:pPr>
      <w:r>
        <w:t>Se harán en los casos siguientes:</w:t>
      </w:r>
    </w:p>
    <w:p w14:paraId="7B3B2F92" w14:textId="77777777" w:rsidR="0072615D" w:rsidRDefault="0072615D">
      <w:pPr>
        <w:pStyle w:val="Bodytext20"/>
        <w:framePr w:w="7277" w:h="2851" w:wrap="none" w:hAnchor="page" w:x="697" w:y="990"/>
        <w:numPr>
          <w:ilvl w:val="0"/>
          <w:numId w:val="50"/>
        </w:numPr>
        <w:tabs>
          <w:tab w:val="left" w:pos="3540"/>
        </w:tabs>
        <w:ind w:left="3420"/>
      </w:pPr>
      <w:bookmarkStart w:id="566" w:name="bookmark566"/>
      <w:bookmarkEnd w:id="566"/>
      <w:r>
        <w:t>Heridas extensas (tejido desvitalizado)</w:t>
      </w:r>
    </w:p>
    <w:p w14:paraId="289CE1A9" w14:textId="77777777" w:rsidR="0072615D" w:rsidRDefault="0072615D">
      <w:pPr>
        <w:pStyle w:val="Bodytext20"/>
        <w:framePr w:w="7277" w:h="2851" w:wrap="none" w:hAnchor="page" w:x="697" w:y="990"/>
        <w:numPr>
          <w:ilvl w:val="0"/>
          <w:numId w:val="50"/>
        </w:numPr>
        <w:tabs>
          <w:tab w:val="left" w:pos="3526"/>
        </w:tabs>
        <w:ind w:left="3520" w:hanging="100"/>
      </w:pPr>
      <w:bookmarkStart w:id="567" w:name="bookmark567"/>
      <w:bookmarkEnd w:id="567"/>
      <w:r>
        <w:t>Ataque de una articulación metacarpofalángica (lesión con puño cerrado)</w:t>
      </w:r>
    </w:p>
    <w:p w14:paraId="2589E058" w14:textId="77777777" w:rsidR="0072615D" w:rsidRDefault="0072615D">
      <w:pPr>
        <w:pStyle w:val="Bodytext20"/>
        <w:framePr w:w="7277" w:h="2851" w:wrap="none" w:hAnchor="page" w:x="697" w:y="990"/>
        <w:numPr>
          <w:ilvl w:val="0"/>
          <w:numId w:val="50"/>
        </w:numPr>
        <w:tabs>
          <w:tab w:val="left" w:pos="3530"/>
        </w:tabs>
        <w:ind w:left="3420"/>
      </w:pPr>
      <w:bookmarkStart w:id="568" w:name="bookmark568"/>
      <w:bookmarkEnd w:id="568"/>
      <w:r>
        <w:t>Mordeduras de la cabeza, infligidas por un gran animal</w:t>
      </w:r>
      <w:r>
        <w:rPr>
          <w:vertAlign w:val="superscript"/>
        </w:rPr>
        <w:t xml:space="preserve">2 </w:t>
      </w:r>
      <w:r>
        <w:t>Se hará el cierre en el caso de mordeduras no puntiformes</w:t>
      </w:r>
    </w:p>
    <w:p w14:paraId="3570628A" w14:textId="77777777" w:rsidR="0072615D" w:rsidRDefault="0072615D">
      <w:pPr>
        <w:pStyle w:val="Bodytext20"/>
        <w:framePr w:w="2966" w:h="451" w:wrap="none" w:hAnchor="page" w:x="697" w:y="2291"/>
        <w:spacing w:line="240" w:lineRule="auto"/>
      </w:pPr>
      <w:r>
        <w:t>Desbridamiento</w:t>
      </w:r>
    </w:p>
    <w:p w14:paraId="3381286B" w14:textId="77777777" w:rsidR="0072615D" w:rsidRDefault="0072615D">
      <w:pPr>
        <w:pStyle w:val="Bodytext20"/>
        <w:framePr w:w="2966" w:h="451" w:wrap="none" w:hAnchor="page" w:x="697" w:y="2291"/>
        <w:spacing w:line="240" w:lineRule="auto"/>
      </w:pPr>
      <w:r>
        <w:t>Desbridamiento y exploración quirúrgicas</w:t>
      </w:r>
    </w:p>
    <w:p w14:paraId="7CF85401" w14:textId="77777777" w:rsidR="0072615D" w:rsidRDefault="0072615D">
      <w:pPr>
        <w:pStyle w:val="Bodytext20"/>
        <w:framePr w:w="3797" w:h="893" w:wrap="none" w:hAnchor="page" w:x="8027" w:y="1859"/>
      </w:pPr>
      <w:r>
        <w:t>Se practica, excepto en heridas que han tenido más de 24 h y que no tienen signos de infección</w:t>
      </w:r>
    </w:p>
    <w:p w14:paraId="5DBBA0F9" w14:textId="77777777" w:rsidR="0072615D" w:rsidRDefault="0072615D">
      <w:pPr>
        <w:pStyle w:val="Bodytext20"/>
        <w:framePr w:w="3797" w:h="893" w:wrap="none" w:hAnchor="page" w:x="8027" w:y="1859"/>
      </w:pPr>
      <w:r>
        <w:t>Igual que el que se sigue en heridas con menos de 8 h</w:t>
      </w:r>
    </w:p>
    <w:p w14:paraId="021B5EFB" w14:textId="77777777" w:rsidR="0072615D" w:rsidRDefault="0072615D">
      <w:pPr>
        <w:pStyle w:val="Bodytext20"/>
        <w:framePr w:w="3797" w:h="893" w:wrap="none" w:hAnchor="page" w:x="8027" w:y="1859"/>
      </w:pPr>
      <w:r>
        <w:t>Igual que el que se sigue en heridas con menos de 8 h</w:t>
      </w:r>
    </w:p>
    <w:p w14:paraId="6F177396" w14:textId="77777777" w:rsidR="0072615D" w:rsidRDefault="0072615D">
      <w:pPr>
        <w:pStyle w:val="Bodytext20"/>
        <w:framePr w:w="2760" w:h="653" w:wrap="none" w:hAnchor="page" w:x="683" w:y="3596"/>
        <w:spacing w:line="295" w:lineRule="auto"/>
      </w:pPr>
      <w:r>
        <w:t>Cierre de la herida</w:t>
      </w:r>
    </w:p>
    <w:p w14:paraId="71BA285E" w14:textId="77777777" w:rsidR="0072615D" w:rsidRDefault="0072615D">
      <w:pPr>
        <w:pStyle w:val="Bodytext20"/>
        <w:framePr w:w="2760" w:h="653" w:wrap="none" w:hAnchor="page" w:x="683" w:y="3596"/>
        <w:spacing w:line="295" w:lineRule="auto"/>
      </w:pPr>
      <w:r>
        <w:t>Valoración del estado de inmunización contra el tétanos</w:t>
      </w:r>
      <w:r>
        <w:rPr>
          <w:vertAlign w:val="superscript"/>
        </w:rPr>
        <w:t>3</w:t>
      </w:r>
    </w:p>
    <w:p w14:paraId="0DAB9E0E" w14:textId="77777777" w:rsidR="0072615D" w:rsidRDefault="0072615D">
      <w:pPr>
        <w:pStyle w:val="Bodytext20"/>
        <w:framePr w:w="278" w:h="221" w:wrap="none" w:hAnchor="page" w:x="8017" w:y="3601"/>
        <w:spacing w:line="240" w:lineRule="auto"/>
      </w:pPr>
      <w:r>
        <w:t>No</w:t>
      </w:r>
    </w:p>
    <w:p w14:paraId="0BDB34F7" w14:textId="77777777" w:rsidR="0072615D" w:rsidRDefault="0072615D">
      <w:pPr>
        <w:pStyle w:val="Bodytext80"/>
        <w:framePr w:w="168" w:h="3965" w:hRule="exact" w:wrap="none" w:hAnchor="page" w:x="12390" w:y="35"/>
        <w:tabs>
          <w:tab w:val="left" w:pos="2909"/>
        </w:tabs>
        <w:textDirection w:val="tbRl"/>
      </w:pPr>
      <w:r>
        <w:rPr>
          <w:sz w:val="16"/>
          <w:szCs w:val="16"/>
        </w:rPr>
        <w:t>202</w:t>
      </w:r>
      <w:r>
        <w:rPr>
          <w:sz w:val="16"/>
          <w:szCs w:val="16"/>
        </w:rPr>
        <w:tab/>
      </w:r>
      <w:r>
        <w:t>MORDEDURAS</w:t>
      </w:r>
    </w:p>
    <w:p w14:paraId="738B8BD8" w14:textId="77777777" w:rsidR="0072615D" w:rsidRDefault="0072615D">
      <w:pPr>
        <w:pStyle w:val="Bodytext20"/>
        <w:framePr w:w="187" w:h="206" w:wrap="none" w:hAnchor="page" w:x="4095" w:y="4043"/>
        <w:spacing w:line="240" w:lineRule="auto"/>
      </w:pPr>
      <w:r>
        <w:t>Sí</w:t>
      </w:r>
    </w:p>
    <w:p w14:paraId="4B80CC70" w14:textId="77777777" w:rsidR="0072615D" w:rsidRDefault="0072615D">
      <w:pPr>
        <w:pStyle w:val="Bodytext20"/>
        <w:framePr w:w="187" w:h="206" w:wrap="none" w:hAnchor="page" w:x="8027" w:y="4043"/>
        <w:spacing w:line="240" w:lineRule="auto"/>
      </w:pPr>
      <w:r>
        <w:t>Sí</w:t>
      </w:r>
    </w:p>
    <w:p w14:paraId="272FBEFA" w14:textId="77777777" w:rsidR="0072615D" w:rsidRDefault="0072615D">
      <w:pPr>
        <w:pStyle w:val="Tableofcontents0"/>
        <w:framePr w:w="3600" w:h="1565" w:wrap="none" w:hAnchor="page" w:x="683" w:y="4254"/>
        <w:tabs>
          <w:tab w:val="right" w:pos="3437"/>
        </w:tabs>
        <w:spacing w:line="288" w:lineRule="auto"/>
        <w:rPr>
          <w:sz w:val="16"/>
          <w:szCs w:val="16"/>
        </w:rPr>
      </w:pPr>
      <w:r>
        <w:rPr>
          <w:rFonts w:ascii="Times New Roman" w:eastAsia="Times New Roman" w:hAnsi="Times New Roman" w:cs="Times New Roman"/>
          <w:sz w:val="16"/>
          <w:szCs w:val="16"/>
        </w:rPr>
        <w:t>Valoración del riesgo de rabia por mordeduras de animales</w:t>
      </w:r>
      <w:r>
        <w:rPr>
          <w:rFonts w:ascii="Times New Roman" w:eastAsia="Times New Roman" w:hAnsi="Times New Roman" w:cs="Times New Roman"/>
          <w:sz w:val="16"/>
          <w:szCs w:val="16"/>
          <w:vertAlign w:val="superscript"/>
        </w:rPr>
        <w:t>4</w:t>
      </w:r>
      <w:r>
        <w:rPr>
          <w:rFonts w:ascii="Times New Roman" w:eastAsia="Times New Roman" w:hAnsi="Times New Roman" w:cs="Times New Roman"/>
          <w:sz w:val="16"/>
          <w:szCs w:val="16"/>
        </w:rPr>
        <w:tab/>
        <w:t>Sí</w:t>
      </w:r>
    </w:p>
    <w:p w14:paraId="6DBE51F0" w14:textId="77777777" w:rsidR="0072615D" w:rsidRDefault="0072615D">
      <w:pPr>
        <w:pStyle w:val="Tableofcontents0"/>
        <w:framePr w:w="3600" w:h="1565" w:wrap="none" w:hAnchor="page" w:x="683" w:y="4254"/>
        <w:tabs>
          <w:tab w:val="right" w:pos="3437"/>
        </w:tabs>
        <w:spacing w:line="288" w:lineRule="auto"/>
        <w:rPr>
          <w:sz w:val="16"/>
          <w:szCs w:val="16"/>
        </w:rPr>
      </w:pPr>
      <w:r>
        <w:rPr>
          <w:rFonts w:ascii="Times New Roman" w:eastAsia="Times New Roman" w:hAnsi="Times New Roman" w:cs="Times New Roman"/>
          <w:sz w:val="16"/>
          <w:szCs w:val="16"/>
        </w:rPr>
        <w:t>Valoración del riesgo de hepatitis B por mordeduras de humanos</w:t>
      </w:r>
      <w:r>
        <w:rPr>
          <w:rFonts w:ascii="Times New Roman" w:eastAsia="Times New Roman" w:hAnsi="Times New Roman" w:cs="Times New Roman"/>
          <w:sz w:val="16"/>
          <w:szCs w:val="16"/>
          <w:vertAlign w:val="superscript"/>
        </w:rPr>
        <w:t>5</w:t>
      </w:r>
      <w:r>
        <w:rPr>
          <w:rFonts w:ascii="Times New Roman" w:eastAsia="Times New Roman" w:hAnsi="Times New Roman" w:cs="Times New Roman"/>
          <w:sz w:val="16"/>
          <w:szCs w:val="16"/>
        </w:rPr>
        <w:tab/>
        <w:t>Sí</w:t>
      </w:r>
    </w:p>
    <w:p w14:paraId="395A4B37" w14:textId="77777777" w:rsidR="0072615D" w:rsidRDefault="0072615D">
      <w:pPr>
        <w:pStyle w:val="Tableofcontents0"/>
        <w:framePr w:w="3600" w:h="1565" w:wrap="none" w:hAnchor="page" w:x="683" w:y="4254"/>
        <w:tabs>
          <w:tab w:val="right" w:pos="3437"/>
        </w:tabs>
        <w:spacing w:line="288" w:lineRule="auto"/>
        <w:rPr>
          <w:sz w:val="16"/>
          <w:szCs w:val="16"/>
        </w:rPr>
      </w:pPr>
      <w:r>
        <w:rPr>
          <w:rFonts w:ascii="Times New Roman" w:eastAsia="Times New Roman" w:hAnsi="Times New Roman" w:cs="Times New Roman"/>
          <w:sz w:val="16"/>
          <w:szCs w:val="16"/>
        </w:rPr>
        <w:t>Valoración del riesgo de contagio del virus de inmunodeficiencia humana por mordeduras de humanos</w:t>
      </w:r>
      <w:r>
        <w:rPr>
          <w:rFonts w:ascii="Times New Roman" w:eastAsia="Times New Roman" w:hAnsi="Times New Roman" w:cs="Times New Roman"/>
          <w:sz w:val="16"/>
          <w:szCs w:val="16"/>
          <w:vertAlign w:val="superscript"/>
        </w:rPr>
        <w:t>6</w:t>
      </w:r>
      <w:r>
        <w:rPr>
          <w:rFonts w:ascii="Times New Roman" w:eastAsia="Times New Roman" w:hAnsi="Times New Roman" w:cs="Times New Roman"/>
          <w:sz w:val="16"/>
          <w:szCs w:val="16"/>
        </w:rPr>
        <w:tab/>
        <w:t>Sí</w:t>
      </w:r>
    </w:p>
    <w:p w14:paraId="58044D87" w14:textId="77777777" w:rsidR="0072615D" w:rsidRDefault="0072615D">
      <w:pPr>
        <w:pStyle w:val="Bodytext20"/>
        <w:framePr w:w="187" w:h="1315" w:wrap="none" w:hAnchor="page" w:x="8027" w:y="4479"/>
        <w:spacing w:after="240" w:line="240" w:lineRule="auto"/>
      </w:pPr>
      <w:r>
        <w:t>Sí</w:t>
      </w:r>
    </w:p>
    <w:p w14:paraId="381F1800" w14:textId="77777777" w:rsidR="0072615D" w:rsidRDefault="0072615D">
      <w:pPr>
        <w:pStyle w:val="Bodytext20"/>
        <w:framePr w:w="187" w:h="1315" w:wrap="none" w:hAnchor="page" w:x="8027" w:y="4479"/>
        <w:spacing w:after="460" w:line="240" w:lineRule="auto"/>
      </w:pPr>
      <w:r>
        <w:t>Sí</w:t>
      </w:r>
    </w:p>
    <w:p w14:paraId="1BE87751" w14:textId="77777777" w:rsidR="0072615D" w:rsidRDefault="0072615D">
      <w:pPr>
        <w:pStyle w:val="Bodytext20"/>
        <w:framePr w:w="187" w:h="1315" w:wrap="none" w:hAnchor="page" w:x="8027" w:y="4479"/>
        <w:spacing w:after="360" w:line="240" w:lineRule="auto"/>
      </w:pPr>
      <w:r>
        <w:t>Sí</w:t>
      </w:r>
    </w:p>
    <w:p w14:paraId="4036248F" w14:textId="77777777" w:rsidR="0072615D" w:rsidRDefault="0072615D">
      <w:pPr>
        <w:spacing w:line="360" w:lineRule="exact"/>
      </w:pPr>
    </w:p>
    <w:p w14:paraId="78255C62" w14:textId="77777777" w:rsidR="0072615D" w:rsidRDefault="0072615D">
      <w:pPr>
        <w:spacing w:line="360" w:lineRule="exact"/>
      </w:pPr>
    </w:p>
    <w:p w14:paraId="4C562505" w14:textId="77777777" w:rsidR="0072615D" w:rsidRDefault="0072615D">
      <w:pPr>
        <w:spacing w:line="360" w:lineRule="exact"/>
      </w:pPr>
    </w:p>
    <w:p w14:paraId="1FD70FC1" w14:textId="77777777" w:rsidR="0072615D" w:rsidRDefault="0072615D">
      <w:pPr>
        <w:spacing w:line="360" w:lineRule="exact"/>
      </w:pPr>
    </w:p>
    <w:p w14:paraId="188417E9" w14:textId="77777777" w:rsidR="0072615D" w:rsidRDefault="0072615D">
      <w:pPr>
        <w:spacing w:line="360" w:lineRule="exact"/>
      </w:pPr>
    </w:p>
    <w:p w14:paraId="1E961359" w14:textId="77777777" w:rsidR="0072615D" w:rsidRDefault="0072615D">
      <w:pPr>
        <w:spacing w:line="360" w:lineRule="exact"/>
      </w:pPr>
    </w:p>
    <w:p w14:paraId="7E70FEAB" w14:textId="77777777" w:rsidR="0072615D" w:rsidRDefault="0072615D">
      <w:pPr>
        <w:spacing w:line="360" w:lineRule="exact"/>
      </w:pPr>
    </w:p>
    <w:p w14:paraId="4FE6CEF2" w14:textId="77777777" w:rsidR="0072615D" w:rsidRDefault="0072615D">
      <w:pPr>
        <w:spacing w:line="360" w:lineRule="exact"/>
      </w:pPr>
    </w:p>
    <w:p w14:paraId="649DF83F" w14:textId="77777777" w:rsidR="0072615D" w:rsidRDefault="0072615D">
      <w:pPr>
        <w:spacing w:line="360" w:lineRule="exact"/>
      </w:pPr>
    </w:p>
    <w:p w14:paraId="1B497D07" w14:textId="77777777" w:rsidR="0072615D" w:rsidRDefault="0072615D">
      <w:pPr>
        <w:spacing w:line="360" w:lineRule="exact"/>
      </w:pPr>
    </w:p>
    <w:p w14:paraId="6D4E3DD9" w14:textId="77777777" w:rsidR="0072615D" w:rsidRDefault="0072615D">
      <w:pPr>
        <w:spacing w:line="360" w:lineRule="exact"/>
      </w:pPr>
    </w:p>
    <w:p w14:paraId="6DA79288" w14:textId="77777777" w:rsidR="0072615D" w:rsidRDefault="0072615D">
      <w:pPr>
        <w:spacing w:line="360" w:lineRule="exact"/>
      </w:pPr>
    </w:p>
    <w:p w14:paraId="50AD7067" w14:textId="77777777" w:rsidR="0072615D" w:rsidRDefault="0072615D">
      <w:pPr>
        <w:spacing w:line="360" w:lineRule="exact"/>
      </w:pPr>
    </w:p>
    <w:p w14:paraId="28BE0925" w14:textId="77777777" w:rsidR="0072615D" w:rsidRDefault="0072615D">
      <w:pPr>
        <w:spacing w:line="360" w:lineRule="exact"/>
      </w:pPr>
    </w:p>
    <w:p w14:paraId="1D718F3C" w14:textId="77777777" w:rsidR="0072615D" w:rsidRDefault="0072615D">
      <w:pPr>
        <w:spacing w:line="360" w:lineRule="exact"/>
      </w:pPr>
    </w:p>
    <w:p w14:paraId="2890AC84" w14:textId="77777777" w:rsidR="0072615D" w:rsidRDefault="0072615D">
      <w:pPr>
        <w:spacing w:after="417" w:line="1" w:lineRule="exact"/>
      </w:pPr>
    </w:p>
    <w:p w14:paraId="513714E0" w14:textId="77777777" w:rsidR="0072615D" w:rsidRDefault="0072615D">
      <w:pPr>
        <w:spacing w:line="1" w:lineRule="exact"/>
        <w:sectPr w:rsidR="0072615D" w:rsidSect="0072615D">
          <w:headerReference w:type="even" r:id="rId398"/>
          <w:headerReference w:type="default" r:id="rId399"/>
          <w:footerReference w:type="even" r:id="rId400"/>
          <w:footerReference w:type="default" r:id="rId401"/>
          <w:footnotePr>
            <w:numFmt w:val="chicago"/>
          </w:footnotePr>
          <w:pgSz w:w="13022" w:h="8501" w:orient="landscape"/>
          <w:pgMar w:top="470" w:right="466" w:bottom="1148" w:left="648" w:header="42" w:footer="3" w:gutter="0"/>
          <w:cols w:space="720"/>
          <w:noEndnote/>
          <w:docGrid w:linePitch="360"/>
          <w15:footnoteColumns w:val="1"/>
        </w:sectPr>
      </w:pPr>
    </w:p>
    <w:p w14:paraId="4928B5CF" w14:textId="77777777" w:rsidR="0072615D" w:rsidRDefault="0072615D">
      <w:pPr>
        <w:spacing w:line="1" w:lineRule="exact"/>
      </w:pPr>
      <w:r>
        <w:rPr>
          <w:noProof/>
        </w:rPr>
        <mc:AlternateContent>
          <mc:Choice Requires="wps">
            <w:drawing>
              <wp:anchor distT="0" distB="0" distL="114300" distR="114300" simplePos="0" relativeHeight="251689984" behindDoc="0" locked="0" layoutInCell="1" allowOverlap="1" wp14:anchorId="00870652" wp14:editId="570A23FF">
                <wp:simplePos x="0" y="0"/>
                <wp:positionH relativeFrom="page">
                  <wp:posOffset>402590</wp:posOffset>
                </wp:positionH>
                <wp:positionV relativeFrom="paragraph">
                  <wp:posOffset>234950</wp:posOffset>
                </wp:positionV>
                <wp:extent cx="7239000" cy="554990"/>
                <wp:effectExtent l="0" t="0" r="0" b="0"/>
                <wp:wrapTopAndBottom/>
                <wp:docPr id="431" name="Shape 431"/>
                <wp:cNvGraphicFramePr/>
                <a:graphic xmlns:a="http://schemas.openxmlformats.org/drawingml/2006/main">
                  <a:graphicData uri="http://schemas.microsoft.com/office/word/2010/wordprocessingShape">
                    <wps:wsp>
                      <wps:cNvSpPr txBox="1"/>
                      <wps:spPr>
                        <a:xfrm>
                          <a:off x="0" y="0"/>
                          <a:ext cx="7239000" cy="554990"/>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010"/>
                              <w:gridCol w:w="1790"/>
                              <w:gridCol w:w="6600"/>
                            </w:tblGrid>
                            <w:tr w:rsidR="0072615D" w14:paraId="17632109" w14:textId="77777777">
                              <w:tblPrEx>
                                <w:tblCellMar>
                                  <w:top w:w="0" w:type="dxa"/>
                                  <w:bottom w:w="0" w:type="dxa"/>
                                </w:tblCellMar>
                              </w:tblPrEx>
                              <w:trPr>
                                <w:trHeight w:hRule="exact" w:val="254"/>
                                <w:tblHeader/>
                              </w:trPr>
                              <w:tc>
                                <w:tcPr>
                                  <w:tcW w:w="3010" w:type="dxa"/>
                                  <w:vMerge w:val="restart"/>
                                  <w:shd w:val="clear" w:color="auto" w:fill="231F20"/>
                                  <w:vAlign w:val="bottom"/>
                                </w:tcPr>
                                <w:p w14:paraId="5E5CAAC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Categoría del tratamiento</w:t>
                                  </w:r>
                                </w:p>
                              </w:tc>
                              <w:tc>
                                <w:tcPr>
                                  <w:tcW w:w="8390" w:type="dxa"/>
                                  <w:gridSpan w:val="2"/>
                                  <w:shd w:val="clear" w:color="auto" w:fill="231F20"/>
                                  <w:vAlign w:val="bottom"/>
                                </w:tcPr>
                                <w:p w14:paraId="241010D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Tiempo transcurrido desde la lesión</w:t>
                                  </w:r>
                                </w:p>
                              </w:tc>
                            </w:tr>
                            <w:tr w:rsidR="0072615D" w14:paraId="353B7FF7" w14:textId="77777777">
                              <w:tblPrEx>
                                <w:tblCellMar>
                                  <w:top w:w="0" w:type="dxa"/>
                                  <w:bottom w:w="0" w:type="dxa"/>
                                </w:tblCellMar>
                              </w:tblPrEx>
                              <w:trPr>
                                <w:trHeight w:hRule="exact" w:val="307"/>
                              </w:trPr>
                              <w:tc>
                                <w:tcPr>
                                  <w:tcW w:w="3010" w:type="dxa"/>
                                  <w:vMerge/>
                                  <w:shd w:val="clear" w:color="auto" w:fill="231F20"/>
                                  <w:vAlign w:val="bottom"/>
                                </w:tcPr>
                                <w:p w14:paraId="50F725B1" w14:textId="77777777" w:rsidR="0072615D" w:rsidRDefault="0072615D"/>
                              </w:tc>
                              <w:tc>
                                <w:tcPr>
                                  <w:tcW w:w="1790" w:type="dxa"/>
                                  <w:tcBorders>
                                    <w:top w:val="single" w:sz="4" w:space="0" w:color="auto"/>
                                  </w:tcBorders>
                                  <w:shd w:val="clear" w:color="auto" w:fill="231F20"/>
                                </w:tcPr>
                                <w:p w14:paraId="346DE5D2"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40"/>
                                    <w:rPr>
                                      <w:sz w:val="24"/>
                                      <w:szCs w:val="24"/>
                                    </w:rPr>
                                  </w:pPr>
                                  <w:r>
                                    <w:rPr>
                                      <w:rFonts w:ascii="Arial" w:eastAsia="Arial" w:hAnsi="Arial" w:cs="Arial"/>
                                      <w:b/>
                                      <w:bCs/>
                                      <w:color w:val="FFFFFF"/>
                                      <w:w w:val="70"/>
                                      <w:sz w:val="24"/>
                                      <w:szCs w:val="24"/>
                                    </w:rPr>
                                    <w:t>menos de 8 h</w:t>
                                  </w:r>
                                </w:p>
                              </w:tc>
                              <w:tc>
                                <w:tcPr>
                                  <w:tcW w:w="6600" w:type="dxa"/>
                                  <w:tcBorders>
                                    <w:top w:val="single" w:sz="4" w:space="0" w:color="auto"/>
                                  </w:tcBorders>
                                  <w:shd w:val="clear" w:color="auto" w:fill="231F20"/>
                                </w:tcPr>
                                <w:p w14:paraId="7716800E"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&gt;8 h</w:t>
                                  </w:r>
                                </w:p>
                              </w:tc>
                            </w:tr>
                            <w:tr w:rsidR="0072615D" w14:paraId="11D92F99" w14:textId="77777777">
                              <w:tblPrEx>
                                <w:tblCellMar>
                                  <w:top w:w="0" w:type="dxa"/>
                                  <w:bottom w:w="0" w:type="dxa"/>
                                </w:tblCellMar>
                              </w:tblPrEx>
                              <w:trPr>
                                <w:trHeight w:hRule="exact" w:val="312"/>
                              </w:trPr>
                              <w:tc>
                                <w:tcPr>
                                  <w:tcW w:w="3010" w:type="dxa"/>
                                  <w:shd w:val="clear" w:color="auto" w:fill="FFFFFF"/>
                                  <w:vAlign w:val="bottom"/>
                                </w:tcPr>
                                <w:p w14:paraId="46A8E95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Emprender terapia antimicrobiana</w:t>
                                  </w:r>
                                  <w:r>
                                    <w:rPr>
                                      <w:rFonts w:ascii="Times New Roman" w:eastAsia="Times New Roman" w:hAnsi="Times New Roman" w:cs="Times New Roman"/>
                                      <w:sz w:val="16"/>
                                      <w:szCs w:val="16"/>
                                      <w:vertAlign w:val="superscript"/>
                                    </w:rPr>
                                    <w:t>7</w:t>
                                  </w:r>
                                </w:p>
                              </w:tc>
                              <w:tc>
                                <w:tcPr>
                                  <w:tcW w:w="1790" w:type="dxa"/>
                                  <w:shd w:val="clear" w:color="auto" w:fill="FFFFFF"/>
                                  <w:vAlign w:val="bottom"/>
                                </w:tcPr>
                                <w:p w14:paraId="590C9ACD" w14:textId="77777777" w:rsidR="0072615D" w:rsidRDefault="0072615D">
                                  <w:pPr>
                                    <w:pStyle w:val="Other0"/>
                                    <w:spacing w:line="240" w:lineRule="auto"/>
                                    <w:ind w:firstLine="440"/>
                                    <w:rPr>
                                      <w:sz w:val="16"/>
                                      <w:szCs w:val="16"/>
                                    </w:rPr>
                                  </w:pPr>
                                  <w:r>
                                    <w:rPr>
                                      <w:rFonts w:ascii="Times New Roman" w:eastAsia="Times New Roman" w:hAnsi="Times New Roman" w:cs="Times New Roman"/>
                                      <w:sz w:val="16"/>
                                      <w:szCs w:val="16"/>
                                    </w:rPr>
                                    <w:t>Sí en caso de:</w:t>
                                  </w:r>
                                </w:p>
                              </w:tc>
                              <w:tc>
                                <w:tcPr>
                                  <w:tcW w:w="6600" w:type="dxa"/>
                                  <w:shd w:val="clear" w:color="auto" w:fill="FFFFFF"/>
                                  <w:vAlign w:val="bottom"/>
                                </w:tcPr>
                                <w:p w14:paraId="539B8F66" w14:textId="77777777" w:rsidR="0072615D" w:rsidRDefault="0072615D">
                                  <w:pPr>
                                    <w:pStyle w:val="Other0"/>
                                    <w:spacing w:line="240" w:lineRule="auto"/>
                                    <w:ind w:left="2600" w:firstLine="0"/>
                                    <w:rPr>
                                      <w:sz w:val="16"/>
                                      <w:szCs w:val="16"/>
                                    </w:rPr>
                                  </w:pPr>
                                  <w:r>
                                    <w:rPr>
                                      <w:rFonts w:ascii="Times New Roman" w:eastAsia="Times New Roman" w:hAnsi="Times New Roman" w:cs="Times New Roman"/>
                                      <w:sz w:val="16"/>
                                      <w:szCs w:val="16"/>
                                    </w:rPr>
                                    <w:t>Igual que el que se hace en heridas de menos de 8 h y</w:t>
                                  </w:r>
                                </w:p>
                              </w:tc>
                            </w:tr>
                          </w:tbl>
                          <w:p w14:paraId="5403B781" w14:textId="77777777" w:rsidR="0072615D" w:rsidRDefault="0072615D">
                            <w:pPr>
                              <w:spacing w:line="1" w:lineRule="exact"/>
                            </w:pPr>
                          </w:p>
                        </w:txbxContent>
                      </wps:txbx>
                      <wps:bodyPr lIns="0" tIns="0" rIns="0" bIns="0"/>
                    </wps:wsp>
                  </a:graphicData>
                </a:graphic>
              </wp:anchor>
            </w:drawing>
          </mc:Choice>
          <mc:Fallback>
            <w:pict>
              <v:shape w14:anchorId="00870652" id="Shape 431" o:spid="_x0000_s1056" type="#_x0000_t202" style="position:absolute;margin-left:31.7pt;margin-top:18.5pt;width:570pt;height:43.7pt;z-index:2516899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3010"/>
                        <w:gridCol w:w="1790"/>
                        <w:gridCol w:w="6600"/>
                      </w:tblGrid>
                      <w:tr w:rsidR="0072615D" w14:paraId="17632109" w14:textId="77777777">
                        <w:tblPrEx>
                          <w:tblCellMar>
                            <w:top w:w="0" w:type="dxa"/>
                            <w:bottom w:w="0" w:type="dxa"/>
                          </w:tblCellMar>
                        </w:tblPrEx>
                        <w:trPr>
                          <w:trHeight w:hRule="exact" w:val="254"/>
                          <w:tblHeader/>
                        </w:trPr>
                        <w:tc>
                          <w:tcPr>
                            <w:tcW w:w="3010" w:type="dxa"/>
                            <w:vMerge w:val="restart"/>
                            <w:shd w:val="clear" w:color="auto" w:fill="231F20"/>
                            <w:vAlign w:val="bottom"/>
                          </w:tcPr>
                          <w:p w14:paraId="5E5CAAC4"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Categoría del tratamiento</w:t>
                            </w:r>
                          </w:p>
                        </w:tc>
                        <w:tc>
                          <w:tcPr>
                            <w:tcW w:w="8390" w:type="dxa"/>
                            <w:gridSpan w:val="2"/>
                            <w:shd w:val="clear" w:color="auto" w:fill="231F20"/>
                            <w:vAlign w:val="bottom"/>
                          </w:tcPr>
                          <w:p w14:paraId="241010D9"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20"/>
                              <w:rPr>
                                <w:sz w:val="24"/>
                                <w:szCs w:val="24"/>
                              </w:rPr>
                            </w:pPr>
                            <w:r>
                              <w:rPr>
                                <w:rFonts w:ascii="Arial" w:eastAsia="Arial" w:hAnsi="Arial" w:cs="Arial"/>
                                <w:b/>
                                <w:bCs/>
                                <w:color w:val="FFFFFF"/>
                                <w:w w:val="70"/>
                                <w:sz w:val="24"/>
                                <w:szCs w:val="24"/>
                              </w:rPr>
                              <w:t>Tiempo transcurrido desde la lesión</w:t>
                            </w:r>
                          </w:p>
                        </w:tc>
                      </w:tr>
                      <w:tr w:rsidR="0072615D" w14:paraId="353B7FF7" w14:textId="77777777">
                        <w:tblPrEx>
                          <w:tblCellMar>
                            <w:top w:w="0" w:type="dxa"/>
                            <w:bottom w:w="0" w:type="dxa"/>
                          </w:tblCellMar>
                        </w:tblPrEx>
                        <w:trPr>
                          <w:trHeight w:hRule="exact" w:val="307"/>
                        </w:trPr>
                        <w:tc>
                          <w:tcPr>
                            <w:tcW w:w="3010" w:type="dxa"/>
                            <w:vMerge/>
                            <w:shd w:val="clear" w:color="auto" w:fill="231F20"/>
                            <w:vAlign w:val="bottom"/>
                          </w:tcPr>
                          <w:p w14:paraId="50F725B1" w14:textId="77777777" w:rsidR="0072615D" w:rsidRDefault="0072615D"/>
                        </w:tc>
                        <w:tc>
                          <w:tcPr>
                            <w:tcW w:w="1790" w:type="dxa"/>
                            <w:tcBorders>
                              <w:top w:val="single" w:sz="4" w:space="0" w:color="auto"/>
                            </w:tcBorders>
                            <w:shd w:val="clear" w:color="auto" w:fill="231F20"/>
                          </w:tcPr>
                          <w:p w14:paraId="346DE5D2"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440"/>
                              <w:rPr>
                                <w:sz w:val="24"/>
                                <w:szCs w:val="24"/>
                              </w:rPr>
                            </w:pPr>
                            <w:r>
                              <w:rPr>
                                <w:rFonts w:ascii="Arial" w:eastAsia="Arial" w:hAnsi="Arial" w:cs="Arial"/>
                                <w:b/>
                                <w:bCs/>
                                <w:color w:val="FFFFFF"/>
                                <w:w w:val="70"/>
                                <w:sz w:val="24"/>
                                <w:szCs w:val="24"/>
                              </w:rPr>
                              <w:t>menos de 8 h</w:t>
                            </w:r>
                          </w:p>
                        </w:tc>
                        <w:tc>
                          <w:tcPr>
                            <w:tcW w:w="6600" w:type="dxa"/>
                            <w:tcBorders>
                              <w:top w:val="single" w:sz="4" w:space="0" w:color="auto"/>
                            </w:tcBorders>
                            <w:shd w:val="clear" w:color="auto" w:fill="231F20"/>
                          </w:tcPr>
                          <w:p w14:paraId="7716800E"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40" w:lineRule="auto"/>
                              <w:ind w:firstLine="0"/>
                              <w:jc w:val="center"/>
                              <w:rPr>
                                <w:sz w:val="24"/>
                                <w:szCs w:val="24"/>
                              </w:rPr>
                            </w:pPr>
                            <w:r>
                              <w:rPr>
                                <w:rFonts w:ascii="Arial" w:eastAsia="Arial" w:hAnsi="Arial" w:cs="Arial"/>
                                <w:b/>
                                <w:bCs/>
                                <w:color w:val="FFFFFF"/>
                                <w:w w:val="70"/>
                                <w:sz w:val="24"/>
                                <w:szCs w:val="24"/>
                              </w:rPr>
                              <w:t>&gt;8 h</w:t>
                            </w:r>
                          </w:p>
                        </w:tc>
                      </w:tr>
                      <w:tr w:rsidR="0072615D" w14:paraId="11D92F99" w14:textId="77777777">
                        <w:tblPrEx>
                          <w:tblCellMar>
                            <w:top w:w="0" w:type="dxa"/>
                            <w:bottom w:w="0" w:type="dxa"/>
                          </w:tblCellMar>
                        </w:tblPrEx>
                        <w:trPr>
                          <w:trHeight w:hRule="exact" w:val="312"/>
                        </w:trPr>
                        <w:tc>
                          <w:tcPr>
                            <w:tcW w:w="3010" w:type="dxa"/>
                            <w:shd w:val="clear" w:color="auto" w:fill="FFFFFF"/>
                            <w:vAlign w:val="bottom"/>
                          </w:tcPr>
                          <w:p w14:paraId="46A8E957"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Emprender terapia antimicrobiana</w:t>
                            </w:r>
                            <w:r>
                              <w:rPr>
                                <w:rFonts w:ascii="Times New Roman" w:eastAsia="Times New Roman" w:hAnsi="Times New Roman" w:cs="Times New Roman"/>
                                <w:sz w:val="16"/>
                                <w:szCs w:val="16"/>
                                <w:vertAlign w:val="superscript"/>
                              </w:rPr>
                              <w:t>7</w:t>
                            </w:r>
                          </w:p>
                        </w:tc>
                        <w:tc>
                          <w:tcPr>
                            <w:tcW w:w="1790" w:type="dxa"/>
                            <w:shd w:val="clear" w:color="auto" w:fill="FFFFFF"/>
                            <w:vAlign w:val="bottom"/>
                          </w:tcPr>
                          <w:p w14:paraId="590C9ACD" w14:textId="77777777" w:rsidR="0072615D" w:rsidRDefault="0072615D">
                            <w:pPr>
                              <w:pStyle w:val="Other0"/>
                              <w:spacing w:line="240" w:lineRule="auto"/>
                              <w:ind w:firstLine="440"/>
                              <w:rPr>
                                <w:sz w:val="16"/>
                                <w:szCs w:val="16"/>
                              </w:rPr>
                            </w:pPr>
                            <w:r>
                              <w:rPr>
                                <w:rFonts w:ascii="Times New Roman" w:eastAsia="Times New Roman" w:hAnsi="Times New Roman" w:cs="Times New Roman"/>
                                <w:sz w:val="16"/>
                                <w:szCs w:val="16"/>
                              </w:rPr>
                              <w:t>Sí en caso de:</w:t>
                            </w:r>
                          </w:p>
                        </w:tc>
                        <w:tc>
                          <w:tcPr>
                            <w:tcW w:w="6600" w:type="dxa"/>
                            <w:shd w:val="clear" w:color="auto" w:fill="FFFFFF"/>
                            <w:vAlign w:val="bottom"/>
                          </w:tcPr>
                          <w:p w14:paraId="539B8F66" w14:textId="77777777" w:rsidR="0072615D" w:rsidRDefault="0072615D">
                            <w:pPr>
                              <w:pStyle w:val="Other0"/>
                              <w:spacing w:line="240" w:lineRule="auto"/>
                              <w:ind w:left="2600" w:firstLine="0"/>
                              <w:rPr>
                                <w:sz w:val="16"/>
                                <w:szCs w:val="16"/>
                              </w:rPr>
                            </w:pPr>
                            <w:r>
                              <w:rPr>
                                <w:rFonts w:ascii="Times New Roman" w:eastAsia="Times New Roman" w:hAnsi="Times New Roman" w:cs="Times New Roman"/>
                                <w:sz w:val="16"/>
                                <w:szCs w:val="16"/>
                              </w:rPr>
                              <w:t>Igual que el que se hace en heridas de menos de 8 h y</w:t>
                            </w:r>
                          </w:p>
                        </w:tc>
                      </w:tr>
                    </w:tbl>
                    <w:p w14:paraId="5403B781" w14:textId="77777777" w:rsidR="0072615D" w:rsidRDefault="0072615D">
                      <w:pPr>
                        <w:spacing w:line="1" w:lineRule="exact"/>
                      </w:pPr>
                    </w:p>
                  </w:txbxContent>
                </v:textbox>
                <w10:wrap type="topAndBottom" anchorx="page"/>
              </v:shape>
            </w:pict>
          </mc:Fallback>
        </mc:AlternateContent>
      </w:r>
      <w:r>
        <w:rPr>
          <w:noProof/>
        </w:rPr>
        <mc:AlternateContent>
          <mc:Choice Requires="wps">
            <w:drawing>
              <wp:anchor distT="0" distB="0" distL="114300" distR="114300" simplePos="0" relativeHeight="251691008" behindDoc="0" locked="0" layoutInCell="1" allowOverlap="1" wp14:anchorId="3B13CDEC" wp14:editId="01CFA557">
                <wp:simplePos x="0" y="0"/>
                <wp:positionH relativeFrom="page">
                  <wp:posOffset>7867015</wp:posOffset>
                </wp:positionH>
                <wp:positionV relativeFrom="paragraph">
                  <wp:posOffset>1880870</wp:posOffset>
                </wp:positionV>
                <wp:extent cx="106680" cy="2511425"/>
                <wp:effectExtent l="0" t="0" r="0" b="0"/>
                <wp:wrapSquare wrapText="bothSides"/>
                <wp:docPr id="433" name="Shape 433"/>
                <wp:cNvGraphicFramePr/>
                <a:graphic xmlns:a="http://schemas.openxmlformats.org/drawingml/2006/main">
                  <a:graphicData uri="http://schemas.microsoft.com/office/word/2010/wordprocessingShape">
                    <wps:wsp>
                      <wps:cNvSpPr txBox="1"/>
                      <wps:spPr>
                        <a:xfrm>
                          <a:off x="0" y="0"/>
                          <a:ext cx="106680" cy="2511425"/>
                        </a:xfrm>
                        <a:prstGeom prst="rect">
                          <a:avLst/>
                        </a:prstGeom>
                        <a:noFill/>
                      </wps:spPr>
                      <wps:txbx>
                        <w:txbxContent>
                          <w:p w14:paraId="7B84069E" w14:textId="77777777" w:rsidR="0072615D" w:rsidRDefault="0072615D">
                            <w:pPr>
                              <w:pStyle w:val="Bodytext80"/>
                              <w:tabs>
                                <w:tab w:val="left" w:pos="3638"/>
                              </w:tabs>
                              <w:rPr>
                                <w:sz w:val="16"/>
                                <w:szCs w:val="16"/>
                              </w:rPr>
                            </w:pPr>
                            <w:r>
                              <w:t>MORDEDURAS</w:t>
                            </w:r>
                            <w:r>
                              <w:tab/>
                            </w:r>
                            <w:r>
                              <w:rPr>
                                <w:sz w:val="16"/>
                                <w:szCs w:val="16"/>
                              </w:rPr>
                              <w:t>203</w:t>
                            </w:r>
                          </w:p>
                        </w:txbxContent>
                      </wps:txbx>
                      <wps:bodyPr vert="vert" lIns="0" tIns="0" rIns="0" bIns="0" upright="1"/>
                    </wps:wsp>
                  </a:graphicData>
                </a:graphic>
              </wp:anchor>
            </w:drawing>
          </mc:Choice>
          <mc:Fallback>
            <w:pict>
              <v:shape w14:anchorId="3B13CDEC" id="Shape 433" o:spid="_x0000_s1057" type="#_x0000_t202" style="position:absolute;margin-left:619.45pt;margin-top:148.1pt;width:8.4pt;height:197.75pt;z-index:2516910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" filled="f" stroked="f">
                <v:textbox style="layout-flow:vertical" inset="0,0,0,0">
                  <w:txbxContent>
                    <w:p w14:paraId="7B84069E" w14:textId="77777777" w:rsidR="0072615D" w:rsidRDefault="0072615D">
                      <w:pPr>
                        <w:pStyle w:val="Bodytext80"/>
                        <w:tabs>
                          <w:tab w:val="left" w:pos="3638"/>
                        </w:tabs>
                        <w:rPr>
                          <w:sz w:val="16"/>
                          <w:szCs w:val="16"/>
                        </w:rPr>
                      </w:pPr>
                      <w:r>
                        <w:t>MORDEDURAS</w:t>
                      </w:r>
                      <w:r>
                        <w:tab/>
                      </w:r>
                      <w:r>
                        <w:rPr>
                          <w:sz w:val="16"/>
                          <w:szCs w:val="16"/>
                        </w:rPr>
                        <w:t>203</w:t>
                      </w:r>
                    </w:p>
                  </w:txbxContent>
                </v:textbox>
                <w10:wrap type="square" anchorx="page"/>
              </v:shape>
            </w:pict>
          </mc:Fallback>
        </mc:AlternateContent>
      </w:r>
    </w:p>
    <w:p w14:paraId="39D39746" w14:textId="77777777" w:rsidR="0072615D" w:rsidRDefault="0072615D">
      <w:pPr>
        <w:pStyle w:val="Heading31"/>
        <w:keepNext/>
        <w:keepLines/>
        <w:spacing w:after="60"/>
        <w:ind w:firstLine="660"/>
        <w:rPr>
          <w:sz w:val="16"/>
          <w:szCs w:val="16"/>
        </w:rPr>
      </w:pPr>
      <w:bookmarkStart w:id="569" w:name="bookmark569"/>
      <w:bookmarkStart w:id="570" w:name="bookmark570"/>
      <w:bookmarkStart w:id="571" w:name="bookmark571"/>
      <w:r>
        <w:rPr>
          <w:b w:val="0"/>
          <w:bCs w:val="0"/>
        </w:rPr>
        <w:t xml:space="preserve">Cuadro 20-19. </w:t>
      </w:r>
      <w:r>
        <w:t xml:space="preserve">Medidas profilácticas para evitar la infección en mordeduras de humanos o animales </w:t>
      </w:r>
      <w:r>
        <w:rPr>
          <w:rFonts w:ascii="Times New Roman" w:eastAsia="Times New Roman" w:hAnsi="Times New Roman" w:cs="Times New Roman"/>
          <w:b w:val="0"/>
          <w:bCs w:val="0"/>
          <w:i/>
          <w:iCs/>
          <w:w w:val="100"/>
          <w:sz w:val="16"/>
          <w:szCs w:val="16"/>
        </w:rPr>
        <w:t>continuación</w:t>
      </w:r>
      <w:bookmarkEnd w:id="569"/>
      <w:bookmarkEnd w:id="570"/>
      <w:bookmarkEnd w:id="571"/>
    </w:p>
    <w:p w14:paraId="055F2071" w14:textId="77777777" w:rsidR="0072615D" w:rsidRDefault="0072615D">
      <w:pPr>
        <w:pStyle w:val="Bodytext20"/>
        <w:numPr>
          <w:ilvl w:val="0"/>
          <w:numId w:val="51"/>
        </w:numPr>
        <w:tabs>
          <w:tab w:val="left" w:pos="3668"/>
          <w:tab w:val="left" w:pos="7438"/>
        </w:tabs>
        <w:ind w:left="3420"/>
        <w:jc w:val="both"/>
      </w:pPr>
      <w:bookmarkStart w:id="572" w:name="bookmark572"/>
      <w:bookmarkEnd w:id="572"/>
      <w:r>
        <w:t>Mordeduras moderadas o graves, especialmente</w:t>
      </w:r>
      <w:r>
        <w:tab/>
        <w:t>en mordeduras con signos de infección</w:t>
      </w:r>
    </w:p>
    <w:p w14:paraId="2D6C3185" w14:textId="77777777" w:rsidR="0072615D" w:rsidRDefault="0072615D">
      <w:pPr>
        <w:pStyle w:val="Bodytext20"/>
        <w:ind w:left="3520"/>
        <w:jc w:val="both"/>
      </w:pPr>
      <w:r>
        <w:t>si hay edema o lesión por aplastamiento</w:t>
      </w:r>
    </w:p>
    <w:p w14:paraId="2AB48413" w14:textId="77777777" w:rsidR="0072615D" w:rsidRDefault="0072615D">
      <w:pPr>
        <w:pStyle w:val="Bodytext20"/>
        <w:numPr>
          <w:ilvl w:val="0"/>
          <w:numId w:val="51"/>
        </w:numPr>
        <w:tabs>
          <w:tab w:val="left" w:pos="3668"/>
        </w:tabs>
        <w:ind w:left="3520" w:hanging="100"/>
        <w:jc w:val="both"/>
      </w:pPr>
      <w:bookmarkStart w:id="573" w:name="bookmark573"/>
      <w:bookmarkEnd w:id="573"/>
      <w:r>
        <w:t>Heridas puntiformes, en particular si hubo penetración de hueso, vainas tendinosas o articulaciones</w:t>
      </w:r>
    </w:p>
    <w:p w14:paraId="6A3B8EB0" w14:textId="77777777" w:rsidR="0072615D" w:rsidRDefault="0072615D">
      <w:pPr>
        <w:pStyle w:val="Bodytext20"/>
        <w:numPr>
          <w:ilvl w:val="0"/>
          <w:numId w:val="51"/>
        </w:numPr>
        <w:tabs>
          <w:tab w:val="left" w:pos="3668"/>
        </w:tabs>
        <w:ind w:left="3520" w:hanging="100"/>
        <w:jc w:val="both"/>
      </w:pPr>
      <w:bookmarkStart w:id="574" w:name="bookmark574"/>
      <w:bookmarkEnd w:id="574"/>
      <w:r>
        <w:t>Mordeduras de la cara</w:t>
      </w:r>
    </w:p>
    <w:p w14:paraId="09DDE236" w14:textId="77777777" w:rsidR="0072615D" w:rsidRDefault="0072615D">
      <w:pPr>
        <w:pStyle w:val="Bodytext20"/>
        <w:numPr>
          <w:ilvl w:val="0"/>
          <w:numId w:val="51"/>
        </w:numPr>
        <w:tabs>
          <w:tab w:val="left" w:pos="3668"/>
        </w:tabs>
        <w:ind w:left="3520" w:hanging="100"/>
        <w:jc w:val="both"/>
      </w:pPr>
      <w:bookmarkStart w:id="575" w:name="bookmark575"/>
      <w:bookmarkEnd w:id="575"/>
      <w:r>
        <w:t>Mordeduras de manos y pies</w:t>
      </w:r>
    </w:p>
    <w:p w14:paraId="203BF727" w14:textId="77777777" w:rsidR="0072615D" w:rsidRDefault="0072615D">
      <w:pPr>
        <w:pStyle w:val="Bodytext20"/>
        <w:numPr>
          <w:ilvl w:val="0"/>
          <w:numId w:val="51"/>
        </w:numPr>
        <w:tabs>
          <w:tab w:val="left" w:pos="3668"/>
        </w:tabs>
        <w:ind w:left="3520" w:hanging="100"/>
        <w:jc w:val="both"/>
      </w:pPr>
      <w:bookmarkStart w:id="576" w:name="bookmark576"/>
      <w:bookmarkEnd w:id="576"/>
      <w:r>
        <w:t>Mordeduras en el área genital</w:t>
      </w:r>
    </w:p>
    <w:p w14:paraId="37855C39" w14:textId="77777777" w:rsidR="0072615D" w:rsidRDefault="0072615D">
      <w:pPr>
        <w:pStyle w:val="Bodytext20"/>
        <w:numPr>
          <w:ilvl w:val="0"/>
          <w:numId w:val="51"/>
        </w:numPr>
        <w:tabs>
          <w:tab w:val="left" w:pos="3668"/>
        </w:tabs>
        <w:ind w:left="3520" w:hanging="100"/>
        <w:jc w:val="both"/>
      </w:pPr>
      <w:bookmarkStart w:id="577" w:name="bookmark577"/>
      <w:bookmarkEnd w:id="577"/>
      <w:r>
        <w:t>Heridas en personas inmunodeficientes y asplénicas</w:t>
      </w:r>
    </w:p>
    <w:p w14:paraId="122FD45F" w14:textId="77777777" w:rsidR="0072615D" w:rsidRDefault="0072615D">
      <w:pPr>
        <w:pStyle w:val="Bodytext20"/>
        <w:tabs>
          <w:tab w:val="left" w:pos="3519"/>
        </w:tabs>
        <w:jc w:val="both"/>
      </w:pPr>
      <w:r>
        <w:t>Vigilancia</w:t>
      </w:r>
      <w:r>
        <w:tab/>
        <w:t>Revisar la herida en busca de signos de infección Igual que el que se hace en heridas con menos de 8 h</w:t>
      </w:r>
    </w:p>
    <w:p w14:paraId="4FF2F5EF" w14:textId="77777777" w:rsidR="0072615D" w:rsidRDefault="0072615D">
      <w:pPr>
        <w:pStyle w:val="Bodytext20"/>
        <w:spacing w:after="180"/>
        <w:ind w:left="3520"/>
        <w:jc w:val="both"/>
      </w:pPr>
      <w:r>
        <w:t>en el término de 48 h</w:t>
      </w:r>
    </w:p>
    <w:p w14:paraId="36D1BF38" w14:textId="77777777" w:rsidR="0072615D" w:rsidRDefault="0072615D">
      <w:pPr>
        <w:pStyle w:val="Bodytext20"/>
        <w:numPr>
          <w:ilvl w:val="0"/>
          <w:numId w:val="52"/>
        </w:numPr>
        <w:tabs>
          <w:tab w:val="left" w:pos="224"/>
        </w:tabs>
        <w:spacing w:line="254" w:lineRule="auto"/>
        <w:ind w:left="200" w:hanging="200"/>
        <w:jc w:val="both"/>
        <w:rPr>
          <w:sz w:val="15"/>
          <w:szCs w:val="15"/>
        </w:rPr>
      </w:pPr>
      <w:bookmarkStart w:id="578" w:name="bookmark578"/>
      <w:bookmarkEnd w:id="578"/>
      <w:r>
        <w:rPr>
          <w:sz w:val="15"/>
          <w:szCs w:val="15"/>
        </w:rPr>
        <w:t>Es eficaz utilizar una aguja de calibre 18 y una jeringa de gran volumen. Las soluciones con antimicrobianos o productos contra infecciones no tienen ventaja alguna y pueden intensificar la irritación tisular.</w:t>
      </w:r>
    </w:p>
    <w:p w14:paraId="27A1A8AD" w14:textId="77777777" w:rsidR="0072615D" w:rsidRDefault="0072615D">
      <w:pPr>
        <w:pStyle w:val="Bodytext20"/>
        <w:numPr>
          <w:ilvl w:val="0"/>
          <w:numId w:val="52"/>
        </w:numPr>
        <w:tabs>
          <w:tab w:val="left" w:pos="238"/>
        </w:tabs>
        <w:spacing w:line="254" w:lineRule="auto"/>
        <w:jc w:val="both"/>
        <w:rPr>
          <w:sz w:val="15"/>
          <w:szCs w:val="15"/>
        </w:rPr>
      </w:pPr>
      <w:bookmarkStart w:id="579" w:name="bookmark579"/>
      <w:bookmarkEnd w:id="579"/>
      <w:r>
        <w:rPr>
          <w:sz w:val="15"/>
          <w:szCs w:val="15"/>
        </w:rPr>
        <w:t>Conviene hacer estudios radiográficos en lesiones de la cara y la cabeza si se sospecha alguna lesión penetrante del sistema nervioso central.</w:t>
      </w:r>
    </w:p>
    <w:p w14:paraId="7FD0CCCF" w14:textId="77777777" w:rsidR="0072615D" w:rsidRDefault="0072615D">
      <w:pPr>
        <w:pStyle w:val="Bodytext20"/>
        <w:numPr>
          <w:ilvl w:val="0"/>
          <w:numId w:val="52"/>
        </w:numPr>
        <w:tabs>
          <w:tab w:val="left" w:pos="238"/>
        </w:tabs>
        <w:spacing w:line="254" w:lineRule="auto"/>
        <w:jc w:val="both"/>
        <w:rPr>
          <w:sz w:val="15"/>
          <w:szCs w:val="15"/>
        </w:rPr>
      </w:pPr>
      <w:bookmarkStart w:id="580" w:name="bookmark580"/>
      <w:bookmarkEnd w:id="580"/>
      <w:r>
        <w:rPr>
          <w:sz w:val="15"/>
          <w:szCs w:val="15"/>
        </w:rPr>
        <w:t>Véase “Tétanos”, sección 3.</w:t>
      </w:r>
    </w:p>
    <w:p w14:paraId="084E2AD9" w14:textId="77777777" w:rsidR="0072615D" w:rsidRDefault="0072615D">
      <w:pPr>
        <w:pStyle w:val="Bodytext20"/>
        <w:numPr>
          <w:ilvl w:val="0"/>
          <w:numId w:val="52"/>
        </w:numPr>
        <w:tabs>
          <w:tab w:val="left" w:pos="238"/>
        </w:tabs>
        <w:spacing w:line="254" w:lineRule="auto"/>
        <w:jc w:val="both"/>
        <w:rPr>
          <w:sz w:val="15"/>
          <w:szCs w:val="15"/>
        </w:rPr>
      </w:pPr>
      <w:bookmarkStart w:id="581" w:name="bookmark581"/>
      <w:bookmarkEnd w:id="581"/>
      <w:r>
        <w:rPr>
          <w:sz w:val="15"/>
          <w:szCs w:val="15"/>
        </w:rPr>
        <w:t>Véase “Rabia”, sección 3.</w:t>
      </w:r>
    </w:p>
    <w:p w14:paraId="39CE6DDF" w14:textId="77777777" w:rsidR="0072615D" w:rsidRDefault="0072615D">
      <w:pPr>
        <w:pStyle w:val="Bodytext20"/>
        <w:numPr>
          <w:ilvl w:val="0"/>
          <w:numId w:val="52"/>
        </w:numPr>
        <w:tabs>
          <w:tab w:val="left" w:pos="238"/>
        </w:tabs>
        <w:spacing w:line="254" w:lineRule="auto"/>
        <w:jc w:val="both"/>
        <w:rPr>
          <w:sz w:val="15"/>
          <w:szCs w:val="15"/>
        </w:rPr>
      </w:pPr>
      <w:bookmarkStart w:id="582" w:name="bookmark582"/>
      <w:bookmarkEnd w:id="582"/>
      <w:r>
        <w:rPr>
          <w:sz w:val="15"/>
          <w:szCs w:val="15"/>
        </w:rPr>
        <w:t>Véase “Hepatitis B”, sección 3.</w:t>
      </w:r>
    </w:p>
    <w:p w14:paraId="3F59CFD7" w14:textId="77777777" w:rsidR="0072615D" w:rsidRDefault="0072615D">
      <w:pPr>
        <w:pStyle w:val="Bodytext20"/>
        <w:numPr>
          <w:ilvl w:val="0"/>
          <w:numId w:val="52"/>
        </w:numPr>
        <w:tabs>
          <w:tab w:val="left" w:pos="238"/>
        </w:tabs>
        <w:spacing w:line="254" w:lineRule="auto"/>
        <w:jc w:val="both"/>
        <w:rPr>
          <w:sz w:val="15"/>
          <w:szCs w:val="15"/>
        </w:rPr>
      </w:pPr>
      <w:bookmarkStart w:id="583" w:name="bookmark583"/>
      <w:bookmarkEnd w:id="583"/>
      <w:r>
        <w:rPr>
          <w:sz w:val="15"/>
          <w:szCs w:val="15"/>
        </w:rPr>
        <w:t>Véase “Humana, infección por virus de inmunodeficiencia (VIH)”, sección 3.</w:t>
      </w:r>
    </w:p>
    <w:p w14:paraId="73873E0C" w14:textId="77777777" w:rsidR="0072615D" w:rsidRDefault="0072615D">
      <w:pPr>
        <w:pStyle w:val="Bodytext20"/>
        <w:numPr>
          <w:ilvl w:val="0"/>
          <w:numId w:val="52"/>
        </w:numPr>
        <w:tabs>
          <w:tab w:val="left" w:pos="243"/>
        </w:tabs>
        <w:spacing w:after="120" w:line="254" w:lineRule="auto"/>
        <w:jc w:val="both"/>
        <w:rPr>
          <w:sz w:val="15"/>
          <w:szCs w:val="15"/>
        </w:rPr>
        <w:sectPr w:rsidR="0072615D" w:rsidSect="0072615D">
          <w:headerReference w:type="even" r:id="rId402"/>
          <w:headerReference w:type="default" r:id="rId403"/>
          <w:footerReference w:type="even" r:id="rId404"/>
          <w:footerReference w:type="default" r:id="rId405"/>
          <w:footnotePr>
            <w:numFmt w:val="chicago"/>
          </w:footnotePr>
          <w:pgSz w:w="13022" w:h="8501" w:orient="landscape"/>
          <w:pgMar w:top="1080" w:right="1253" w:bottom="304" w:left="667" w:header="652" w:footer="3" w:gutter="0"/>
          <w:cols w:space="720"/>
          <w:noEndnote/>
          <w:docGrid w:linePitch="360"/>
          <w15:footnoteColumns w:val="1"/>
        </w:sectPr>
      </w:pPr>
      <w:bookmarkStart w:id="584" w:name="bookmark584"/>
      <w:bookmarkEnd w:id="584"/>
      <w:r>
        <w:rPr>
          <w:sz w:val="15"/>
          <w:szCs w:val="15"/>
        </w:rPr>
        <w:t>Véase cuadro 2-20 respecto de la selección de fármacos sugeridos.</w:t>
      </w:r>
    </w:p>
    <w:p w14:paraId="2664557C" w14:textId="77777777" w:rsidR="0072615D" w:rsidRDefault="0072615D">
      <w:pPr>
        <w:pStyle w:val="Heading31"/>
        <w:keepNext/>
        <w:keepLines/>
        <w:framePr w:w="6984" w:h="317" w:wrap="none" w:hAnchor="page" w:x="2862" w:y="1"/>
      </w:pPr>
      <w:bookmarkStart w:id="585" w:name="bookmark585"/>
      <w:bookmarkStart w:id="586" w:name="bookmark586"/>
      <w:bookmarkStart w:id="587" w:name="bookmark587"/>
      <w:r>
        <w:rPr>
          <w:b w:val="0"/>
          <w:bCs w:val="0"/>
        </w:rPr>
        <w:t>Cuadro 2-20.</w:t>
      </w:r>
      <w:r>
        <w:t>Antimicrobianos usados en mordeduras de humanos o animales</w:t>
      </w:r>
      <w:bookmarkEnd w:id="585"/>
      <w:bookmarkEnd w:id="586"/>
      <w:bookmarkEnd w:id="587"/>
    </w:p>
    <w:tbl>
      <w:tblPr>
        <w:tblOverlap w:val="never"/>
        <w:tblW w:w="0" w:type="auto"/>
        <w:tblLayout w:type="fixed"/>
        <w:tblCellMar>
          <w:left w:w="10" w:type="dxa"/>
          <w:right w:w="10" w:type="dxa"/>
        </w:tblCellMar>
        <w:tblLook w:val="04A0" w:firstRow="1" w:lastRow="0" w:firstColumn="1" w:lastColumn="0" w:noHBand="0" w:noVBand="1"/>
      </w:tblPr>
      <w:tblGrid>
        <w:gridCol w:w="1118"/>
        <w:gridCol w:w="2923"/>
        <w:gridCol w:w="1814"/>
        <w:gridCol w:w="3475"/>
        <w:gridCol w:w="2064"/>
      </w:tblGrid>
      <w:tr w:rsidR="0072615D" w14:paraId="7892D5CB" w14:textId="77777777">
        <w:tblPrEx>
          <w:tblCellMar>
            <w:top w:w="0" w:type="dxa"/>
            <w:bottom w:w="0" w:type="dxa"/>
          </w:tblCellMar>
        </w:tblPrEx>
        <w:trPr>
          <w:trHeight w:hRule="exact" w:val="264"/>
        </w:trPr>
        <w:tc>
          <w:tcPr>
            <w:tcW w:w="1118" w:type="dxa"/>
            <w:vMerge w:val="restart"/>
            <w:shd w:val="clear" w:color="auto" w:fill="231F20"/>
            <w:vAlign w:val="center"/>
          </w:tcPr>
          <w:p w14:paraId="72304B16" w14:textId="77777777" w:rsidR="0072615D" w:rsidRDefault="0072615D">
            <w:pPr>
              <w:pStyle w:val="Other0"/>
              <w:framePr w:w="11395" w:h="4622" w:vSpace="854"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Animal agresor</w:t>
            </w:r>
          </w:p>
        </w:tc>
        <w:tc>
          <w:tcPr>
            <w:tcW w:w="2923" w:type="dxa"/>
            <w:vMerge w:val="restart"/>
            <w:shd w:val="clear" w:color="auto" w:fill="231F20"/>
            <w:vAlign w:val="center"/>
          </w:tcPr>
          <w:p w14:paraId="41BD916A" w14:textId="77777777" w:rsidR="0072615D" w:rsidRDefault="0072615D">
            <w:pPr>
              <w:pStyle w:val="Other0"/>
              <w:framePr w:w="11395" w:h="4622" w:vSpace="854"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left="340" w:firstLine="0"/>
              <w:rPr>
                <w:sz w:val="24"/>
                <w:szCs w:val="24"/>
              </w:rPr>
            </w:pPr>
            <w:r>
              <w:rPr>
                <w:rFonts w:ascii="Arial" w:eastAsia="Arial" w:hAnsi="Arial" w:cs="Arial"/>
                <w:b/>
                <w:bCs/>
                <w:color w:val="FFFFFF"/>
                <w:w w:val="70"/>
                <w:sz w:val="24"/>
                <w:szCs w:val="24"/>
              </w:rPr>
              <w:t>Microorganismos que posiblemente causen la infección</w:t>
            </w:r>
          </w:p>
        </w:tc>
        <w:tc>
          <w:tcPr>
            <w:tcW w:w="7353" w:type="dxa"/>
            <w:gridSpan w:val="3"/>
            <w:shd w:val="clear" w:color="auto" w:fill="231F20"/>
            <w:vAlign w:val="bottom"/>
          </w:tcPr>
          <w:p w14:paraId="20806441" w14:textId="77777777" w:rsidR="0072615D" w:rsidRDefault="0072615D">
            <w:pPr>
              <w:pStyle w:val="Other0"/>
              <w:framePr w:w="11395" w:h="4622" w:vSpace="854"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left="1620" w:firstLine="0"/>
              <w:rPr>
                <w:sz w:val="24"/>
                <w:szCs w:val="24"/>
              </w:rPr>
            </w:pPr>
            <w:r>
              <w:rPr>
                <w:rFonts w:ascii="Arial" w:eastAsia="Arial" w:hAnsi="Arial" w:cs="Arial"/>
                <w:b/>
                <w:bCs/>
                <w:color w:val="FFFFFF"/>
                <w:w w:val="70"/>
                <w:sz w:val="24"/>
                <w:szCs w:val="24"/>
              </w:rPr>
              <w:t>Agente antimicrobiano</w:t>
            </w:r>
          </w:p>
        </w:tc>
      </w:tr>
      <w:tr w:rsidR="0072615D" w14:paraId="28F2314E" w14:textId="77777777">
        <w:tblPrEx>
          <w:tblCellMar>
            <w:top w:w="0" w:type="dxa"/>
            <w:bottom w:w="0" w:type="dxa"/>
          </w:tblCellMar>
        </w:tblPrEx>
        <w:trPr>
          <w:trHeight w:hRule="exact" w:val="302"/>
        </w:trPr>
        <w:tc>
          <w:tcPr>
            <w:tcW w:w="1118" w:type="dxa"/>
            <w:vMerge/>
            <w:shd w:val="clear" w:color="auto" w:fill="231F20"/>
            <w:vAlign w:val="center"/>
          </w:tcPr>
          <w:p w14:paraId="3420D830" w14:textId="77777777" w:rsidR="0072615D" w:rsidRDefault="0072615D">
            <w:pPr>
              <w:framePr w:w="11395" w:h="4622" w:vSpace="854" w:wrap="none" w:hAnchor="page" w:x="635" w:y="361"/>
            </w:pPr>
          </w:p>
        </w:tc>
        <w:tc>
          <w:tcPr>
            <w:tcW w:w="2923" w:type="dxa"/>
            <w:vMerge/>
            <w:shd w:val="clear" w:color="auto" w:fill="231F20"/>
            <w:vAlign w:val="center"/>
          </w:tcPr>
          <w:p w14:paraId="6B12849F" w14:textId="77777777" w:rsidR="0072615D" w:rsidRDefault="0072615D">
            <w:pPr>
              <w:framePr w:w="11395" w:h="4622" w:vSpace="854" w:wrap="none" w:hAnchor="page" w:x="635" w:y="361"/>
            </w:pPr>
          </w:p>
        </w:tc>
        <w:tc>
          <w:tcPr>
            <w:tcW w:w="1814" w:type="dxa"/>
            <w:tcBorders>
              <w:top w:val="single" w:sz="4" w:space="0" w:color="auto"/>
            </w:tcBorders>
            <w:shd w:val="clear" w:color="auto" w:fill="231F20"/>
            <w:vAlign w:val="bottom"/>
          </w:tcPr>
          <w:p w14:paraId="4076CA23" w14:textId="77777777" w:rsidR="0072615D" w:rsidRDefault="0072615D">
            <w:pPr>
              <w:pStyle w:val="Other0"/>
              <w:framePr w:w="11395" w:h="4622" w:vSpace="854"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140"/>
              <w:rPr>
                <w:sz w:val="24"/>
                <w:szCs w:val="24"/>
              </w:rPr>
            </w:pPr>
            <w:r>
              <w:rPr>
                <w:rFonts w:ascii="Arial" w:eastAsia="Arial" w:hAnsi="Arial" w:cs="Arial"/>
                <w:b/>
                <w:bCs/>
                <w:color w:val="FFFFFF"/>
                <w:w w:val="70"/>
                <w:sz w:val="24"/>
                <w:szCs w:val="24"/>
              </w:rPr>
              <w:t>Vía oral</w:t>
            </w:r>
          </w:p>
        </w:tc>
        <w:tc>
          <w:tcPr>
            <w:tcW w:w="3475" w:type="dxa"/>
            <w:tcBorders>
              <w:top w:val="single" w:sz="4" w:space="0" w:color="auto"/>
            </w:tcBorders>
            <w:shd w:val="clear" w:color="auto" w:fill="231F20"/>
            <w:vAlign w:val="bottom"/>
          </w:tcPr>
          <w:p w14:paraId="28357CA7" w14:textId="77777777" w:rsidR="0072615D" w:rsidRDefault="0072615D">
            <w:pPr>
              <w:pStyle w:val="Other0"/>
              <w:framePr w:w="11395" w:h="4622" w:vSpace="854"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Otros fármacos que Vía intravenosa</w:t>
            </w:r>
          </w:p>
        </w:tc>
        <w:tc>
          <w:tcPr>
            <w:tcW w:w="2064" w:type="dxa"/>
            <w:vMerge w:val="restart"/>
            <w:tcBorders>
              <w:top w:val="single" w:sz="4" w:space="0" w:color="auto"/>
            </w:tcBorders>
            <w:shd w:val="clear" w:color="auto" w:fill="231F20"/>
            <w:vAlign w:val="bottom"/>
          </w:tcPr>
          <w:p w14:paraId="26FBE7A3" w14:textId="77777777" w:rsidR="0072615D" w:rsidRDefault="0072615D">
            <w:pPr>
              <w:pStyle w:val="Other0"/>
              <w:framePr w:w="11395" w:h="4622" w:vSpace="854"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Otros fármacos intravenosos para usar en pacientes alérgicos a la penicilina</w:t>
            </w:r>
            <w:r>
              <w:rPr>
                <w:rFonts w:ascii="Times New Roman" w:eastAsia="Times New Roman" w:hAnsi="Times New Roman" w:cs="Times New Roman"/>
                <w:color w:val="FFFFFF"/>
                <w:sz w:val="8"/>
                <w:szCs w:val="8"/>
                <w:vertAlign w:val="superscript"/>
              </w:rPr>
              <w:t>1</w:t>
            </w:r>
          </w:p>
        </w:tc>
      </w:tr>
      <w:tr w:rsidR="0072615D" w14:paraId="51E81A45" w14:textId="77777777">
        <w:tblPrEx>
          <w:tblCellMar>
            <w:top w:w="0" w:type="dxa"/>
            <w:bottom w:w="0" w:type="dxa"/>
          </w:tblCellMar>
        </w:tblPrEx>
        <w:trPr>
          <w:trHeight w:hRule="exact" w:val="278"/>
        </w:trPr>
        <w:tc>
          <w:tcPr>
            <w:tcW w:w="1118" w:type="dxa"/>
            <w:vMerge/>
            <w:shd w:val="clear" w:color="auto" w:fill="231F20"/>
            <w:vAlign w:val="center"/>
          </w:tcPr>
          <w:p w14:paraId="6E5A560C" w14:textId="77777777" w:rsidR="0072615D" w:rsidRDefault="0072615D">
            <w:pPr>
              <w:framePr w:w="11395" w:h="4622" w:vSpace="854" w:wrap="none" w:hAnchor="page" w:x="635" w:y="361"/>
            </w:pPr>
          </w:p>
        </w:tc>
        <w:tc>
          <w:tcPr>
            <w:tcW w:w="2923" w:type="dxa"/>
            <w:vMerge/>
            <w:shd w:val="clear" w:color="auto" w:fill="231F20"/>
            <w:vAlign w:val="center"/>
          </w:tcPr>
          <w:p w14:paraId="1AA40CF6" w14:textId="77777777" w:rsidR="0072615D" w:rsidRDefault="0072615D">
            <w:pPr>
              <w:framePr w:w="11395" w:h="4622" w:vSpace="854" w:wrap="none" w:hAnchor="page" w:x="635" w:y="361"/>
            </w:pPr>
          </w:p>
        </w:tc>
        <w:tc>
          <w:tcPr>
            <w:tcW w:w="1814" w:type="dxa"/>
            <w:shd w:val="clear" w:color="auto" w:fill="231F20"/>
          </w:tcPr>
          <w:p w14:paraId="229203EC" w14:textId="77777777" w:rsidR="0072615D" w:rsidRDefault="0072615D">
            <w:pPr>
              <w:framePr w:w="11395" w:h="4622" w:vSpace="854" w:wrap="none" w:hAnchor="page" w:x="635" w:y="361"/>
              <w:rPr>
                <w:sz w:val="10"/>
                <w:szCs w:val="10"/>
              </w:rPr>
            </w:pPr>
          </w:p>
        </w:tc>
        <w:tc>
          <w:tcPr>
            <w:tcW w:w="3475" w:type="dxa"/>
            <w:shd w:val="clear" w:color="auto" w:fill="231F20"/>
            <w:vAlign w:val="bottom"/>
          </w:tcPr>
          <w:p w14:paraId="56AD444F" w14:textId="77777777" w:rsidR="0072615D" w:rsidRDefault="0072615D">
            <w:pPr>
              <w:pStyle w:val="Other0"/>
              <w:framePr w:w="11395" w:h="4622" w:vSpace="854"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pueden usarse en</w:t>
            </w:r>
          </w:p>
        </w:tc>
        <w:tc>
          <w:tcPr>
            <w:tcW w:w="2064" w:type="dxa"/>
            <w:vMerge/>
            <w:shd w:val="clear" w:color="auto" w:fill="231F20"/>
            <w:vAlign w:val="bottom"/>
          </w:tcPr>
          <w:p w14:paraId="502260CB" w14:textId="77777777" w:rsidR="0072615D" w:rsidRDefault="0072615D">
            <w:pPr>
              <w:framePr w:w="11395" w:h="4622" w:vSpace="854" w:wrap="none" w:hAnchor="page" w:x="635" w:y="361"/>
            </w:pPr>
          </w:p>
        </w:tc>
      </w:tr>
      <w:tr w:rsidR="0072615D" w14:paraId="2DFFA677" w14:textId="77777777">
        <w:tblPrEx>
          <w:tblCellMar>
            <w:top w:w="0" w:type="dxa"/>
            <w:bottom w:w="0" w:type="dxa"/>
          </w:tblCellMar>
        </w:tblPrEx>
        <w:trPr>
          <w:trHeight w:hRule="exact" w:val="283"/>
        </w:trPr>
        <w:tc>
          <w:tcPr>
            <w:tcW w:w="1118" w:type="dxa"/>
            <w:vMerge/>
            <w:shd w:val="clear" w:color="auto" w:fill="231F20"/>
            <w:vAlign w:val="center"/>
          </w:tcPr>
          <w:p w14:paraId="5044B0B1" w14:textId="77777777" w:rsidR="0072615D" w:rsidRDefault="0072615D">
            <w:pPr>
              <w:framePr w:w="11395" w:h="4622" w:vSpace="854" w:wrap="none" w:hAnchor="page" w:x="635" w:y="361"/>
            </w:pPr>
          </w:p>
        </w:tc>
        <w:tc>
          <w:tcPr>
            <w:tcW w:w="2923" w:type="dxa"/>
            <w:vMerge/>
            <w:shd w:val="clear" w:color="auto" w:fill="231F20"/>
            <w:vAlign w:val="center"/>
          </w:tcPr>
          <w:p w14:paraId="763B5827" w14:textId="77777777" w:rsidR="0072615D" w:rsidRDefault="0072615D">
            <w:pPr>
              <w:framePr w:w="11395" w:h="4622" w:vSpace="854" w:wrap="none" w:hAnchor="page" w:x="635" w:y="361"/>
            </w:pPr>
          </w:p>
        </w:tc>
        <w:tc>
          <w:tcPr>
            <w:tcW w:w="1814" w:type="dxa"/>
            <w:shd w:val="clear" w:color="auto" w:fill="231F20"/>
          </w:tcPr>
          <w:p w14:paraId="5DB1D8E9" w14:textId="77777777" w:rsidR="0072615D" w:rsidRDefault="0072615D">
            <w:pPr>
              <w:framePr w:w="11395" w:h="4622" w:vSpace="854" w:wrap="none" w:hAnchor="page" w:x="635" w:y="361"/>
              <w:rPr>
                <w:sz w:val="10"/>
                <w:szCs w:val="10"/>
              </w:rPr>
            </w:pPr>
          </w:p>
        </w:tc>
        <w:tc>
          <w:tcPr>
            <w:tcW w:w="3475" w:type="dxa"/>
            <w:shd w:val="clear" w:color="auto" w:fill="231F20"/>
            <w:vAlign w:val="bottom"/>
          </w:tcPr>
          <w:p w14:paraId="0ADB4F85" w14:textId="77777777" w:rsidR="0072615D" w:rsidRDefault="0072615D">
            <w:pPr>
              <w:pStyle w:val="Other0"/>
              <w:framePr w:w="11395" w:h="4622" w:vSpace="854"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24"/>
                <w:szCs w:val="24"/>
              </w:rPr>
            </w:pPr>
            <w:r>
              <w:rPr>
                <w:rFonts w:ascii="Arial" w:eastAsia="Arial" w:hAnsi="Arial" w:cs="Arial"/>
                <w:b/>
                <w:bCs/>
                <w:color w:val="FFFFFF"/>
                <w:w w:val="70"/>
                <w:sz w:val="24"/>
                <w:szCs w:val="24"/>
              </w:rPr>
              <w:t>pacientes alérgicos</w:t>
            </w:r>
          </w:p>
        </w:tc>
        <w:tc>
          <w:tcPr>
            <w:tcW w:w="2064" w:type="dxa"/>
            <w:vMerge/>
            <w:shd w:val="clear" w:color="auto" w:fill="231F20"/>
            <w:vAlign w:val="bottom"/>
          </w:tcPr>
          <w:p w14:paraId="1A8651DF" w14:textId="77777777" w:rsidR="0072615D" w:rsidRDefault="0072615D">
            <w:pPr>
              <w:framePr w:w="11395" w:h="4622" w:vSpace="854" w:wrap="none" w:hAnchor="page" w:x="635" w:y="361"/>
            </w:pPr>
          </w:p>
        </w:tc>
      </w:tr>
      <w:tr w:rsidR="0072615D" w14:paraId="743C6F0E" w14:textId="77777777">
        <w:tblPrEx>
          <w:tblCellMar>
            <w:top w:w="0" w:type="dxa"/>
            <w:bottom w:w="0" w:type="dxa"/>
          </w:tblCellMar>
        </w:tblPrEx>
        <w:trPr>
          <w:trHeight w:hRule="exact" w:val="278"/>
        </w:trPr>
        <w:tc>
          <w:tcPr>
            <w:tcW w:w="1118" w:type="dxa"/>
            <w:vMerge/>
            <w:shd w:val="clear" w:color="auto" w:fill="231F20"/>
            <w:vAlign w:val="center"/>
          </w:tcPr>
          <w:p w14:paraId="43A1DD86" w14:textId="77777777" w:rsidR="0072615D" w:rsidRDefault="0072615D">
            <w:pPr>
              <w:framePr w:w="11395" w:h="4622" w:vSpace="854" w:wrap="none" w:hAnchor="page" w:x="635" w:y="361"/>
            </w:pPr>
          </w:p>
        </w:tc>
        <w:tc>
          <w:tcPr>
            <w:tcW w:w="2923" w:type="dxa"/>
            <w:vMerge/>
            <w:shd w:val="clear" w:color="auto" w:fill="231F20"/>
            <w:vAlign w:val="center"/>
          </w:tcPr>
          <w:p w14:paraId="33BC43A8" w14:textId="77777777" w:rsidR="0072615D" w:rsidRDefault="0072615D">
            <w:pPr>
              <w:framePr w:w="11395" w:h="4622" w:vSpace="854" w:wrap="none" w:hAnchor="page" w:x="635" w:y="361"/>
            </w:pPr>
          </w:p>
        </w:tc>
        <w:tc>
          <w:tcPr>
            <w:tcW w:w="1814" w:type="dxa"/>
            <w:shd w:val="clear" w:color="auto" w:fill="231F20"/>
          </w:tcPr>
          <w:p w14:paraId="587C6609" w14:textId="77777777" w:rsidR="0072615D" w:rsidRDefault="0072615D">
            <w:pPr>
              <w:framePr w:w="11395" w:h="4622" w:vSpace="854" w:wrap="none" w:hAnchor="page" w:x="635" w:y="361"/>
              <w:rPr>
                <w:sz w:val="10"/>
                <w:szCs w:val="10"/>
              </w:rPr>
            </w:pPr>
          </w:p>
        </w:tc>
        <w:tc>
          <w:tcPr>
            <w:tcW w:w="3475" w:type="dxa"/>
            <w:shd w:val="clear" w:color="auto" w:fill="231F20"/>
            <w:vAlign w:val="bottom"/>
          </w:tcPr>
          <w:p w14:paraId="37635796" w14:textId="77777777" w:rsidR="0072615D" w:rsidRDefault="0072615D">
            <w:pPr>
              <w:pStyle w:val="Other0"/>
              <w:framePr w:w="11395" w:h="4622" w:vSpace="854" w:wrap="none" w:hAnchor="page" w:x="635" w:y="361"/>
              <w:pBdr>
                <w:top w:val="single" w:sz="0" w:space="0" w:color="231F20"/>
                <w:left w:val="single" w:sz="0" w:space="0" w:color="231F20"/>
                <w:bottom w:val="single" w:sz="0" w:space="0" w:color="231F20"/>
                <w:right w:val="single" w:sz="0" w:space="0" w:color="231F20"/>
              </w:pBdr>
              <w:shd w:val="clear" w:color="auto" w:fill="231F20"/>
              <w:spacing w:line="240" w:lineRule="auto"/>
              <w:ind w:firstLine="0"/>
              <w:rPr>
                <w:sz w:val="8"/>
                <w:szCs w:val="8"/>
              </w:rPr>
            </w:pPr>
            <w:r>
              <w:rPr>
                <w:rFonts w:ascii="Arial" w:eastAsia="Arial" w:hAnsi="Arial" w:cs="Arial"/>
                <w:b/>
                <w:bCs/>
                <w:color w:val="FFFFFF"/>
                <w:w w:val="70"/>
                <w:sz w:val="24"/>
                <w:szCs w:val="24"/>
              </w:rPr>
              <w:t>a la penicilina</w:t>
            </w:r>
            <w:r>
              <w:rPr>
                <w:rFonts w:ascii="Times New Roman" w:eastAsia="Times New Roman" w:hAnsi="Times New Roman" w:cs="Times New Roman"/>
                <w:color w:val="FFFFFF"/>
                <w:sz w:val="8"/>
                <w:szCs w:val="8"/>
                <w:vertAlign w:val="superscript"/>
              </w:rPr>
              <w:t>1</w:t>
            </w:r>
          </w:p>
        </w:tc>
        <w:tc>
          <w:tcPr>
            <w:tcW w:w="2064" w:type="dxa"/>
            <w:vMerge/>
            <w:shd w:val="clear" w:color="auto" w:fill="231F20"/>
            <w:vAlign w:val="bottom"/>
          </w:tcPr>
          <w:p w14:paraId="7923FA0B" w14:textId="77777777" w:rsidR="0072615D" w:rsidRDefault="0072615D">
            <w:pPr>
              <w:framePr w:w="11395" w:h="4622" w:vSpace="854" w:wrap="none" w:hAnchor="page" w:x="635" w:y="361"/>
            </w:pPr>
          </w:p>
        </w:tc>
      </w:tr>
      <w:tr w:rsidR="0072615D" w14:paraId="6506BCA8" w14:textId="77777777">
        <w:tblPrEx>
          <w:tblCellMar>
            <w:top w:w="0" w:type="dxa"/>
            <w:bottom w:w="0" w:type="dxa"/>
          </w:tblCellMar>
        </w:tblPrEx>
        <w:trPr>
          <w:trHeight w:hRule="exact" w:val="298"/>
        </w:trPr>
        <w:tc>
          <w:tcPr>
            <w:tcW w:w="1118" w:type="dxa"/>
            <w:shd w:val="clear" w:color="auto" w:fill="FFFFFF"/>
            <w:vAlign w:val="bottom"/>
          </w:tcPr>
          <w:p w14:paraId="4D7D5E0D" w14:textId="77777777" w:rsidR="0072615D" w:rsidRDefault="0072615D">
            <w:pPr>
              <w:pStyle w:val="Other0"/>
              <w:framePr w:w="11395" w:h="4622" w:vSpace="854" w:wrap="none" w:hAnchor="page" w:x="635" w:y="361"/>
              <w:spacing w:line="240" w:lineRule="auto"/>
              <w:ind w:firstLine="0"/>
              <w:rPr>
                <w:sz w:val="16"/>
                <w:szCs w:val="16"/>
              </w:rPr>
            </w:pPr>
            <w:r>
              <w:rPr>
                <w:rFonts w:ascii="Times New Roman" w:eastAsia="Times New Roman" w:hAnsi="Times New Roman" w:cs="Times New Roman"/>
                <w:sz w:val="16"/>
                <w:szCs w:val="16"/>
              </w:rPr>
              <w:t>Perro/gato</w:t>
            </w:r>
          </w:p>
        </w:tc>
        <w:tc>
          <w:tcPr>
            <w:tcW w:w="2923" w:type="dxa"/>
            <w:shd w:val="clear" w:color="auto" w:fill="FFFFFF"/>
            <w:vAlign w:val="bottom"/>
          </w:tcPr>
          <w:p w14:paraId="5D8DFD33" w14:textId="77777777" w:rsidR="0072615D" w:rsidRDefault="0072615D">
            <w:pPr>
              <w:pStyle w:val="Other0"/>
              <w:framePr w:w="11395" w:h="4622" w:vSpace="854" w:wrap="none" w:hAnchor="page" w:x="635" w:y="361"/>
              <w:spacing w:line="240" w:lineRule="auto"/>
              <w:ind w:firstLine="340"/>
              <w:rPr>
                <w:sz w:val="16"/>
                <w:szCs w:val="16"/>
              </w:rPr>
            </w:pPr>
            <w:r>
              <w:rPr>
                <w:rFonts w:ascii="Times New Roman" w:eastAsia="Times New Roman" w:hAnsi="Times New Roman" w:cs="Times New Roman"/>
                <w:sz w:val="16"/>
                <w:szCs w:val="16"/>
              </w:rPr>
              <w:t xml:space="preserve">Especies de </w:t>
            </w:r>
            <w:r>
              <w:rPr>
                <w:rFonts w:ascii="Times New Roman" w:eastAsia="Times New Roman" w:hAnsi="Times New Roman" w:cs="Times New Roman"/>
                <w:i/>
                <w:iCs/>
                <w:sz w:val="16"/>
                <w:szCs w:val="16"/>
              </w:rPr>
              <w:t>Pasteurella</w:t>
            </w:r>
            <w:r>
              <w:rPr>
                <w:rFonts w:ascii="Times New Roman" w:eastAsia="Times New Roman" w:hAnsi="Times New Roman" w:cs="Times New Roman"/>
                <w:i/>
                <w:iCs/>
                <w:sz w:val="15"/>
                <w:szCs w:val="15"/>
              </w:rPr>
              <w:t xml:space="preserve">, </w:t>
            </w:r>
            <w:r>
              <w:rPr>
                <w:rFonts w:ascii="Times New Roman" w:eastAsia="Times New Roman" w:hAnsi="Times New Roman" w:cs="Times New Roman"/>
                <w:i/>
                <w:iCs/>
                <w:sz w:val="16"/>
                <w:szCs w:val="16"/>
              </w:rPr>
              <w:t>Staphylococcus</w:t>
            </w:r>
          </w:p>
        </w:tc>
        <w:tc>
          <w:tcPr>
            <w:tcW w:w="1814" w:type="dxa"/>
            <w:shd w:val="clear" w:color="auto" w:fill="FFFFFF"/>
            <w:vAlign w:val="bottom"/>
          </w:tcPr>
          <w:p w14:paraId="2B377D9F" w14:textId="77777777" w:rsidR="0072615D" w:rsidRDefault="0072615D">
            <w:pPr>
              <w:pStyle w:val="Other0"/>
              <w:framePr w:w="11395" w:h="4622" w:vSpace="854" w:wrap="none" w:hAnchor="page" w:x="635" w:y="361"/>
              <w:spacing w:line="240" w:lineRule="auto"/>
              <w:ind w:firstLine="140"/>
              <w:rPr>
                <w:sz w:val="16"/>
                <w:szCs w:val="16"/>
              </w:rPr>
            </w:pPr>
            <w:r>
              <w:rPr>
                <w:rFonts w:ascii="Times New Roman" w:eastAsia="Times New Roman" w:hAnsi="Times New Roman" w:cs="Times New Roman"/>
                <w:sz w:val="16"/>
                <w:szCs w:val="16"/>
              </w:rPr>
              <w:t>Amoxicilina-</w:t>
            </w:r>
          </w:p>
        </w:tc>
        <w:tc>
          <w:tcPr>
            <w:tcW w:w="3475" w:type="dxa"/>
            <w:shd w:val="clear" w:color="auto" w:fill="FFFFFF"/>
            <w:vAlign w:val="bottom"/>
          </w:tcPr>
          <w:p w14:paraId="0ADB0C6A" w14:textId="77777777" w:rsidR="0072615D" w:rsidRDefault="0072615D">
            <w:pPr>
              <w:pStyle w:val="Other0"/>
              <w:framePr w:w="11395" w:h="4622" w:vSpace="854" w:wrap="none" w:hAnchor="page" w:x="635" w:y="361"/>
              <w:spacing w:line="240" w:lineRule="auto"/>
              <w:ind w:firstLine="0"/>
              <w:rPr>
                <w:sz w:val="16"/>
                <w:szCs w:val="16"/>
              </w:rPr>
            </w:pPr>
            <w:r>
              <w:rPr>
                <w:rFonts w:ascii="Times New Roman" w:eastAsia="Times New Roman" w:hAnsi="Times New Roman" w:cs="Times New Roman"/>
                <w:sz w:val="16"/>
                <w:szCs w:val="16"/>
              </w:rPr>
              <w:t>Cefalosporina de espectro Ampicilina-sulbactam</w:t>
            </w:r>
          </w:p>
        </w:tc>
        <w:tc>
          <w:tcPr>
            <w:tcW w:w="2064" w:type="dxa"/>
            <w:shd w:val="clear" w:color="auto" w:fill="FFFFFF"/>
            <w:vAlign w:val="bottom"/>
          </w:tcPr>
          <w:p w14:paraId="1077F535" w14:textId="77777777" w:rsidR="0072615D" w:rsidRDefault="0072615D">
            <w:pPr>
              <w:pStyle w:val="Other0"/>
              <w:framePr w:w="11395" w:h="4622" w:vSpace="854" w:wrap="none" w:hAnchor="page" w:x="635" w:y="361"/>
              <w:spacing w:line="240" w:lineRule="auto"/>
              <w:ind w:firstLine="0"/>
              <w:rPr>
                <w:sz w:val="16"/>
                <w:szCs w:val="16"/>
              </w:rPr>
            </w:pPr>
            <w:r>
              <w:rPr>
                <w:rFonts w:ascii="Times New Roman" w:eastAsia="Times New Roman" w:hAnsi="Times New Roman" w:cs="Times New Roman"/>
                <w:sz w:val="16"/>
                <w:szCs w:val="16"/>
              </w:rPr>
              <w:t>Cefalosporina de espectro</w:t>
            </w:r>
          </w:p>
        </w:tc>
      </w:tr>
      <w:tr w:rsidR="0072615D" w14:paraId="751F5508" w14:textId="77777777">
        <w:tblPrEx>
          <w:tblCellMar>
            <w:top w:w="0" w:type="dxa"/>
            <w:bottom w:w="0" w:type="dxa"/>
          </w:tblCellMar>
        </w:tblPrEx>
        <w:trPr>
          <w:trHeight w:hRule="exact" w:val="850"/>
        </w:trPr>
        <w:tc>
          <w:tcPr>
            <w:tcW w:w="1118" w:type="dxa"/>
            <w:shd w:val="clear" w:color="auto" w:fill="FFFFFF"/>
          </w:tcPr>
          <w:p w14:paraId="4E806108" w14:textId="77777777" w:rsidR="0072615D" w:rsidRDefault="0072615D">
            <w:pPr>
              <w:framePr w:w="11395" w:h="4622" w:vSpace="854" w:wrap="none" w:hAnchor="page" w:x="635" w:y="361"/>
              <w:rPr>
                <w:sz w:val="10"/>
                <w:szCs w:val="10"/>
              </w:rPr>
            </w:pPr>
          </w:p>
        </w:tc>
        <w:tc>
          <w:tcPr>
            <w:tcW w:w="2923" w:type="dxa"/>
            <w:shd w:val="clear" w:color="auto" w:fill="FFFFFF"/>
          </w:tcPr>
          <w:p w14:paraId="2E174E3E" w14:textId="77777777" w:rsidR="0072615D" w:rsidRDefault="0072615D">
            <w:pPr>
              <w:pStyle w:val="Other0"/>
              <w:framePr w:w="11395" w:h="4622" w:vSpace="854" w:wrap="none" w:hAnchor="page" w:x="635" w:y="361"/>
              <w:spacing w:line="283" w:lineRule="auto"/>
              <w:ind w:left="420"/>
              <w:rPr>
                <w:sz w:val="16"/>
                <w:szCs w:val="16"/>
              </w:rPr>
            </w:pPr>
            <w:r>
              <w:rPr>
                <w:rFonts w:ascii="Times New Roman" w:eastAsia="Times New Roman" w:hAnsi="Times New Roman" w:cs="Times New Roman"/>
                <w:i/>
                <w:iCs/>
                <w:sz w:val="16"/>
                <w:szCs w:val="16"/>
              </w:rPr>
              <w:t>aureus</w:t>
            </w:r>
            <w:r>
              <w:rPr>
                <w:rFonts w:ascii="Times New Roman" w:eastAsia="Times New Roman" w:hAnsi="Times New Roman" w:cs="Times New Roman"/>
                <w:i/>
                <w:iCs/>
                <w:sz w:val="15"/>
                <w:szCs w:val="15"/>
              </w:rPr>
              <w:t>,</w:t>
            </w:r>
            <w:r>
              <w:rPr>
                <w:rFonts w:ascii="Times New Roman" w:eastAsia="Times New Roman" w:hAnsi="Times New Roman" w:cs="Times New Roman"/>
                <w:sz w:val="16"/>
                <w:szCs w:val="16"/>
              </w:rPr>
              <w:t xml:space="preserve"> estreptococos, anaerobios, especies de </w:t>
            </w:r>
            <w:r>
              <w:rPr>
                <w:rFonts w:ascii="Times New Roman" w:eastAsia="Times New Roman" w:hAnsi="Times New Roman" w:cs="Times New Roman"/>
                <w:i/>
                <w:iCs/>
                <w:sz w:val="16"/>
                <w:szCs w:val="16"/>
              </w:rPr>
              <w:t>Capnocytophaga</w:t>
            </w:r>
            <w:r>
              <w:rPr>
                <w:rFonts w:ascii="Times New Roman" w:eastAsia="Times New Roman" w:hAnsi="Times New Roman" w:cs="Times New Roman"/>
                <w:i/>
                <w:iCs/>
                <w:sz w:val="15"/>
                <w:szCs w:val="15"/>
              </w:rPr>
              <w:t xml:space="preserve">, </w:t>
            </w:r>
            <w:r>
              <w:rPr>
                <w:rFonts w:ascii="Times New Roman" w:eastAsia="Times New Roman" w:hAnsi="Times New Roman" w:cs="Times New Roman"/>
                <w:i/>
                <w:iCs/>
                <w:sz w:val="16"/>
                <w:szCs w:val="16"/>
              </w:rPr>
              <w:t>Moraxella</w:t>
            </w:r>
            <w:r>
              <w:rPr>
                <w:rFonts w:ascii="Times New Roman" w:eastAsia="Times New Roman" w:hAnsi="Times New Roman" w:cs="Times New Roman"/>
                <w:sz w:val="16"/>
                <w:szCs w:val="16"/>
              </w:rPr>
              <w:t xml:space="preserve"> y </w:t>
            </w:r>
            <w:r>
              <w:rPr>
                <w:rFonts w:ascii="Times New Roman" w:eastAsia="Times New Roman" w:hAnsi="Times New Roman" w:cs="Times New Roman"/>
                <w:i/>
                <w:iCs/>
                <w:sz w:val="16"/>
                <w:szCs w:val="16"/>
              </w:rPr>
              <w:t xml:space="preserve">Corynebacterium </w:t>
            </w:r>
            <w:r>
              <w:rPr>
                <w:rFonts w:ascii="Times New Roman" w:eastAsia="Times New Roman" w:hAnsi="Times New Roman" w:cs="Times New Roman"/>
                <w:sz w:val="16"/>
                <w:szCs w:val="16"/>
              </w:rPr>
              <w:t xml:space="preserve">y </w:t>
            </w:r>
            <w:r>
              <w:rPr>
                <w:rFonts w:ascii="Times New Roman" w:eastAsia="Times New Roman" w:hAnsi="Times New Roman" w:cs="Times New Roman"/>
                <w:i/>
                <w:iCs/>
                <w:sz w:val="16"/>
                <w:szCs w:val="16"/>
              </w:rPr>
              <w:t>Neisseria</w:t>
            </w:r>
          </w:p>
        </w:tc>
        <w:tc>
          <w:tcPr>
            <w:tcW w:w="1814" w:type="dxa"/>
            <w:shd w:val="clear" w:color="auto" w:fill="FFFFFF"/>
          </w:tcPr>
          <w:p w14:paraId="4F216E4C" w14:textId="77777777" w:rsidR="0072615D" w:rsidRDefault="0072615D">
            <w:pPr>
              <w:pStyle w:val="Other0"/>
              <w:framePr w:w="11395" w:h="4622" w:vSpace="854" w:wrap="none" w:hAnchor="page" w:x="635" w:y="361"/>
              <w:spacing w:line="240" w:lineRule="auto"/>
              <w:ind w:firstLine="260"/>
              <w:rPr>
                <w:sz w:val="16"/>
                <w:szCs w:val="16"/>
              </w:rPr>
            </w:pPr>
            <w:r>
              <w:rPr>
                <w:rFonts w:ascii="Times New Roman" w:eastAsia="Times New Roman" w:hAnsi="Times New Roman" w:cs="Times New Roman"/>
                <w:sz w:val="16"/>
                <w:szCs w:val="16"/>
              </w:rPr>
              <w:t>clavulanato potásico</w:t>
            </w:r>
          </w:p>
        </w:tc>
        <w:tc>
          <w:tcPr>
            <w:tcW w:w="3475" w:type="dxa"/>
            <w:shd w:val="clear" w:color="auto" w:fill="FFFFFF"/>
          </w:tcPr>
          <w:p w14:paraId="50914847" w14:textId="77777777" w:rsidR="0072615D" w:rsidRDefault="0072615D">
            <w:pPr>
              <w:pStyle w:val="Other0"/>
              <w:framePr w:w="11395" w:h="4622" w:vSpace="854" w:wrap="none" w:hAnchor="page" w:x="635" w:y="361"/>
              <w:spacing w:line="283" w:lineRule="auto"/>
              <w:ind w:left="140"/>
              <w:rPr>
                <w:sz w:val="16"/>
                <w:szCs w:val="16"/>
              </w:rPr>
            </w:pPr>
            <w:r>
              <w:rPr>
                <w:rFonts w:ascii="Times New Roman" w:eastAsia="Times New Roman" w:hAnsi="Times New Roman" w:cs="Times New Roman"/>
                <w:sz w:val="16"/>
                <w:szCs w:val="16"/>
              </w:rPr>
              <w:t>extendido o trimetoprim- sódico</w:t>
            </w:r>
            <w:r>
              <w:rPr>
                <w:rFonts w:ascii="Times New Roman" w:eastAsia="Times New Roman" w:hAnsi="Times New Roman" w:cs="Times New Roman"/>
                <w:sz w:val="16"/>
                <w:szCs w:val="16"/>
                <w:vertAlign w:val="superscript"/>
              </w:rPr>
              <w:t xml:space="preserve">2 </w:t>
            </w:r>
            <w:r>
              <w:rPr>
                <w:rFonts w:ascii="Times New Roman" w:eastAsia="Times New Roman" w:hAnsi="Times New Roman" w:cs="Times New Roman"/>
                <w:sz w:val="16"/>
                <w:szCs w:val="16"/>
              </w:rPr>
              <w:t>sulfametoxazol Y</w:t>
            </w:r>
          </w:p>
          <w:p w14:paraId="708EB07E" w14:textId="77777777" w:rsidR="0072615D" w:rsidRDefault="0072615D">
            <w:pPr>
              <w:pStyle w:val="Other0"/>
              <w:framePr w:w="11395" w:h="4622" w:vSpace="854" w:wrap="none" w:hAnchor="page" w:x="635" w:y="361"/>
              <w:spacing w:line="283" w:lineRule="auto"/>
              <w:ind w:firstLine="140"/>
              <w:rPr>
                <w:sz w:val="16"/>
                <w:szCs w:val="16"/>
              </w:rPr>
            </w:pPr>
            <w:r>
              <w:rPr>
                <w:rFonts w:ascii="Times New Roman" w:eastAsia="Times New Roman" w:hAnsi="Times New Roman" w:cs="Times New Roman"/>
                <w:sz w:val="16"/>
                <w:szCs w:val="16"/>
              </w:rPr>
              <w:t>ADEMAS clorhidrato</w:t>
            </w:r>
          </w:p>
          <w:p w14:paraId="2D15D6C6" w14:textId="77777777" w:rsidR="0072615D" w:rsidRDefault="0072615D">
            <w:pPr>
              <w:pStyle w:val="Other0"/>
              <w:framePr w:w="11395" w:h="4622" w:vSpace="854" w:wrap="none" w:hAnchor="page" w:x="635" w:y="361"/>
              <w:spacing w:line="283" w:lineRule="auto"/>
              <w:ind w:firstLine="140"/>
              <w:rPr>
                <w:sz w:val="16"/>
                <w:szCs w:val="16"/>
              </w:rPr>
            </w:pPr>
            <w:r>
              <w:rPr>
                <w:rFonts w:ascii="Times New Roman" w:eastAsia="Times New Roman" w:hAnsi="Times New Roman" w:cs="Times New Roman"/>
                <w:sz w:val="16"/>
                <w:szCs w:val="16"/>
              </w:rPr>
              <w:t>de clindamicina</w:t>
            </w:r>
          </w:p>
        </w:tc>
        <w:tc>
          <w:tcPr>
            <w:tcW w:w="2064" w:type="dxa"/>
            <w:shd w:val="clear" w:color="auto" w:fill="FFFFFF"/>
          </w:tcPr>
          <w:p w14:paraId="39DD2D4A" w14:textId="77777777" w:rsidR="0072615D" w:rsidRDefault="0072615D">
            <w:pPr>
              <w:pStyle w:val="Other0"/>
              <w:framePr w:w="11395" w:h="4622" w:vSpace="854" w:wrap="none" w:hAnchor="page" w:x="635" w:y="361"/>
              <w:spacing w:line="283" w:lineRule="auto"/>
              <w:ind w:firstLine="0"/>
              <w:rPr>
                <w:sz w:val="16"/>
                <w:szCs w:val="16"/>
              </w:rPr>
            </w:pPr>
            <w:r>
              <w:rPr>
                <w:rFonts w:ascii="Times New Roman" w:eastAsia="Times New Roman" w:hAnsi="Times New Roman" w:cs="Times New Roman"/>
                <w:sz w:val="16"/>
                <w:szCs w:val="16"/>
              </w:rPr>
              <w:t>sulfametoxazol extendido o trimetoprim Y ADEMAS clindamicina</w:t>
            </w:r>
          </w:p>
        </w:tc>
      </w:tr>
      <w:tr w:rsidR="0072615D" w14:paraId="11344C17" w14:textId="77777777">
        <w:tblPrEx>
          <w:tblCellMar>
            <w:top w:w="0" w:type="dxa"/>
            <w:bottom w:w="0" w:type="dxa"/>
          </w:tblCellMar>
        </w:tblPrEx>
        <w:trPr>
          <w:trHeight w:hRule="exact" w:val="1090"/>
        </w:trPr>
        <w:tc>
          <w:tcPr>
            <w:tcW w:w="1118" w:type="dxa"/>
            <w:shd w:val="clear" w:color="auto" w:fill="FFFFFF"/>
          </w:tcPr>
          <w:p w14:paraId="4E0E1C5A" w14:textId="77777777" w:rsidR="0072615D" w:rsidRDefault="0072615D">
            <w:pPr>
              <w:pStyle w:val="Other0"/>
              <w:framePr w:w="11395" w:h="4622" w:vSpace="854" w:wrap="none" w:hAnchor="page" w:x="635" w:y="361"/>
              <w:spacing w:line="240" w:lineRule="auto"/>
              <w:ind w:firstLine="0"/>
              <w:rPr>
                <w:sz w:val="16"/>
                <w:szCs w:val="16"/>
              </w:rPr>
            </w:pPr>
            <w:r>
              <w:rPr>
                <w:rFonts w:ascii="Times New Roman" w:eastAsia="Times New Roman" w:hAnsi="Times New Roman" w:cs="Times New Roman"/>
                <w:sz w:val="16"/>
                <w:szCs w:val="16"/>
              </w:rPr>
              <w:t>Reptil</w:t>
            </w:r>
          </w:p>
        </w:tc>
        <w:tc>
          <w:tcPr>
            <w:tcW w:w="2923" w:type="dxa"/>
            <w:shd w:val="clear" w:color="auto" w:fill="FFFFFF"/>
          </w:tcPr>
          <w:p w14:paraId="0E6279B2" w14:textId="77777777" w:rsidR="0072615D" w:rsidRDefault="0072615D">
            <w:pPr>
              <w:pStyle w:val="Other0"/>
              <w:framePr w:w="11395" w:h="4622" w:vSpace="854" w:wrap="none" w:hAnchor="page" w:x="635" w:y="361"/>
              <w:spacing w:line="283" w:lineRule="auto"/>
              <w:ind w:left="420" w:hanging="80"/>
              <w:rPr>
                <w:sz w:val="16"/>
                <w:szCs w:val="16"/>
              </w:rPr>
            </w:pPr>
            <w:r>
              <w:rPr>
                <w:rFonts w:ascii="Times New Roman" w:eastAsia="Times New Roman" w:hAnsi="Times New Roman" w:cs="Times New Roman"/>
                <w:sz w:val="16"/>
                <w:szCs w:val="16"/>
              </w:rPr>
              <w:t>Bacterias entéricas gramnegativas, anaerobios</w:t>
            </w:r>
          </w:p>
        </w:tc>
        <w:tc>
          <w:tcPr>
            <w:tcW w:w="1814" w:type="dxa"/>
            <w:shd w:val="clear" w:color="auto" w:fill="FFFFFF"/>
          </w:tcPr>
          <w:p w14:paraId="72E362B3" w14:textId="77777777" w:rsidR="0072615D" w:rsidRDefault="0072615D">
            <w:pPr>
              <w:pStyle w:val="Other0"/>
              <w:framePr w:w="11395" w:h="4622" w:vSpace="854" w:wrap="none" w:hAnchor="page" w:x="635" w:y="361"/>
              <w:spacing w:line="240" w:lineRule="auto"/>
              <w:ind w:firstLine="140"/>
              <w:rPr>
                <w:sz w:val="16"/>
                <w:szCs w:val="16"/>
              </w:rPr>
            </w:pPr>
            <w:r>
              <w:rPr>
                <w:rFonts w:ascii="Times New Roman" w:eastAsia="Times New Roman" w:hAnsi="Times New Roman" w:cs="Times New Roman"/>
                <w:sz w:val="16"/>
                <w:szCs w:val="16"/>
              </w:rPr>
              <w:t>Amoxicilina-clavulanato</w:t>
            </w:r>
          </w:p>
        </w:tc>
        <w:tc>
          <w:tcPr>
            <w:tcW w:w="3475" w:type="dxa"/>
            <w:shd w:val="clear" w:color="auto" w:fill="FFFFFF"/>
            <w:vAlign w:val="bottom"/>
          </w:tcPr>
          <w:p w14:paraId="184E6058" w14:textId="77777777" w:rsidR="0072615D" w:rsidRDefault="0072615D">
            <w:pPr>
              <w:pStyle w:val="Other0"/>
              <w:framePr w:w="11395" w:h="4622" w:vSpace="854" w:wrap="none" w:hAnchor="page" w:x="635" w:y="361"/>
              <w:tabs>
                <w:tab w:val="left" w:pos="1824"/>
              </w:tabs>
              <w:spacing w:line="283" w:lineRule="auto"/>
              <w:ind w:firstLine="0"/>
              <w:jc w:val="center"/>
              <w:rPr>
                <w:sz w:val="16"/>
                <w:szCs w:val="16"/>
              </w:rPr>
            </w:pPr>
            <w:r>
              <w:rPr>
                <w:rFonts w:ascii="Times New Roman" w:eastAsia="Times New Roman" w:hAnsi="Times New Roman" w:cs="Times New Roman"/>
                <w:sz w:val="16"/>
                <w:szCs w:val="16"/>
              </w:rPr>
              <w:t>Cefalosporina de espectro Ampicilina-sulbactam</w:t>
            </w:r>
            <w:r>
              <w:rPr>
                <w:rFonts w:ascii="Times New Roman" w:eastAsia="Times New Roman" w:hAnsi="Times New Roman" w:cs="Times New Roman"/>
                <w:sz w:val="16"/>
                <w:szCs w:val="16"/>
                <w:vertAlign w:val="superscript"/>
              </w:rPr>
              <w:t xml:space="preserve">2 </w:t>
            </w:r>
            <w:r>
              <w:rPr>
                <w:rFonts w:ascii="Times New Roman" w:eastAsia="Times New Roman" w:hAnsi="Times New Roman" w:cs="Times New Roman"/>
                <w:sz w:val="16"/>
                <w:szCs w:val="16"/>
              </w:rPr>
              <w:t>extendido o</w:t>
            </w:r>
            <w:r>
              <w:rPr>
                <w:rFonts w:ascii="Times New Roman" w:eastAsia="Times New Roman" w:hAnsi="Times New Roman" w:cs="Times New Roman"/>
                <w:sz w:val="16"/>
                <w:szCs w:val="16"/>
              </w:rPr>
              <w:tab/>
              <w:t>Y ADEMAS sulfato</w:t>
            </w:r>
          </w:p>
          <w:p w14:paraId="11D2D86D" w14:textId="77777777" w:rsidR="0072615D" w:rsidRDefault="0072615D">
            <w:pPr>
              <w:pStyle w:val="Other0"/>
              <w:framePr w:w="11395" w:h="4622" w:vSpace="854" w:wrap="none" w:hAnchor="page" w:x="635" w:y="361"/>
              <w:tabs>
                <w:tab w:val="left" w:pos="1873"/>
              </w:tabs>
              <w:spacing w:line="283" w:lineRule="auto"/>
              <w:ind w:firstLine="140"/>
              <w:rPr>
                <w:sz w:val="16"/>
                <w:szCs w:val="16"/>
              </w:rPr>
            </w:pPr>
            <w:r>
              <w:rPr>
                <w:rFonts w:ascii="Times New Roman" w:eastAsia="Times New Roman" w:hAnsi="Times New Roman" w:cs="Times New Roman"/>
                <w:sz w:val="16"/>
                <w:szCs w:val="16"/>
              </w:rPr>
              <w:t>trimetoprim-</w:t>
            </w:r>
            <w:r>
              <w:rPr>
                <w:rFonts w:ascii="Times New Roman" w:eastAsia="Times New Roman" w:hAnsi="Times New Roman" w:cs="Times New Roman"/>
                <w:sz w:val="16"/>
                <w:szCs w:val="16"/>
              </w:rPr>
              <w:tab/>
              <w:t>de gentamicina</w:t>
            </w:r>
          </w:p>
          <w:p w14:paraId="60C599DF" w14:textId="77777777" w:rsidR="0072615D" w:rsidRDefault="0072615D">
            <w:pPr>
              <w:pStyle w:val="Other0"/>
              <w:framePr w:w="11395" w:h="4622" w:vSpace="854" w:wrap="none" w:hAnchor="page" w:x="635" w:y="361"/>
              <w:spacing w:line="283" w:lineRule="auto"/>
              <w:ind w:firstLine="140"/>
              <w:rPr>
                <w:sz w:val="16"/>
                <w:szCs w:val="16"/>
              </w:rPr>
            </w:pPr>
            <w:r>
              <w:rPr>
                <w:rFonts w:ascii="Times New Roman" w:eastAsia="Times New Roman" w:hAnsi="Times New Roman" w:cs="Times New Roman"/>
                <w:sz w:val="16"/>
                <w:szCs w:val="16"/>
              </w:rPr>
              <w:t>sulfametoxazol Y</w:t>
            </w:r>
          </w:p>
          <w:p w14:paraId="17ACFCC5" w14:textId="77777777" w:rsidR="0072615D" w:rsidRDefault="0072615D">
            <w:pPr>
              <w:pStyle w:val="Other0"/>
              <w:framePr w:w="11395" w:h="4622" w:vSpace="854" w:wrap="none" w:hAnchor="page" w:x="635" w:y="361"/>
              <w:spacing w:line="283" w:lineRule="auto"/>
              <w:ind w:firstLine="140"/>
              <w:rPr>
                <w:sz w:val="16"/>
                <w:szCs w:val="16"/>
              </w:rPr>
            </w:pPr>
            <w:r>
              <w:rPr>
                <w:rFonts w:ascii="Times New Roman" w:eastAsia="Times New Roman" w:hAnsi="Times New Roman" w:cs="Times New Roman"/>
                <w:sz w:val="16"/>
                <w:szCs w:val="16"/>
              </w:rPr>
              <w:t>ADEMAS clindamicina</w:t>
            </w:r>
          </w:p>
        </w:tc>
        <w:tc>
          <w:tcPr>
            <w:tcW w:w="2064" w:type="dxa"/>
            <w:shd w:val="clear" w:color="auto" w:fill="FFFFFF"/>
          </w:tcPr>
          <w:p w14:paraId="6269D599" w14:textId="77777777" w:rsidR="0072615D" w:rsidRDefault="0072615D">
            <w:pPr>
              <w:pStyle w:val="Other0"/>
              <w:framePr w:w="11395" w:h="4622" w:vSpace="854" w:wrap="none" w:hAnchor="page" w:x="635" w:y="361"/>
              <w:spacing w:line="283" w:lineRule="auto"/>
              <w:ind w:left="160" w:hanging="160"/>
              <w:rPr>
                <w:sz w:val="16"/>
                <w:szCs w:val="16"/>
              </w:rPr>
            </w:pPr>
            <w:r>
              <w:rPr>
                <w:rFonts w:ascii="Times New Roman" w:eastAsia="Times New Roman" w:hAnsi="Times New Roman" w:cs="Times New Roman"/>
                <w:sz w:val="16"/>
                <w:szCs w:val="16"/>
              </w:rPr>
              <w:t>Clindamicina Y ADEMAS gentamicina</w:t>
            </w:r>
          </w:p>
        </w:tc>
      </w:tr>
      <w:tr w:rsidR="0072615D" w14:paraId="3386E851" w14:textId="77777777">
        <w:tblPrEx>
          <w:tblCellMar>
            <w:top w:w="0" w:type="dxa"/>
            <w:bottom w:w="0" w:type="dxa"/>
          </w:tblCellMar>
        </w:tblPrEx>
        <w:trPr>
          <w:trHeight w:hRule="exact" w:val="979"/>
        </w:trPr>
        <w:tc>
          <w:tcPr>
            <w:tcW w:w="1118" w:type="dxa"/>
            <w:tcBorders>
              <w:bottom w:val="single" w:sz="4" w:space="0" w:color="auto"/>
            </w:tcBorders>
            <w:shd w:val="clear" w:color="auto" w:fill="FFFFFF"/>
          </w:tcPr>
          <w:p w14:paraId="1E57CB59" w14:textId="77777777" w:rsidR="0072615D" w:rsidRDefault="0072615D">
            <w:pPr>
              <w:pStyle w:val="Other0"/>
              <w:framePr w:w="11395" w:h="4622" w:vSpace="854" w:wrap="none" w:hAnchor="page" w:x="635" w:y="361"/>
              <w:spacing w:line="240" w:lineRule="auto"/>
              <w:ind w:firstLine="0"/>
              <w:rPr>
                <w:sz w:val="16"/>
                <w:szCs w:val="16"/>
              </w:rPr>
            </w:pPr>
            <w:r>
              <w:rPr>
                <w:rFonts w:ascii="Times New Roman" w:eastAsia="Times New Roman" w:hAnsi="Times New Roman" w:cs="Times New Roman"/>
                <w:sz w:val="16"/>
                <w:szCs w:val="16"/>
              </w:rPr>
              <w:t>Humano</w:t>
            </w:r>
          </w:p>
        </w:tc>
        <w:tc>
          <w:tcPr>
            <w:tcW w:w="2923" w:type="dxa"/>
            <w:tcBorders>
              <w:bottom w:val="single" w:sz="4" w:space="0" w:color="auto"/>
            </w:tcBorders>
            <w:shd w:val="clear" w:color="auto" w:fill="FFFFFF"/>
          </w:tcPr>
          <w:p w14:paraId="2920E9A1" w14:textId="77777777" w:rsidR="0072615D" w:rsidRDefault="0072615D">
            <w:pPr>
              <w:pStyle w:val="Other0"/>
              <w:framePr w:w="11395" w:h="4622" w:vSpace="854" w:wrap="none" w:hAnchor="page" w:x="635" w:y="361"/>
              <w:spacing w:line="283" w:lineRule="auto"/>
              <w:ind w:left="420" w:hanging="80"/>
              <w:rPr>
                <w:sz w:val="16"/>
                <w:szCs w:val="16"/>
              </w:rPr>
            </w:pPr>
            <w:r>
              <w:rPr>
                <w:rFonts w:ascii="Times New Roman" w:eastAsia="Times New Roman" w:hAnsi="Times New Roman" w:cs="Times New Roman"/>
                <w:sz w:val="16"/>
                <w:szCs w:val="16"/>
              </w:rPr>
              <w:t>Estreptococos</w:t>
            </w:r>
            <w:r>
              <w:rPr>
                <w:rFonts w:ascii="Times New Roman" w:eastAsia="Times New Roman" w:hAnsi="Times New Roman" w:cs="Times New Roman"/>
                <w:i/>
                <w:iCs/>
                <w:sz w:val="16"/>
                <w:szCs w:val="16"/>
              </w:rPr>
              <w:t>, S. aureus</w:t>
            </w:r>
            <w:r>
              <w:rPr>
                <w:rFonts w:ascii="Times New Roman" w:eastAsia="Times New Roman" w:hAnsi="Times New Roman" w:cs="Times New Roman"/>
                <w:i/>
                <w:iCs/>
                <w:sz w:val="15"/>
                <w:szCs w:val="15"/>
              </w:rPr>
              <w:t xml:space="preserve">, </w:t>
            </w:r>
            <w:r>
              <w:rPr>
                <w:rFonts w:ascii="Times New Roman" w:eastAsia="Times New Roman" w:hAnsi="Times New Roman" w:cs="Times New Roman"/>
                <w:i/>
                <w:iCs/>
                <w:sz w:val="16"/>
                <w:szCs w:val="16"/>
              </w:rPr>
              <w:t>Eikenella corrodens</w:t>
            </w:r>
            <w:r>
              <w:rPr>
                <w:rFonts w:ascii="Times New Roman" w:eastAsia="Times New Roman" w:hAnsi="Times New Roman" w:cs="Times New Roman"/>
                <w:i/>
                <w:iCs/>
                <w:sz w:val="15"/>
                <w:szCs w:val="15"/>
              </w:rPr>
              <w:t>,</w:t>
            </w:r>
            <w:r>
              <w:rPr>
                <w:rFonts w:ascii="Times New Roman" w:eastAsia="Times New Roman" w:hAnsi="Times New Roman" w:cs="Times New Roman"/>
                <w:sz w:val="16"/>
                <w:szCs w:val="16"/>
              </w:rPr>
              <w:t xml:space="preserve"> anaerobios</w:t>
            </w:r>
          </w:p>
        </w:tc>
        <w:tc>
          <w:tcPr>
            <w:tcW w:w="1814" w:type="dxa"/>
            <w:tcBorders>
              <w:bottom w:val="single" w:sz="4" w:space="0" w:color="auto"/>
            </w:tcBorders>
            <w:shd w:val="clear" w:color="auto" w:fill="FFFFFF"/>
          </w:tcPr>
          <w:p w14:paraId="6EAF8639" w14:textId="77777777" w:rsidR="0072615D" w:rsidRDefault="0072615D">
            <w:pPr>
              <w:pStyle w:val="Other0"/>
              <w:framePr w:w="11395" w:h="4622" w:vSpace="854" w:wrap="none" w:hAnchor="page" w:x="635" w:y="361"/>
              <w:spacing w:line="240" w:lineRule="auto"/>
              <w:ind w:firstLine="140"/>
              <w:rPr>
                <w:sz w:val="16"/>
                <w:szCs w:val="16"/>
              </w:rPr>
            </w:pPr>
            <w:r>
              <w:rPr>
                <w:rFonts w:ascii="Times New Roman" w:eastAsia="Times New Roman" w:hAnsi="Times New Roman" w:cs="Times New Roman"/>
                <w:sz w:val="16"/>
                <w:szCs w:val="16"/>
              </w:rPr>
              <w:t>Amoxicilina-clavulanato</w:t>
            </w:r>
          </w:p>
        </w:tc>
        <w:tc>
          <w:tcPr>
            <w:tcW w:w="3475" w:type="dxa"/>
            <w:tcBorders>
              <w:bottom w:val="single" w:sz="4" w:space="0" w:color="auto"/>
            </w:tcBorders>
            <w:shd w:val="clear" w:color="auto" w:fill="FFFFFF"/>
          </w:tcPr>
          <w:p w14:paraId="5EBD3683" w14:textId="77777777" w:rsidR="0072615D" w:rsidRDefault="0072615D">
            <w:pPr>
              <w:pStyle w:val="Other0"/>
              <w:framePr w:w="11395" w:h="4622" w:vSpace="854" w:wrap="none" w:hAnchor="page" w:x="635" w:y="361"/>
              <w:tabs>
                <w:tab w:val="left" w:pos="1714"/>
              </w:tabs>
              <w:spacing w:line="240" w:lineRule="auto"/>
              <w:ind w:firstLine="0"/>
              <w:rPr>
                <w:sz w:val="16"/>
                <w:szCs w:val="16"/>
              </w:rPr>
            </w:pPr>
            <w:r>
              <w:rPr>
                <w:rFonts w:ascii="Times New Roman" w:eastAsia="Times New Roman" w:hAnsi="Times New Roman" w:cs="Times New Roman"/>
                <w:sz w:val="16"/>
                <w:szCs w:val="16"/>
              </w:rPr>
              <w:t>Trimetoprim-</w:t>
            </w:r>
            <w:r>
              <w:rPr>
                <w:rFonts w:ascii="Times New Roman" w:eastAsia="Times New Roman" w:hAnsi="Times New Roman" w:cs="Times New Roman"/>
                <w:sz w:val="16"/>
                <w:szCs w:val="16"/>
              </w:rPr>
              <w:tab/>
              <w:t>Ampicilina-sulbactam</w:t>
            </w:r>
            <w:r>
              <w:rPr>
                <w:rFonts w:ascii="Times New Roman" w:eastAsia="Times New Roman" w:hAnsi="Times New Roman" w:cs="Times New Roman"/>
                <w:sz w:val="16"/>
                <w:szCs w:val="16"/>
                <w:vertAlign w:val="superscript"/>
              </w:rPr>
              <w:t>2</w:t>
            </w:r>
          </w:p>
          <w:p w14:paraId="1BE11888" w14:textId="77777777" w:rsidR="0072615D" w:rsidRDefault="0072615D">
            <w:pPr>
              <w:pStyle w:val="Other0"/>
              <w:framePr w:w="11395" w:h="4622" w:vSpace="854" w:wrap="none" w:hAnchor="page" w:x="635" w:y="361"/>
              <w:spacing w:line="240" w:lineRule="auto"/>
              <w:ind w:firstLine="140"/>
              <w:rPr>
                <w:sz w:val="16"/>
                <w:szCs w:val="16"/>
              </w:rPr>
            </w:pPr>
            <w:r>
              <w:rPr>
                <w:rFonts w:ascii="Times New Roman" w:eastAsia="Times New Roman" w:hAnsi="Times New Roman" w:cs="Times New Roman"/>
                <w:sz w:val="16"/>
                <w:szCs w:val="16"/>
              </w:rPr>
              <w:t>sulfametoxazol Y</w:t>
            </w:r>
          </w:p>
          <w:p w14:paraId="2576E430" w14:textId="77777777" w:rsidR="0072615D" w:rsidRDefault="0072615D">
            <w:pPr>
              <w:pStyle w:val="Other0"/>
              <w:framePr w:w="11395" w:h="4622" w:vSpace="854" w:wrap="none" w:hAnchor="page" w:x="635" w:y="361"/>
              <w:spacing w:line="240" w:lineRule="auto"/>
              <w:ind w:firstLine="140"/>
              <w:rPr>
                <w:sz w:val="16"/>
                <w:szCs w:val="16"/>
              </w:rPr>
            </w:pPr>
            <w:r>
              <w:rPr>
                <w:rFonts w:ascii="Times New Roman" w:eastAsia="Times New Roman" w:hAnsi="Times New Roman" w:cs="Times New Roman"/>
                <w:sz w:val="16"/>
                <w:szCs w:val="16"/>
              </w:rPr>
              <w:t>ADEMAS clindamicina</w:t>
            </w:r>
          </w:p>
        </w:tc>
        <w:tc>
          <w:tcPr>
            <w:tcW w:w="2064" w:type="dxa"/>
            <w:tcBorders>
              <w:bottom w:val="single" w:sz="4" w:space="0" w:color="auto"/>
            </w:tcBorders>
            <w:shd w:val="clear" w:color="auto" w:fill="FFFFFF"/>
          </w:tcPr>
          <w:p w14:paraId="5D1CC38D" w14:textId="77777777" w:rsidR="0072615D" w:rsidRDefault="0072615D">
            <w:pPr>
              <w:pStyle w:val="Other0"/>
              <w:framePr w:w="11395" w:h="4622" w:vSpace="854" w:wrap="none" w:hAnchor="page" w:x="635" w:y="361"/>
              <w:spacing w:line="283" w:lineRule="auto"/>
              <w:ind w:left="160" w:hanging="160"/>
              <w:rPr>
                <w:sz w:val="16"/>
                <w:szCs w:val="16"/>
              </w:rPr>
            </w:pPr>
            <w:r>
              <w:rPr>
                <w:rFonts w:ascii="Times New Roman" w:eastAsia="Times New Roman" w:hAnsi="Times New Roman" w:cs="Times New Roman"/>
                <w:sz w:val="16"/>
                <w:szCs w:val="16"/>
              </w:rPr>
              <w:t>Cefalosporina de espectro extendido o trimetoprim- sulfametoxazol Y ADEMAS clindamicina</w:t>
            </w:r>
          </w:p>
        </w:tc>
      </w:tr>
    </w:tbl>
    <w:p w14:paraId="598B3B13" w14:textId="77777777" w:rsidR="0072615D" w:rsidRDefault="0072615D">
      <w:pPr>
        <w:framePr w:w="11395" w:h="4622" w:vSpace="854" w:wrap="none" w:hAnchor="page" w:x="635" w:y="361"/>
        <w:spacing w:line="1" w:lineRule="exact"/>
      </w:pPr>
    </w:p>
    <w:p w14:paraId="4D6624F6" w14:textId="77777777" w:rsidR="0072615D" w:rsidRDefault="0072615D">
      <w:pPr>
        <w:pStyle w:val="Tablecaption0"/>
        <w:framePr w:w="11333" w:h="758" w:wrap="none" w:hAnchor="page" w:x="683" w:y="5079"/>
        <w:numPr>
          <w:ilvl w:val="0"/>
          <w:numId w:val="53"/>
        </w:numPr>
        <w:tabs>
          <w:tab w:val="left" w:pos="154"/>
        </w:tabs>
        <w:spacing w:line="240" w:lineRule="auto"/>
        <w:ind w:left="180" w:hanging="180"/>
      </w:pPr>
      <w:r>
        <w:t>En el caso de niños con antecedentes de alergia a la penicilina o alguno de sus congéneres, se recomienda probar otros fármacos. En algunas circunstancias son aceptables una cefalosporina u otro lactámico beta. Sin embargo, no deben utilizarse en pacientes con hipersensibilidad inmediata (anafilaxia) a la penicilina porque en promedio 5 a 15% de tales personas también serán alérgicas a las cefalosporinas.</w:t>
      </w:r>
    </w:p>
    <w:p w14:paraId="62A4E222" w14:textId="77777777" w:rsidR="0072615D" w:rsidRDefault="0072615D">
      <w:pPr>
        <w:pStyle w:val="Tablecaption0"/>
        <w:framePr w:w="11333" w:h="758" w:wrap="none" w:hAnchor="page" w:x="683" w:y="5079"/>
        <w:numPr>
          <w:ilvl w:val="0"/>
          <w:numId w:val="53"/>
        </w:numPr>
        <w:tabs>
          <w:tab w:val="left" w:pos="168"/>
        </w:tabs>
        <w:spacing w:line="240" w:lineRule="auto"/>
        <w:ind w:left="0"/>
        <w:jc w:val="both"/>
      </w:pPr>
      <w:r>
        <w:t>Como otra posibilidad cabe usar ticarcilina-clavulanato.</w:t>
      </w:r>
    </w:p>
    <w:p w14:paraId="6A841A5A" w14:textId="77777777" w:rsidR="0072615D" w:rsidRDefault="0072615D">
      <w:pPr>
        <w:pStyle w:val="Bodytext80"/>
        <w:framePr w:w="168" w:h="3965" w:hRule="exact" w:wrap="none" w:hAnchor="page" w:x="12390" w:y="54"/>
        <w:tabs>
          <w:tab w:val="left" w:pos="2909"/>
        </w:tabs>
        <w:textDirection w:val="tbRl"/>
      </w:pPr>
      <w:r>
        <w:rPr>
          <w:sz w:val="16"/>
          <w:szCs w:val="16"/>
        </w:rPr>
        <w:t>204</w:t>
      </w:r>
      <w:r>
        <w:rPr>
          <w:sz w:val="16"/>
          <w:szCs w:val="16"/>
        </w:rPr>
        <w:tab/>
      </w:r>
      <w:r>
        <w:t>MORDEDURAS</w:t>
      </w:r>
    </w:p>
    <w:p w14:paraId="68F3CD07" w14:textId="77777777" w:rsidR="0072615D" w:rsidRDefault="0072615D">
      <w:pPr>
        <w:spacing w:line="360" w:lineRule="exact"/>
      </w:pPr>
    </w:p>
    <w:p w14:paraId="6C0D79AE" w14:textId="77777777" w:rsidR="0072615D" w:rsidRDefault="0072615D">
      <w:pPr>
        <w:spacing w:line="360" w:lineRule="exact"/>
      </w:pPr>
    </w:p>
    <w:p w14:paraId="5C01F6E1" w14:textId="77777777" w:rsidR="0072615D" w:rsidRDefault="0072615D">
      <w:pPr>
        <w:spacing w:line="360" w:lineRule="exact"/>
      </w:pPr>
    </w:p>
    <w:p w14:paraId="5268FA84" w14:textId="77777777" w:rsidR="0072615D" w:rsidRDefault="0072615D">
      <w:pPr>
        <w:spacing w:line="360" w:lineRule="exact"/>
      </w:pPr>
    </w:p>
    <w:p w14:paraId="205F7F8F" w14:textId="77777777" w:rsidR="0072615D" w:rsidRDefault="0072615D">
      <w:pPr>
        <w:spacing w:line="360" w:lineRule="exact"/>
      </w:pPr>
    </w:p>
    <w:p w14:paraId="0AAD501E" w14:textId="77777777" w:rsidR="0072615D" w:rsidRDefault="0072615D">
      <w:pPr>
        <w:spacing w:line="360" w:lineRule="exact"/>
      </w:pPr>
    </w:p>
    <w:p w14:paraId="35E74718" w14:textId="77777777" w:rsidR="0072615D" w:rsidRDefault="0072615D">
      <w:pPr>
        <w:spacing w:line="360" w:lineRule="exact"/>
      </w:pPr>
    </w:p>
    <w:p w14:paraId="049F4667" w14:textId="77777777" w:rsidR="0072615D" w:rsidRDefault="0072615D">
      <w:pPr>
        <w:spacing w:line="360" w:lineRule="exact"/>
      </w:pPr>
    </w:p>
    <w:p w14:paraId="6D5C995C" w14:textId="77777777" w:rsidR="0072615D" w:rsidRDefault="0072615D">
      <w:pPr>
        <w:spacing w:line="360" w:lineRule="exact"/>
      </w:pPr>
    </w:p>
    <w:p w14:paraId="14744441" w14:textId="77777777" w:rsidR="0072615D" w:rsidRDefault="0072615D">
      <w:pPr>
        <w:spacing w:line="360" w:lineRule="exact"/>
      </w:pPr>
    </w:p>
    <w:p w14:paraId="4B6B1F65" w14:textId="77777777" w:rsidR="0072615D" w:rsidRDefault="0072615D">
      <w:pPr>
        <w:spacing w:line="360" w:lineRule="exact"/>
      </w:pPr>
    </w:p>
    <w:p w14:paraId="67A03EDB" w14:textId="77777777" w:rsidR="0072615D" w:rsidRDefault="0072615D">
      <w:pPr>
        <w:spacing w:line="360" w:lineRule="exact"/>
      </w:pPr>
    </w:p>
    <w:p w14:paraId="0998373F" w14:textId="77777777" w:rsidR="0072615D" w:rsidRDefault="0072615D">
      <w:pPr>
        <w:spacing w:line="360" w:lineRule="exact"/>
      </w:pPr>
    </w:p>
    <w:p w14:paraId="2F8C1DA4" w14:textId="77777777" w:rsidR="0072615D" w:rsidRDefault="0072615D">
      <w:pPr>
        <w:spacing w:line="360" w:lineRule="exact"/>
      </w:pPr>
    </w:p>
    <w:p w14:paraId="2D59E76F" w14:textId="77777777" w:rsidR="0072615D" w:rsidRDefault="0072615D">
      <w:pPr>
        <w:spacing w:line="360" w:lineRule="exact"/>
      </w:pPr>
    </w:p>
    <w:p w14:paraId="6D105268" w14:textId="77777777" w:rsidR="0072615D" w:rsidRDefault="0072615D">
      <w:pPr>
        <w:spacing w:after="436" w:line="1" w:lineRule="exact"/>
      </w:pPr>
    </w:p>
    <w:p w14:paraId="26364BC1" w14:textId="77777777" w:rsidR="0072615D" w:rsidRDefault="0072615D">
      <w:pPr>
        <w:spacing w:line="1" w:lineRule="exact"/>
        <w:sectPr w:rsidR="0072615D" w:rsidSect="0072615D">
          <w:footnotePr>
            <w:numFmt w:val="chicago"/>
          </w:footnotePr>
          <w:pgSz w:w="13022" w:h="8501" w:orient="landscape"/>
          <w:pgMar w:top="451" w:right="466" w:bottom="451" w:left="634" w:header="23" w:footer="3" w:gutter="0"/>
          <w:cols w:space="720"/>
          <w:noEndnote/>
          <w:docGrid w:linePitch="360"/>
          <w15:footnoteColumns w:val="1"/>
        </w:sectPr>
      </w:pPr>
    </w:p>
    <w:p w14:paraId="0C04FB37" w14:textId="77777777" w:rsidR="0072615D" w:rsidRDefault="0072615D">
      <w:pPr>
        <w:pStyle w:val="BodyText"/>
        <w:spacing w:before="240"/>
        <w:ind w:firstLine="0"/>
      </w:pPr>
      <w:r>
        <w:t>un mayor peligro de infección en las heridas de manos y pies y será mejor tratarlas después de consultar a un cirujano especialista en ellas. Conviene elevar las zonas lesionadas para reducir al mínimo la hinchazón.</w:t>
      </w:r>
    </w:p>
    <w:p w14:paraId="36262720" w14:textId="77777777" w:rsidR="0072615D" w:rsidRDefault="0072615D">
      <w:pPr>
        <w:pStyle w:val="BodyText"/>
        <w:ind w:firstLine="340"/>
      </w:pPr>
      <w:r>
        <w:t>Son escasos los datos para orientar respecto de la terapia con antimicrobianos, en el caso de niños con heridas que no están francamente infectadas. El empleo de un antimicrobiano en término de 8 h de acaecida la lesión, durante un lapso de dos a tres días, puede disminuir la frecuencia de infección. Los niños expuestos al mayor riesgo de infección (los que tienen inmunodeficiencia o en caso de haber penetración de una articulación) deben recibir terapia empírica. No se necesita el uso de antimicrobianos en caso de niños con heridas poco graves en que sólo hay abrasión de la piel. En el cuadro 2-20 se señalan directrices para seleccionar el régimen con antimicrobianos en el caso de mordeduras de humanos y animales, y en ella se toma en consideración los microorganismos que posiblemente causen infección según los animales o humanos agresores. La terapia empírica puede modificarse cuando se cuente con los resultados de los cultivos.</w:t>
      </w:r>
    </w:p>
    <w:p w14:paraId="70B7CEAA" w14:textId="77777777" w:rsidR="0072615D" w:rsidRDefault="0072615D">
      <w:pPr>
        <w:pStyle w:val="BodyText"/>
        <w:spacing w:after="560" w:line="271" w:lineRule="auto"/>
        <w:ind w:firstLine="340"/>
      </w:pPr>
      <w:r>
        <w:t xml:space="preserve">Las medidas profilácticas o terapéuticas de un niño alérgico a la penicilina, que ha sido mordido por un humano o un animal son problemáticas. La actividad de la eritromicina o la doxiciclina contra Staphylococcus aureus y anaerobios es impredecible, y el uso de tetraciclinas, que son activas con Pasteurella multocida, en niños menores de ocho años debe compararse con el riesgo de que queden manchas permanentes en su dentadura. La azitromicina dihidratada tiene satisfactoria actividad in vitro contra gérmenes que suelen causar las infecciones en mordeduras, excepto algunas cepas de estafilococos, pero no hay estudios en humanos que corroboren su eficacia. El antibiótico comentado no debe utilizarse para tratar las infecciones de las mordeduras. Para evitar dicho tipo de infecciones puede administrarse trimetoprim-sulfametoxazol ingerible o por vía parenteral, que es eficaz contra </w:t>
      </w:r>
      <w:r>
        <w:rPr>
          <w:rFonts w:ascii="Times New Roman" w:eastAsia="Times New Roman" w:hAnsi="Times New Roman" w:cs="Times New Roman"/>
          <w:i/>
          <w:iCs/>
          <w:sz w:val="16"/>
          <w:szCs w:val="16"/>
        </w:rPr>
        <w:t>5. aureus</w:t>
      </w:r>
      <w:r>
        <w:rPr>
          <w:i/>
          <w:iCs/>
        </w:rPr>
        <w:t xml:space="preserve">, </w:t>
      </w:r>
      <w:r>
        <w:rPr>
          <w:rFonts w:ascii="Times New Roman" w:eastAsia="Times New Roman" w:hAnsi="Times New Roman" w:cs="Times New Roman"/>
          <w:i/>
          <w:iCs/>
          <w:sz w:val="16"/>
          <w:szCs w:val="16"/>
        </w:rPr>
        <w:t>P multocida</w:t>
      </w:r>
      <w:r>
        <w:t xml:space="preserve"> y </w:t>
      </w:r>
      <w:r>
        <w:rPr>
          <w:rFonts w:ascii="Times New Roman" w:eastAsia="Times New Roman" w:hAnsi="Times New Roman" w:cs="Times New Roman"/>
          <w:i/>
          <w:iCs/>
          <w:sz w:val="16"/>
          <w:szCs w:val="16"/>
        </w:rPr>
        <w:t>Eikenella corrodens</w:t>
      </w:r>
      <w:r>
        <w:rPr>
          <w:i/>
          <w:iCs/>
        </w:rPr>
        <w:t>,</w:t>
      </w:r>
      <w:r>
        <w:t xml:space="preserve"> junto con el clorhidrato de clindamicina, que es activo </w:t>
      </w:r>
      <w:r>
        <w:rPr>
          <w:rFonts w:ascii="Times New Roman" w:eastAsia="Times New Roman" w:hAnsi="Times New Roman" w:cs="Times New Roman"/>
          <w:i/>
          <w:iCs/>
          <w:sz w:val="16"/>
          <w:szCs w:val="16"/>
        </w:rPr>
        <w:t>in vitro</w:t>
      </w:r>
      <w:r>
        <w:t xml:space="preserve"> contra bacterias anaerobias, estreptococos y </w:t>
      </w:r>
      <w:r>
        <w:rPr>
          <w:rFonts w:ascii="Times New Roman" w:eastAsia="Times New Roman" w:hAnsi="Times New Roman" w:cs="Times New Roman"/>
          <w:i/>
          <w:iCs/>
          <w:sz w:val="16"/>
          <w:szCs w:val="16"/>
        </w:rPr>
        <w:t>5. aureus</w:t>
      </w:r>
      <w:r>
        <w:rPr>
          <w:i/>
          <w:iCs/>
        </w:rPr>
        <w:t>.</w:t>
      </w:r>
      <w:r>
        <w:t xml:space="preserve"> Cabe recurrir en vez de terapia parenteral en pacientes alérgicos a la penicilina pero que toleran las cefalosporinas, a la cefotaxima o la ceftriaxona sódicas; en el caso de sujetos alérgicos a la cefalosporina, otra posibilidad sería usar clindamicina.</w:t>
      </w:r>
    </w:p>
    <w:p w14:paraId="56803A01" w14:textId="77777777" w:rsidR="0072615D" w:rsidRDefault="0072615D">
      <w:pPr>
        <w:pStyle w:val="Bodytext100"/>
        <w:spacing w:after="100"/>
        <w:ind w:firstLine="320"/>
        <w:jc w:val="left"/>
      </w:pPr>
      <w:r>
        <w:rPr>
          <w:sz w:val="34"/>
          <w:szCs w:val="34"/>
        </w:rPr>
        <w:t>P</w:t>
      </w:r>
      <w:r>
        <w:t>revención de infecciones transmitidas</w:t>
      </w:r>
    </w:p>
    <w:p w14:paraId="103E2816" w14:textId="77777777" w:rsidR="0072615D" w:rsidRDefault="0072615D">
      <w:pPr>
        <w:pStyle w:val="Bodytext100"/>
      </w:pPr>
      <w:r>
        <w:t>por garrapatas</w:t>
      </w:r>
    </w:p>
    <w:p w14:paraId="3B9480CD" w14:textId="77777777" w:rsidR="0072615D" w:rsidRDefault="0072615D">
      <w:pPr>
        <w:pStyle w:val="BodyText"/>
        <w:ind w:firstLine="0"/>
      </w:pPr>
      <w:r>
        <w:t>Las enfermedades infecciosas transmitidas por picadura de garrapatas en Estados Unidos incluyen las causadas por bacterias (como la enfermedad de Lyme, la tularemia o la fiebre recurrente), rickettsias (como la fiebre maculada de las Montañas Rocosas, la ehrlichiosis), virus (como la fiebre por garrapatas de colorado) y protozoos (como la babesiosis) (véanse también resúmenes dedicados a cada enfermedad en la sección 3). Los médicos deben conocer en detalle las características epidemiológicas de las infecciones de dicho origen en las zonas y localidades en que viven. La prevención de las enfermedades comentadas se obtiene al evitar el paso por los hábitat infestados de garrapatas, protección personal contra sus picaduras, disminuir el número de tales artrópodos en el entorno y limitar el lapso en que las garrapatas quedan adheridas al un mayor peligro de infección en las heridas de manos y pies y será mejor tratarlas después de consultar a un cirujano especialista en ellas. Conviene elevar las zonas lesionadas para reducir al mínimo la hinchazón.</w:t>
      </w:r>
    </w:p>
    <w:p w14:paraId="4B1E03C6" w14:textId="77777777" w:rsidR="0072615D" w:rsidRDefault="0072615D">
      <w:pPr>
        <w:pStyle w:val="BodyText"/>
        <w:ind w:firstLine="340"/>
      </w:pPr>
      <w:r>
        <w:t>Son escasos los datos para orientar respecto de la terapia con antimicrobianos, en el caso de niños con heridas que no están francamente infectadas. El empleo de un antimicrobiano en término de 8 h de acaecida la lesión, durante un lapso de dos a tres días, puede disminuir la frecuencia de infección. Los niños expuestos al mayor riesgo de infección (los que tienen inmunodeficiencia o en caso de haber penetración de una articulación) deben recibir terapia empírica. No se necesita el uso de antimicrobianos en caso de niños con heridas poco graves en que sólo hay abrasión de la piel. En el cuadro 2-20 se señalan directrices para seleccionar el régimen con antimicrobianos en el caso de mordeduras de humanos y animales, y en ella se toma en consideración los microorganismos que posiblemente causen infección según los animales o humanos agresores. La terapia empírica puede modificarse cuando se cuente con los resultados de los cultivos.</w:t>
      </w:r>
    </w:p>
    <w:p w14:paraId="5983B1D3" w14:textId="77777777" w:rsidR="0072615D" w:rsidRDefault="0072615D">
      <w:pPr>
        <w:pStyle w:val="BodyText"/>
        <w:spacing w:after="560" w:line="271" w:lineRule="auto"/>
        <w:ind w:firstLine="340"/>
      </w:pPr>
      <w:r>
        <w:t xml:space="preserve">Las medidas profilácticas o terapéuticas de un niño alérgico a la penicilina, que ha sido mordido por un humano o un animal son problemáticas. La actividad de la eritromicina o la doxiciclina contra Staphylococcus aureus y anaerobios es impredecible, y el uso de tetraciclinas, que son activas con Pasteurella multocida, en niños menores de ocho años debe compararse con el riesgo de que queden manchas permanentes en su dentadura. La azitromicina dihidratada tiene satisfactoria actividad in vitro contra gérmenes que suelen causar las infecciones en mordeduras, excepto algunas cepas de estafilococos, pero no hay estudios en humanos que corroboren su eficacia. El antibiótico comentado no debe utilizarse para tratar las infecciones de las mordeduras. Para evitar dicho tipo de infecciones puede administrarse trimetoprim-sulfametoxazol ingerible o por vía parenteral, que es eficaz contra </w:t>
      </w:r>
      <w:r>
        <w:rPr>
          <w:rFonts w:ascii="Times New Roman" w:eastAsia="Times New Roman" w:hAnsi="Times New Roman" w:cs="Times New Roman"/>
          <w:i/>
          <w:iCs/>
          <w:sz w:val="16"/>
          <w:szCs w:val="16"/>
        </w:rPr>
        <w:t>5. aureus</w:t>
      </w:r>
      <w:r>
        <w:rPr>
          <w:i/>
          <w:iCs/>
        </w:rPr>
        <w:t xml:space="preserve">, </w:t>
      </w:r>
      <w:r>
        <w:rPr>
          <w:rFonts w:ascii="Times New Roman" w:eastAsia="Times New Roman" w:hAnsi="Times New Roman" w:cs="Times New Roman"/>
          <w:i/>
          <w:iCs/>
          <w:sz w:val="16"/>
          <w:szCs w:val="16"/>
        </w:rPr>
        <w:t>P multocida</w:t>
      </w:r>
      <w:r>
        <w:t xml:space="preserve"> y </w:t>
      </w:r>
      <w:r>
        <w:rPr>
          <w:rFonts w:ascii="Times New Roman" w:eastAsia="Times New Roman" w:hAnsi="Times New Roman" w:cs="Times New Roman"/>
          <w:i/>
          <w:iCs/>
          <w:sz w:val="16"/>
          <w:szCs w:val="16"/>
        </w:rPr>
        <w:t>Eikenella corrodens</w:t>
      </w:r>
      <w:r>
        <w:rPr>
          <w:i/>
          <w:iCs/>
        </w:rPr>
        <w:t>,</w:t>
      </w:r>
      <w:r>
        <w:t xml:space="preserve"> junto con el clorhidrato de clindamicina, que es activo </w:t>
      </w:r>
      <w:r>
        <w:rPr>
          <w:rFonts w:ascii="Times New Roman" w:eastAsia="Times New Roman" w:hAnsi="Times New Roman" w:cs="Times New Roman"/>
          <w:i/>
          <w:iCs/>
          <w:sz w:val="16"/>
          <w:szCs w:val="16"/>
        </w:rPr>
        <w:t>in vitro</w:t>
      </w:r>
      <w:r>
        <w:t xml:space="preserve"> contra bacterias anaerobias, estreptococos y </w:t>
      </w:r>
      <w:r>
        <w:rPr>
          <w:rFonts w:ascii="Times New Roman" w:eastAsia="Times New Roman" w:hAnsi="Times New Roman" w:cs="Times New Roman"/>
          <w:i/>
          <w:iCs/>
          <w:sz w:val="16"/>
          <w:szCs w:val="16"/>
        </w:rPr>
        <w:t>5. aureus</w:t>
      </w:r>
      <w:r>
        <w:rPr>
          <w:i/>
          <w:iCs/>
        </w:rPr>
        <w:t>.</w:t>
      </w:r>
      <w:r>
        <w:t xml:space="preserve"> Cabe recurrir en vez de terapia parenteral en pacientes alérgicos a la penicilina pero que toleran las cefalosporinas, a la cefotaxima o la ceftriaxona sódicas; en el caso de sujetos alérgicos a la cefalosporina, otra posibilidad sería usar clindamicina.</w:t>
      </w:r>
    </w:p>
    <w:p w14:paraId="2C49BEE6" w14:textId="77777777" w:rsidR="0072615D" w:rsidRDefault="0072615D">
      <w:pPr>
        <w:pStyle w:val="Bodytext100"/>
        <w:spacing w:after="100"/>
        <w:ind w:firstLine="320"/>
        <w:jc w:val="left"/>
      </w:pPr>
      <w:r>
        <w:rPr>
          <w:sz w:val="34"/>
          <w:szCs w:val="34"/>
        </w:rPr>
        <w:t>P</w:t>
      </w:r>
      <w:r>
        <w:t>revención de infecciones transmitidas</w:t>
      </w:r>
    </w:p>
    <w:p w14:paraId="242D4FD4" w14:textId="77777777" w:rsidR="0072615D" w:rsidRDefault="0072615D">
      <w:pPr>
        <w:pStyle w:val="Bodytext100"/>
      </w:pPr>
      <w:r>
        <w:t>por garrapatas</w:t>
      </w:r>
    </w:p>
    <w:p w14:paraId="795C3C6C" w14:textId="77777777" w:rsidR="0072615D" w:rsidRDefault="0072615D">
      <w:pPr>
        <w:pStyle w:val="BodyText"/>
        <w:ind w:firstLine="0"/>
        <w:sectPr w:rsidR="0072615D" w:rsidSect="0072615D">
          <w:headerReference w:type="even" r:id="rId406"/>
          <w:headerReference w:type="default" r:id="rId407"/>
          <w:footerReference w:type="even" r:id="rId408"/>
          <w:footerReference w:type="default" r:id="rId409"/>
          <w:footnotePr>
            <w:numFmt w:val="chicago"/>
          </w:footnotePr>
          <w:pgSz w:w="8501" w:h="13022"/>
          <w:pgMar w:top="708" w:right="805" w:bottom="440" w:left="770" w:header="0" w:footer="12" w:gutter="0"/>
          <w:cols w:space="720"/>
          <w:noEndnote/>
          <w:docGrid w:linePitch="360"/>
          <w15:footnoteColumns w:val="1"/>
        </w:sectPr>
      </w:pPr>
      <w:r>
        <w:t xml:space="preserve">Las enfermedades infecciosas transmitidas por picadura de garrapatas en Estados Unidos incluyen las causadas por bacterias (como la enfermedad de Lyme, la tularemia o la fiebre recurrente), rickettsias (como la fiebre maculada de las Montañas Rocosas, la ehrlichiosis), virus (como la fiebre por garrapatas de colorado) y protozoos (como la babesiosis) (véanse también resúmenes dedicados a cada enfermedad en la sección 3). Los médicos deben conocer en detalle las características epidemiológicas de las infecciones de dicho origen en las zonas y localidades en que viven. La prevención de las enfermedades comentadas se obtiene al evitar el paso por los hábitat infestados de garrapatas, protección personal contra sus picaduras, disminuir el número de tales artrópodos en el entorno y limitar el lapso en que las garrapatas quedan adheridas al </w:t>
      </w:r>
    </w:p>
    <w:p w14:paraId="6286F537" w14:textId="77777777" w:rsidR="0072615D" w:rsidRDefault="0072615D">
      <w:pPr>
        <w:pStyle w:val="BodyText"/>
        <w:ind w:firstLine="0"/>
      </w:pPr>
      <w:r>
        <w:t>hospedador humano. El control de las poblaciones de garrapatas en el campo no suele ser práctico. Entre las medidas específicas de prevención están:</w:t>
      </w:r>
    </w:p>
    <w:p w14:paraId="6E7A3417" w14:textId="77777777" w:rsidR="0072615D" w:rsidRDefault="0072615D">
      <w:pPr>
        <w:pStyle w:val="BodyText"/>
        <w:numPr>
          <w:ilvl w:val="0"/>
          <w:numId w:val="51"/>
        </w:numPr>
        <w:tabs>
          <w:tab w:val="left" w:pos="341"/>
        </w:tabs>
        <w:ind w:left="360" w:hanging="360"/>
      </w:pPr>
      <w:bookmarkStart w:id="588" w:name="bookmark588"/>
      <w:bookmarkEnd w:id="588"/>
      <w:r>
        <w:t>Es importante que médicos, padres y niños estén conscientes de que las garrapatas transmiten enfermedades.</w:t>
      </w:r>
    </w:p>
    <w:p w14:paraId="612D52E2" w14:textId="77777777" w:rsidR="0072615D" w:rsidRDefault="0072615D">
      <w:pPr>
        <w:pStyle w:val="BodyText"/>
        <w:numPr>
          <w:ilvl w:val="0"/>
          <w:numId w:val="51"/>
        </w:numPr>
        <w:tabs>
          <w:tab w:val="left" w:pos="341"/>
        </w:tabs>
        <w:ind w:left="360" w:hanging="360"/>
      </w:pPr>
      <w:bookmarkStart w:id="589" w:name="bookmark589"/>
      <w:bookmarkEnd w:id="589"/>
      <w:r>
        <w:t>Es importante evitar y alejarse de las zonas infestadas por garrapatas, en la medida de lo posible.</w:t>
      </w:r>
    </w:p>
    <w:p w14:paraId="22D1A41C" w14:textId="77777777" w:rsidR="0072615D" w:rsidRDefault="0072615D">
      <w:pPr>
        <w:pStyle w:val="BodyText"/>
        <w:numPr>
          <w:ilvl w:val="0"/>
          <w:numId w:val="51"/>
        </w:numPr>
        <w:tabs>
          <w:tab w:val="left" w:pos="341"/>
        </w:tabs>
        <w:ind w:left="360" w:hanging="360"/>
      </w:pPr>
      <w:bookmarkStart w:id="590" w:name="bookmark590"/>
      <w:bookmarkEnd w:id="590"/>
      <w:r>
        <w:t>Si se penetra en un área infestada por dichos artrópodos conviene utilizar ropas que cubran brazos, piernas y otras zonas al descubierto; es importante introducir la parte inferior de los pantalones dentro de las botas o calcetines y habrá que cerrar a nivel del cuello las camisas de manga larga. Además, es posible rociar en las ropas permetrina (piretroide sintético) para disminuir la posibilidad de que las garrapatas se adhieran a ellas. No debe rociarse la piel con dicho insecticida.</w:t>
      </w:r>
    </w:p>
    <w:p w14:paraId="5F919140" w14:textId="77777777" w:rsidR="0072615D" w:rsidRDefault="0072615D">
      <w:pPr>
        <w:pStyle w:val="BodyText"/>
        <w:numPr>
          <w:ilvl w:val="0"/>
          <w:numId w:val="51"/>
        </w:numPr>
        <w:tabs>
          <w:tab w:val="left" w:pos="341"/>
        </w:tabs>
        <w:ind w:left="360" w:hanging="360"/>
      </w:pPr>
      <w:bookmarkStart w:id="591" w:name="bookmark591"/>
      <w:bookmarkEnd w:id="591"/>
      <w:r>
        <w:t>Los repelentes que contienen dietiltoluamida (DEET) contra garrapatas e insectos, aplicados a la piel, brindan protección complementaria, pero se necesitan nuevas aplicaciones cada 1 a 2 h para que su eficacia sea máxima. Ha habido señalamientos ocasionales de complicaciones neurológicas graves en niños que fueron consecuencia de la aplicación frecuente y excesiva de los repelentes mencionados que contienen DEET, pero el peligro es pequeño si se les utiliza de manera apropiada. Conviene aplicar de manera parca los productos con dicho repelente químico, conforme a las especificaciones del fabricante, y no utilizarlo en la cara, las manos del niño o cualquier zona de la piel que esté irritada o con abrasiones. Después que el niño queda otra vez bajo techo será conveniente lavar la piel tratada, con jabón y agua.</w:t>
      </w:r>
    </w:p>
    <w:p w14:paraId="6E7E1E3D" w14:textId="77777777" w:rsidR="0072615D" w:rsidRDefault="0072615D">
      <w:pPr>
        <w:pStyle w:val="BodyText"/>
        <w:numPr>
          <w:ilvl w:val="0"/>
          <w:numId w:val="51"/>
        </w:numPr>
        <w:tabs>
          <w:tab w:val="left" w:pos="341"/>
        </w:tabs>
        <w:ind w:left="360" w:hanging="360"/>
      </w:pPr>
      <w:bookmarkStart w:id="592" w:name="bookmark592"/>
      <w:bookmarkEnd w:id="592"/>
      <w:r>
        <w:t>Las personas deben revisar su propio cuerpo y el de sus hijos y todas sus ropas cada día después de la posible exposición a garrapatas. Se prestará atención especial a las regiones del cuerpo pilosas y al descubierto en que pueden adherirse las garrapatas como serían la cabeza y el cuello en los niños. Los artrópodos mencionados también se adhieren a zonas en que hay constricción por algunas ropas (como el nivel del cinturón, las axilas). Habrá que desprender y eliminar rápidamente las garrapatas. Para desprenderlas se toma el insecto con tenacillas finas cerca de la piel y se le desprende en un movimiento rápido sin girar en uno u otro sentido. Si se intenta quitar las garrapatas con los dedos habrá que protegerlos con pañuelitos de papel</w:t>
      </w:r>
    </w:p>
    <w:p w14:paraId="775AE9C4" w14:textId="77777777" w:rsidR="0072615D" w:rsidRDefault="0072615D">
      <w:pPr>
        <w:pStyle w:val="BodyText"/>
        <w:ind w:firstLine="360"/>
      </w:pPr>
      <w:r>
        <w:t>y se les lavará después de desprender el insecto.</w:t>
      </w:r>
    </w:p>
    <w:p w14:paraId="75C6FBB6" w14:textId="77777777" w:rsidR="0072615D" w:rsidRDefault="0072615D">
      <w:pPr>
        <w:pStyle w:val="BodyText"/>
        <w:numPr>
          <w:ilvl w:val="0"/>
          <w:numId w:val="51"/>
        </w:numPr>
        <w:tabs>
          <w:tab w:val="left" w:pos="341"/>
        </w:tabs>
        <w:ind w:left="360" w:hanging="360"/>
      </w:pPr>
      <w:bookmarkStart w:id="593" w:name="bookmark593"/>
      <w:bookmarkEnd w:id="593"/>
      <w:r>
        <w:t>Conservar a las mascotas sin garrapatas es una medida que puede disminuir la exposición a ellas. Conviene en estos casos la revisión diaria de los animalitos</w:t>
      </w:r>
    </w:p>
    <w:p w14:paraId="6DB36A87" w14:textId="77777777" w:rsidR="0072615D" w:rsidRDefault="0072615D">
      <w:pPr>
        <w:pStyle w:val="BodyText"/>
        <w:ind w:left="360" w:firstLine="0"/>
      </w:pPr>
      <w:r>
        <w:t>y la eliminación de las garrapatas, y también el empleo de productos veterinarios apropiados para evitar que ellas se adhieran a las mascotas.</w:t>
      </w:r>
    </w:p>
    <w:p w14:paraId="170AAF29" w14:textId="77777777" w:rsidR="0072615D" w:rsidRDefault="0072615D">
      <w:pPr>
        <w:pStyle w:val="Other0"/>
        <w:pBdr>
          <w:bottom w:val="single" w:sz="4" w:space="0" w:color="auto"/>
        </w:pBdr>
        <w:spacing w:after="760" w:line="240" w:lineRule="auto"/>
        <w:ind w:firstLine="0"/>
      </w:pPr>
      <w:r>
        <w:rPr>
          <w:rFonts w:ascii="Book Antiqua" w:eastAsia="Book Antiqua" w:hAnsi="Book Antiqua" w:cs="Book Antiqua"/>
          <w:smallCaps/>
          <w:sz w:val="22"/>
          <w:szCs w:val="22"/>
        </w:rPr>
        <w:t>Sección</w:t>
      </w:r>
      <w:r>
        <w:rPr>
          <w:rFonts w:ascii="Book Antiqua" w:eastAsia="Book Antiqua" w:hAnsi="Book Antiqua" w:cs="Book Antiqua"/>
        </w:rPr>
        <w:t xml:space="preserve"> 3</w:t>
      </w:r>
    </w:p>
    <w:p w14:paraId="0FEE83F3" w14:textId="77777777" w:rsidR="0072615D" w:rsidRDefault="0072615D">
      <w:pPr>
        <w:pStyle w:val="Heading21"/>
        <w:keepNext/>
        <w:keepLines/>
        <w:spacing w:after="320"/>
        <w:jc w:val="left"/>
        <w:rPr>
          <w:sz w:val="40"/>
          <w:szCs w:val="40"/>
        </w:rPr>
      </w:pPr>
      <w:bookmarkStart w:id="594" w:name="bookmark594"/>
      <w:bookmarkStart w:id="595" w:name="bookmark595"/>
      <w:bookmarkStart w:id="596" w:name="bookmark596"/>
      <w:r>
        <w:rPr>
          <w:rFonts w:ascii="Arial Narrow" w:eastAsia="Arial Narrow" w:hAnsi="Arial Narrow" w:cs="Arial Narrow"/>
          <w:w w:val="100"/>
          <w:sz w:val="40"/>
          <w:szCs w:val="40"/>
        </w:rPr>
        <w:t>Resúmenes de enfermedades infecciosas</w:t>
      </w:r>
      <w:bookmarkEnd w:id="594"/>
      <w:bookmarkEnd w:id="595"/>
      <w:bookmarkEnd w:id="596"/>
    </w:p>
    <w:p w14:paraId="4C48C2C4" w14:textId="77777777" w:rsidR="0072615D" w:rsidRDefault="0072615D">
      <w:pPr>
        <w:pStyle w:val="Bodytext70"/>
        <w:spacing w:after="0"/>
      </w:pPr>
      <w:r>
        <w:t>Actinomicosis</w:t>
      </w:r>
    </w:p>
    <w:p w14:paraId="1E64A99B" w14:textId="77777777" w:rsidR="0072615D" w:rsidRDefault="0072615D">
      <w:pPr>
        <w:pStyle w:val="BodyText"/>
        <w:ind w:firstLine="0"/>
      </w:pPr>
      <w:r>
        <w:rPr>
          <w:b/>
          <w:bCs/>
        </w:rPr>
        <w:t>M</w:t>
      </w:r>
      <w:r>
        <w:rPr>
          <w:b/>
          <w:bCs/>
          <w:sz w:val="13"/>
          <w:szCs w:val="13"/>
        </w:rPr>
        <w:t>ANIFESTACIONES CLÍNICAS</w:t>
      </w:r>
      <w:r>
        <w:rPr>
          <w:b/>
          <w:bCs/>
        </w:rPr>
        <w:t xml:space="preserve">: </w:t>
      </w:r>
      <w:r>
        <w:t xml:space="preserve">Los tres tipos anatómicos principales de la enfermedad son la cervicofacial, la torácica y la abdominal. Las lesiones cervicofaciales son las más frecuentes y surgen después de extracción de alguna pieza dental, cirugía de la boca o traumatismos de la cara, o se relacionan con caries dental. El dolor y la induración localizados evolucionan hasta parecer lesiones nodulares “leñosas”, que pueden complicarse por fístulas húmedas generalmente situadas en el ángulo del maxilar inferior o en la región submandibular. La infección se propaga por invasión directa de tejidos vecinos; también puede contribuir a la forma obstructiva y crónica de amigdalitis. La variante torácica muy a menudo es consecuencia de broncoaspiración de secreciones bucofaríngeas y rara vez ocurre después de alguna solución de continuidad del esófago que es consecuencia de operaciones o traumatismos no penetrantes, o puede ser extensión de la infección cervicofacial. El trastorno se manifiesta por neumonía que puede ser complicada por abscesos, empiema, y en raras ocasiones fístulas pleurodérmicas. A veces se considera erróneamente que las masas focales o multifocales son cánceres. La actinomicosis abdominal por lo regular es atribuible a traumatismos penetrantes o perforación intestinal. Los sitios más comunes de ataque son el apéndice vermiforme y el ciego, y sus síntomas son similares a los de la apendicitis. Las masas de crecimiento rápido pueden remedar neoplasias abdominales o retroperitoneales. con el tiempo pueden formarse abscesos intraabdominales y fístulas húmedas peritoneodérmicas. La enfermedad crónica localizada suele formar trayectos fistulosos por los que mana material purulento. Otros sitios de actinomicosis incluyen infección pélvica que se ha vinculado con el empleo de dispositivos intrauterinos, y abscesos encefálicos. </w:t>
      </w: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El agente etiológico</w:t>
      </w:r>
      <w:r>
        <w:t xml:space="preserve"> más común es </w:t>
      </w:r>
      <w:r>
        <w:rPr>
          <w:rFonts w:ascii="Times New Roman" w:eastAsia="Times New Roman" w:hAnsi="Times New Roman" w:cs="Times New Roman"/>
          <w:i/>
          <w:iCs/>
          <w:sz w:val="16"/>
          <w:szCs w:val="16"/>
        </w:rPr>
        <w:t>Actinomyces israelii</w:t>
      </w:r>
      <w:r>
        <w:rPr>
          <w:i/>
          <w:iCs/>
        </w:rPr>
        <w:t>,</w:t>
      </w:r>
      <w:r>
        <w:t xml:space="preserve"> y él y otras cinco especies del microorganismo, son bacilos ramificados, filamentosos, anaerobios, grampositivos de proliferación lenta que pueden ser parte de la flora normal de boca, vías gastrointestinales o vagina.</w:t>
      </w:r>
    </w:p>
    <w:p w14:paraId="16CB4EF7" w14:textId="77777777" w:rsidR="0072615D" w:rsidRDefault="0072615D">
      <w:pPr>
        <w:pStyle w:val="BodyText"/>
        <w:ind w:firstLine="0"/>
      </w:pPr>
      <w:r>
        <w:rPr>
          <w:b/>
          <w:bCs/>
        </w:rPr>
        <w:t>A</w:t>
      </w:r>
      <w:r>
        <w:rPr>
          <w:b/>
          <w:bCs/>
          <w:sz w:val="13"/>
          <w:szCs w:val="13"/>
        </w:rPr>
        <w:t>SPECTOS EPIDEMIOLÓGICOS</w:t>
      </w:r>
      <w:r>
        <w:rPr>
          <w:b/>
          <w:bCs/>
        </w:rPr>
        <w:t xml:space="preserve">: </w:t>
      </w:r>
      <w:r>
        <w:t xml:space="preserve">Las especies de </w:t>
      </w:r>
      <w:r>
        <w:rPr>
          <w:rFonts w:ascii="Times New Roman" w:eastAsia="Times New Roman" w:hAnsi="Times New Roman" w:cs="Times New Roman"/>
          <w:i/>
          <w:iCs/>
          <w:sz w:val="16"/>
          <w:szCs w:val="16"/>
        </w:rPr>
        <w:t>Actinomyces</w:t>
      </w:r>
      <w:r>
        <w:t xml:space="preserve"> están distribuidas en todo el mundo. La infección es rara en lactantes y niños. Los microorganismos son parte de la flora endógena de las vías gastrointestinales. Las especies de dicho germen son patógenos oportunistas y la enfermedad surge después de traumatismos penetrantes (incluidas mordeduras de seres humanos) y no penetrantes.</w:t>
      </w:r>
    </w:p>
    <w:p w14:paraId="10A1214A" w14:textId="77777777" w:rsidR="0072615D" w:rsidRDefault="0072615D">
      <w:pPr>
        <w:pStyle w:val="BodyText"/>
        <w:ind w:firstLine="440"/>
      </w:pPr>
      <w:r>
        <w:t xml:space="preserve">El </w:t>
      </w:r>
      <w:r>
        <w:rPr>
          <w:b/>
          <w:bCs/>
        </w:rPr>
        <w:t xml:space="preserve">periodo de incubación </w:t>
      </w:r>
      <w:r>
        <w:t>varía de días a años.</w:t>
      </w:r>
    </w:p>
    <w:p w14:paraId="1086D945" w14:textId="77777777" w:rsidR="0072615D" w:rsidRDefault="0072615D">
      <w:pPr>
        <w:pStyle w:val="BodyText"/>
        <w:ind w:firstLine="0"/>
        <w:sectPr w:rsidR="0072615D" w:rsidSect="0072615D">
          <w:headerReference w:type="even" r:id="rId410"/>
          <w:headerReference w:type="default" r:id="rId411"/>
          <w:footerReference w:type="even" r:id="rId412"/>
          <w:footerReference w:type="default" r:id="rId413"/>
          <w:headerReference w:type="first" r:id="rId414"/>
          <w:footerReference w:type="first" r:id="rId415"/>
          <w:footnotePr>
            <w:numFmt w:val="chicago"/>
          </w:footnotePr>
          <w:pgSz w:w="8501" w:h="13022"/>
          <w:pgMar w:top="708" w:right="805" w:bottom="440" w:left="770" w:header="0" w:footer="3" w:gutter="0"/>
          <w:cols w:space="720"/>
          <w:noEndnote/>
          <w:titlePg/>
          <w:docGrid w:linePitch="360"/>
          <w15:footnoteColumns w:val="1"/>
        </w:sectPr>
      </w:pPr>
      <w:r>
        <w:rPr>
          <w:b/>
          <w:bCs/>
        </w:rPr>
        <w:t>M</w:t>
      </w:r>
      <w:r>
        <w:rPr>
          <w:b/>
          <w:bCs/>
          <w:sz w:val="13"/>
          <w:szCs w:val="13"/>
        </w:rPr>
        <w:t>ÉTODOS DIAGNÓSTICOS</w:t>
      </w:r>
      <w:r>
        <w:rPr>
          <w:b/>
          <w:bCs/>
        </w:rPr>
        <w:t xml:space="preserve">: </w:t>
      </w:r>
      <w:r>
        <w:t xml:space="preserve">El diagnóstico lo sugiere la demostración microscópica de bacilos grampositivos, ramificados y con “cuentas” en el material purulento o en muestras de tejido. cabe recurrir a la tinción para gérmenes acidorresistentes, y así diferenciar las especies de </w:t>
      </w:r>
      <w:r>
        <w:rPr>
          <w:rFonts w:ascii="Times New Roman" w:eastAsia="Times New Roman" w:hAnsi="Times New Roman" w:cs="Times New Roman"/>
          <w:i/>
          <w:iCs/>
          <w:sz w:val="16"/>
          <w:szCs w:val="16"/>
        </w:rPr>
        <w:t>Actinomyces</w:t>
      </w:r>
      <w:r>
        <w:t xml:space="preserve"> (que no son acidorresistentes) de las de </w:t>
      </w:r>
      <w:r>
        <w:rPr>
          <w:rFonts w:ascii="Times New Roman" w:eastAsia="Times New Roman" w:hAnsi="Times New Roman" w:cs="Times New Roman"/>
          <w:i/>
          <w:iCs/>
          <w:sz w:val="16"/>
          <w:szCs w:val="16"/>
        </w:rPr>
        <w:t>Nocardia</w:t>
      </w:r>
      <w:r>
        <w:rPr>
          <w:i/>
          <w:iCs/>
        </w:rPr>
        <w:t>,</w:t>
      </w:r>
      <w:r>
        <w:t xml:space="preserve"> cuya positividad a dicha tinción es variable. Los “gránulos de azufre” en el material de drenaje o las loculaciones de material purulento por lo regular son amarillas y se pueden identificar en forma microscópica o a simple vista y sugieren el diagnóstico cuando se les reconoce. La tinción de Gram de los gránulos de azufre indica un retículo denso de </w:t>
      </w:r>
    </w:p>
    <w:p w14:paraId="2049E730" w14:textId="77777777" w:rsidR="0072615D" w:rsidRDefault="0072615D">
      <w:pPr>
        <w:pStyle w:val="BodyText"/>
        <w:ind w:firstLine="0"/>
      </w:pPr>
      <w:r>
        <w:t xml:space="preserve">filamentos; los extremos de los filamentos individuales pueden sobresalir de la periferia del grànulo con “clavas” hialinas de disposición radial o sin ellas. Se cuenta con tinciones de inmunofluorescencia para identificar especies de Actinomyces. Es importante obtener las muestras, transportarlas y cultivarlas en un entorno anaerobio en medios semiselectivos. </w:t>
      </w:r>
      <w:r>
        <w:rPr>
          <w:b/>
          <w:bCs/>
        </w:rPr>
        <w:t>T</w:t>
      </w:r>
      <w:r>
        <w:rPr>
          <w:b/>
          <w:bCs/>
          <w:sz w:val="13"/>
          <w:szCs w:val="13"/>
        </w:rPr>
        <w:t>RATAMIENTO</w:t>
      </w:r>
      <w:r>
        <w:rPr>
          <w:b/>
          <w:bCs/>
        </w:rPr>
        <w:t xml:space="preserve">: </w:t>
      </w:r>
      <w:r>
        <w:t>El tratamiento inicial incluirá la penicilina G o la ampicilina intravenosas durante cuatro a seis semanas, seguida de altas dosis de penicilina por vía oral (incluso 2 g/día para adultos), o se pueden usar amoxicilina, eritromicina, clindamicina, doxiciclina o tetraciclina en un lapso total de seis a 12 meses. No conviene usar las tetraciclinas en niños menores de ocho años. A veces se necesita el drenaje quirúrgico como complemento del manejo médico.</w:t>
      </w:r>
    </w:p>
    <w:p w14:paraId="4E36DBFA" w14:textId="77777777" w:rsidR="0072615D" w:rsidRDefault="0072615D">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Se recomienda practicar las precauciones estándar. No hay transmisión de una persona a otra.</w:t>
      </w:r>
    </w:p>
    <w:p w14:paraId="29A1E0DC" w14:textId="77777777" w:rsidR="0072615D" w:rsidRDefault="0072615D">
      <w:pPr>
        <w:pStyle w:val="BodyText"/>
        <w:spacing w:after="100"/>
        <w:ind w:firstLine="0"/>
      </w:pPr>
      <w:r>
        <w:rPr>
          <w:b/>
          <w:bCs/>
        </w:rPr>
        <w:t>M</w:t>
      </w:r>
      <w:r>
        <w:rPr>
          <w:b/>
          <w:bCs/>
          <w:sz w:val="13"/>
          <w:szCs w:val="13"/>
        </w:rPr>
        <w:t>EDIDAS PREVENTIVAS</w:t>
      </w:r>
      <w:r>
        <w:rPr>
          <w:b/>
          <w:bCs/>
        </w:rPr>
        <w:t xml:space="preserve">: </w:t>
      </w:r>
      <w:r>
        <w:t>Incluyen higiene apropiada de la boca, cuidados regulares de la dentadura y limpieza cuidadosa de heridas, incluidas las mordidas de personas para así evitar la infección.</w:t>
      </w:r>
    </w:p>
    <w:p w14:paraId="423C25FF" w14:textId="77777777" w:rsidR="0072615D" w:rsidRDefault="0072615D">
      <w:pPr>
        <w:pStyle w:val="Bodytext70"/>
        <w:spacing w:after="0"/>
      </w:pPr>
      <w:r>
        <w:t>Adenovirus, infecciones</w:t>
      </w:r>
    </w:p>
    <w:p w14:paraId="188A8BD2" w14:textId="77777777" w:rsidR="0072615D" w:rsidRDefault="0072615D">
      <w:pPr>
        <w:pStyle w:val="BodyText"/>
        <w:ind w:firstLine="0"/>
      </w:pPr>
      <w:r>
        <w:rPr>
          <w:b/>
          <w:bCs/>
        </w:rPr>
        <w:t>M</w:t>
      </w:r>
      <w:r>
        <w:rPr>
          <w:b/>
          <w:bCs/>
          <w:sz w:val="13"/>
          <w:szCs w:val="13"/>
        </w:rPr>
        <w:t>ANIFESTACIONES CLÍNICAS</w:t>
      </w:r>
      <w:r>
        <w:rPr>
          <w:b/>
          <w:bCs/>
        </w:rPr>
        <w:t xml:space="preserve">: </w:t>
      </w:r>
      <w:r>
        <w:t>El sitio más común de ataque de adenovirus es la porción superior de las vías respiratorias. El cuadro incluye síntomas propios del resfriado común, faringitis, amigdalitis, otitis media y fiebre faringoconjuntival. A veces surgen infecciones diseminadas que pueden ser letales, neumonitis grave, meningitis y encefalitis, particularmente en lactantes de corta edad y hospedadores inmunodeficientes. Los adenovirus son causa poco frecuente de conjuntivitis hemorrágica aguda, un síndrome similar a la tos ferina, croup (traqueobronquitis aguda), bronquiolitis y cistitis hemorrágica. Unos cuantos serotipos del adenovirus originan gastroenteritis.</w:t>
      </w:r>
    </w:p>
    <w:p w14:paraId="1622A526" w14:textId="77777777" w:rsidR="0072615D" w:rsidRDefault="0072615D">
      <w:pPr>
        <w:pStyle w:val="BodyText"/>
        <w:ind w:firstLine="0"/>
      </w:pPr>
      <w:r>
        <w:rPr>
          <w:b/>
          <w:bCs/>
        </w:rPr>
        <w:t>C</w:t>
      </w:r>
      <w:r>
        <w:rPr>
          <w:b/>
          <w:bCs/>
          <w:sz w:val="13"/>
          <w:szCs w:val="13"/>
        </w:rPr>
        <w:t>AUSAS</w:t>
      </w:r>
      <w:r>
        <w:rPr>
          <w:b/>
          <w:bCs/>
        </w:rPr>
        <w:t xml:space="preserve">: </w:t>
      </w:r>
      <w:r>
        <w:t>Los adenovirus son virus de DNA sin cubierta y con doble filamento; cuando menos 51 serotipos diferentes, divididos en seis especies (A a F) causan infecciones en seres humanos. Algunos serotipos originan más a menudo síndromes específicos; por ejemplo, los adenovirus de tipos 3, 4, 7 y 21 se acompañan de enfermedad aguda de vías respiratorias, particularmente en reclutas recientes no vacunados; los tipos 8, 18 y 37 se vinculan con la aparición de queratoconjuntivitis epidémica y los tipos 40, 41, y en menor magnitud 31, se acompañan de gastroenteritis.</w:t>
      </w:r>
    </w:p>
    <w:p w14:paraId="4A265C93" w14:textId="77777777" w:rsidR="0072615D" w:rsidRDefault="0072615D">
      <w:pPr>
        <w:pStyle w:val="BodyText"/>
        <w:ind w:firstLine="0"/>
      </w:pPr>
      <w:r>
        <w:rPr>
          <w:b/>
          <w:bCs/>
        </w:rPr>
        <w:t>A</w:t>
      </w:r>
      <w:r>
        <w:rPr>
          <w:b/>
          <w:bCs/>
          <w:sz w:val="13"/>
          <w:szCs w:val="13"/>
        </w:rPr>
        <w:t>SPECTOS EPIDEMIOLÓGICOS</w:t>
      </w:r>
      <w:r>
        <w:rPr>
          <w:b/>
          <w:bCs/>
        </w:rPr>
        <w:t xml:space="preserve">: </w:t>
      </w:r>
      <w:r>
        <w:t xml:space="preserve">La infección puede aparecer en cualquier edad en lactantes y niños. Los adenovirus que originan infecciones de vías respiratorias generalmente son transmitidos por secreciones de vías respiratorias mediante contacto directo de una persona a otra, aerosoles y objetos inanimados, y en estos últimos, es factible la transmisión porque los virus son estables en el entorno. No se han definido con exactitud otras vías de transmisión, y pueden variar con la edad, el tipo de infección y factores ambientales y de otro tipo. El microorganismo puede penetrar por las conjuntivas. Los brotes de fiebre faringoconjuntival vinculada con los adenovirus en las comunidades se han atribuido a exposición al agua de piscinas contaminadas y objetos como toallas compartidas. La transmisión nosocomial de las infecciones de vías respiratorias y gastrointestinales por adenovirus pueden ser consecuencia de exposición a profesionales asistenciales infectados y equipo contaminado. La queratoconjuntivitis epidémica a menudo se ha relacionado con la transmisión nosocomial en consultorios de oftalmólogos. Las cepas entéricas de adenovirus se transmiten por la vía fecal-oral. La incidencia de enfermedad de vías respiratorias inducida por adenovirus aumenta un poco a finales de invierno, en la filamentos; los extremos de los filamentos individuales pueden sobresalir de la periferia del grànulo con “clavas” hialinas de disposición radial o sin ellas. Se cuenta con tinciones de inmunofluorescencia para identificar especies de Actinomyces. Es importante obtener las muestras, transportarlas y cultivarlas en un entorno anaerobio en medios semiselectivos. </w:t>
      </w:r>
      <w:r>
        <w:rPr>
          <w:b/>
          <w:bCs/>
        </w:rPr>
        <w:t>T</w:t>
      </w:r>
      <w:r>
        <w:rPr>
          <w:b/>
          <w:bCs/>
          <w:sz w:val="13"/>
          <w:szCs w:val="13"/>
        </w:rPr>
        <w:t>RATAMIENTO</w:t>
      </w:r>
      <w:r>
        <w:rPr>
          <w:b/>
          <w:bCs/>
        </w:rPr>
        <w:t xml:space="preserve">: </w:t>
      </w:r>
      <w:r>
        <w:t>El tratamiento inicial incluirá la penicilina G o la ampicilina intravenosas durante cuatro a seis semanas, seguida de altas dosis de penicilina por vía oral (incluso 2 g/día para adultos), o se pueden usar amoxicilina, eritromicina, clindamicina, doxiciclina o tetraciclina en un lapso total de seis a 12 meses. No conviene usar las tetraciclinas en niños menores de ocho años. A veces se necesita el drenaje quirúrgico como complemento del manejo médico.</w:t>
      </w:r>
    </w:p>
    <w:p w14:paraId="3CBA4EF7" w14:textId="77777777" w:rsidR="0072615D" w:rsidRDefault="0072615D">
      <w:pPr>
        <w:pStyle w:val="BodyText"/>
        <w:ind w:firstLine="0"/>
      </w:pP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Se recomienda practicar las precauciones estándar. No hay transmisión de una persona a otra.</w:t>
      </w:r>
    </w:p>
    <w:p w14:paraId="52743238" w14:textId="77777777" w:rsidR="0072615D" w:rsidRDefault="0072615D">
      <w:pPr>
        <w:pStyle w:val="BodyText"/>
        <w:spacing w:after="100"/>
        <w:ind w:firstLine="0"/>
      </w:pPr>
      <w:r>
        <w:rPr>
          <w:b/>
          <w:bCs/>
        </w:rPr>
        <w:t>M</w:t>
      </w:r>
      <w:r>
        <w:rPr>
          <w:b/>
          <w:bCs/>
          <w:sz w:val="13"/>
          <w:szCs w:val="13"/>
        </w:rPr>
        <w:t>EDIDAS PREVENTIVAS</w:t>
      </w:r>
      <w:r>
        <w:rPr>
          <w:b/>
          <w:bCs/>
        </w:rPr>
        <w:t xml:space="preserve">: </w:t>
      </w:r>
      <w:r>
        <w:t>Incluyen higiene apropiada de la boca, cuidados regulares de la dentadura y limpieza cuidadosa de heridas, incluidas las mordidas de personas para así evitar la infección.</w:t>
      </w:r>
    </w:p>
    <w:p w14:paraId="4EB77C0A" w14:textId="77777777" w:rsidR="0072615D" w:rsidRDefault="0072615D">
      <w:pPr>
        <w:pStyle w:val="Bodytext70"/>
        <w:spacing w:after="0"/>
      </w:pPr>
      <w:r>
        <w:t>Adenovirus, infecciones</w:t>
      </w:r>
    </w:p>
    <w:p w14:paraId="701E6279" w14:textId="77777777" w:rsidR="0072615D" w:rsidRDefault="0072615D">
      <w:pPr>
        <w:pStyle w:val="BodyText"/>
        <w:ind w:firstLine="0"/>
      </w:pPr>
      <w:r>
        <w:rPr>
          <w:b/>
          <w:bCs/>
        </w:rPr>
        <w:t>M</w:t>
      </w:r>
      <w:r>
        <w:rPr>
          <w:b/>
          <w:bCs/>
          <w:sz w:val="13"/>
          <w:szCs w:val="13"/>
        </w:rPr>
        <w:t>ANIFESTACIONES CLÍNICAS</w:t>
      </w:r>
      <w:r>
        <w:rPr>
          <w:b/>
          <w:bCs/>
        </w:rPr>
        <w:t xml:space="preserve">: </w:t>
      </w:r>
      <w:r>
        <w:t>El sitio más común de ataque de adenovirus es la porción superior de las vías respiratorias. El cuadro incluye síntomas propios del resfriado común, faringitis, amigdalitis, otitis media y fiebre faringoconjuntival. A veces surgen infecciones diseminadas que pueden ser letales, neumonitis grave, meningitis y encefalitis, particularmente en lactantes de corta edad y hospedadores inmunodeficientes. Los adenovirus son causa poco frecuente de conjuntivitis hemorrágica aguda, un síndrome similar a la tos ferina, croup (traqueobronquitis aguda), bronquiolitis y cistitis hemorrágica. Unos cuantos serotipos del adenovirus originan gastroenteritis.</w:t>
      </w:r>
    </w:p>
    <w:p w14:paraId="58B4A9CD" w14:textId="77777777" w:rsidR="0072615D" w:rsidRDefault="0072615D">
      <w:pPr>
        <w:pStyle w:val="BodyText"/>
        <w:ind w:firstLine="0"/>
      </w:pPr>
      <w:r>
        <w:rPr>
          <w:b/>
          <w:bCs/>
        </w:rPr>
        <w:t>C</w:t>
      </w:r>
      <w:r>
        <w:rPr>
          <w:b/>
          <w:bCs/>
          <w:sz w:val="13"/>
          <w:szCs w:val="13"/>
        </w:rPr>
        <w:t>AUSAS</w:t>
      </w:r>
      <w:r>
        <w:rPr>
          <w:b/>
          <w:bCs/>
        </w:rPr>
        <w:t xml:space="preserve">: </w:t>
      </w:r>
      <w:r>
        <w:t>Los adenovirus son virus de DNA sin cubierta y con doble filamento; cuando menos 51 serotipos diferentes, divididos en seis especies (A a F) causan infecciones en seres humanos. Algunos serotipos originan más a menudo síndromes específicos; por ejemplo, los adenovirus de tipos 3, 4, 7 y 21 se acompañan de enfermedad aguda de vías respiratorias, particularmente en reclutas recientes no vacunados; los tipos 8, 18 y 37 se vinculan con la aparición de queratoconjuntivitis epidémica y los tipos 40, 41, y en menor magnitud 31, se acompañan de gastroenteritis.</w:t>
      </w:r>
    </w:p>
    <w:p w14:paraId="25E30267" w14:textId="77777777" w:rsidR="0072615D" w:rsidRDefault="0072615D">
      <w:pPr>
        <w:pStyle w:val="BodyText"/>
        <w:ind w:firstLine="0"/>
        <w:sectPr w:rsidR="0072615D" w:rsidSect="0072615D">
          <w:headerReference w:type="even" r:id="rId416"/>
          <w:headerReference w:type="default" r:id="rId417"/>
          <w:footerReference w:type="even" r:id="rId418"/>
          <w:footerReference w:type="default" r:id="rId419"/>
          <w:footnotePr>
            <w:numFmt w:val="chicago"/>
          </w:footnotePr>
          <w:type w:val="continuous"/>
          <w:pgSz w:w="8501" w:h="13022"/>
          <w:pgMar w:top="708" w:right="805" w:bottom="440" w:left="770" w:header="0" w:footer="12" w:gutter="0"/>
          <w:cols w:space="720"/>
          <w:noEndnote/>
          <w:docGrid w:linePitch="360"/>
          <w15:footnoteColumns w:val="1"/>
        </w:sectPr>
      </w:pPr>
      <w:r>
        <w:rPr>
          <w:b/>
          <w:bCs/>
        </w:rPr>
        <w:t>A</w:t>
      </w:r>
      <w:r>
        <w:rPr>
          <w:b/>
          <w:bCs/>
          <w:sz w:val="13"/>
          <w:szCs w:val="13"/>
        </w:rPr>
        <w:t>SPECTOS EPIDEMIOLÓGICOS</w:t>
      </w:r>
      <w:r>
        <w:rPr>
          <w:b/>
          <w:bCs/>
        </w:rPr>
        <w:t xml:space="preserve">: </w:t>
      </w:r>
      <w:r>
        <w:t xml:space="preserve">La infección puede aparecer en cualquier edad en lactantes y niños. Los adenovirus que originan infecciones de vías respiratorias generalmente son transmitidos por secreciones de vías respiratorias mediante contacto directo de una persona a otra, aerosoles y objetos inanimados, y en estos últimos, es factible la transmisión porque los virus son estables en el entorno. No se han definido con exactitud otras vías de transmisión, y pueden variar con la edad, el tipo de infección y factores ambientales y de otro tipo. El microorganismo puede penetrar por las conjuntivas. Los brotes de fiebre faringoconjuntival vinculada con los adenovirus en las comunidades se han atribuido a exposición al agua de piscinas contaminadas y objetos como toallas compartidas. La transmisión nosocomial de las infecciones de vías respiratorias y gastrointestinales por adenovirus pueden ser consecuencia de exposición a profesionales asistenciales infectados y equipo contaminado. La queratoconjuntivitis epidémica a menudo se ha relacionado con la transmisión nosocomial en consultorios de oftalmólogos. Las cepas entéricas de adenovirus se transmiten por la vía fecal-oral. La incidencia de enfermedad de vías respiratorias inducida por adenovirus aumenta un poco a finales de invierno, en la </w:t>
      </w:r>
    </w:p>
    <w:p w14:paraId="10DFF699" w14:textId="77777777" w:rsidR="0072615D" w:rsidRDefault="0072615D">
      <w:pPr>
        <w:pStyle w:val="BodyText"/>
        <w:ind w:firstLine="0"/>
      </w:pPr>
      <w:r>
        <w:t>primavera y comienzos del verano. La enfermedad intestinal surge durante gran parte del año y ataca más bien a niños que tienen menos de cuatro años de edad. Las infecciones por esta partícula son más transmisibles en los primeros días de un cuadro agudo, pero es frecuente que haya excreción y dispersión persistentes e intermitentes por largos periodos, incluso meses. También son comunes las infecciones asintomáticas, y surge a veces reinfección.</w:t>
      </w:r>
    </w:p>
    <w:p w14:paraId="7B040280" w14:textId="77777777" w:rsidR="0072615D" w:rsidRDefault="0072615D">
      <w:pPr>
        <w:pStyle w:val="BodyText"/>
        <w:ind w:firstLine="360"/>
      </w:pPr>
      <w:r>
        <w:t xml:space="preserve">El </w:t>
      </w:r>
      <w:r>
        <w:rPr>
          <w:b/>
          <w:bCs/>
        </w:rPr>
        <w:t xml:space="preserve">periodo de incubación </w:t>
      </w:r>
      <w:r>
        <w:t xml:space="preserve">de la infección de vías respiratorias varía de dos a 14 días; en el caso de la gastroenteritis, el periodo de incubación es de tres a 10 días. </w:t>
      </w:r>
      <w:r>
        <w:rPr>
          <w:b/>
          <w:bCs/>
        </w:rPr>
        <w:t>M</w:t>
      </w:r>
      <w:r>
        <w:rPr>
          <w:b/>
          <w:bCs/>
          <w:sz w:val="13"/>
          <w:szCs w:val="13"/>
        </w:rPr>
        <w:t>ÉTODOS DIAGNÓSTICOS</w:t>
      </w:r>
      <w:r>
        <w:rPr>
          <w:b/>
          <w:bCs/>
        </w:rPr>
        <w:t xml:space="preserve">: </w:t>
      </w:r>
      <w:r>
        <w:t>El método preferido para diagnosticar la infección por adenovirus es el cultivo celular o la detección del antígeno. Es posible aislar de secreciones de faringe y ojos y heces, los adenovirus vinculados con la enfermedad de vías respiratorias, si se inoculan los materiales obtenidos en diversos cultivos celulares. El germen faríngeo aislado sugiere más la infección reciente que el germen de obtención fetal, que puede denotar estado duradero de portador o infección reciente. Es posible detectar los antígenos de adenovirus en líquidos corporales de personas infectadas por técnicas de inmunocuantificación, que son especialmente útiles para el diagnóstico de cuadros diarreicos, porque mediante los cultivos celulares regulares es imposible aislar los tipos 40 y 41 de adenovirus entéricos. Los adenovirus recién mencionados también pueden identificarse por estudio de las muestras de excremento con microscopio electrónico. También se cuenta con métodos múltiples para detectar los antígenos hexones con reactividad de grupo, del virus en secreciones y tejidos corporales. Asimismo, la detección del DNA vírico puede lograrse con hibridación por sonda o amplificación génica por la reacción en cadena de polimerasa. El serodiagnóstico se utiliza más bien para estudios epidemiológicos.</w:t>
      </w:r>
    </w:p>
    <w:p w14:paraId="63E0EE2C" w14:textId="77777777" w:rsidR="0072615D" w:rsidRDefault="0072615D">
      <w:pPr>
        <w:pStyle w:val="BodyText"/>
        <w:spacing w:line="257" w:lineRule="auto"/>
        <w:ind w:firstLine="0"/>
      </w:pPr>
      <w:r>
        <w:rPr>
          <w:b/>
          <w:bCs/>
          <w:smallCaps/>
          <w:sz w:val="20"/>
          <w:szCs w:val="20"/>
        </w:rPr>
        <w:t>T</w:t>
      </w:r>
      <w:r>
        <w:rPr>
          <w:b/>
          <w:bCs/>
          <w:smallCaps/>
          <w:sz w:val="16"/>
          <w:szCs w:val="16"/>
        </w:rPr>
        <w:t>ratamiento</w:t>
      </w:r>
      <w:r>
        <w:rPr>
          <w:b/>
          <w:bCs/>
          <w:smallCaps/>
          <w:sz w:val="20"/>
          <w:szCs w:val="20"/>
        </w:rPr>
        <w:t>:</w:t>
      </w:r>
      <w:r>
        <w:t xml:space="preserve"> De sostén.</w:t>
      </w:r>
    </w:p>
    <w:p w14:paraId="471DE99F" w14:textId="77777777" w:rsidR="0072615D" w:rsidRDefault="0072615D">
      <w:pPr>
        <w:pStyle w:val="BodyText"/>
        <w:ind w:firstLine="0"/>
      </w:pPr>
      <w:r>
        <w:rPr>
          <w:b/>
          <w:bCs/>
        </w:rPr>
        <w:t>A</w:t>
      </w:r>
      <w:r>
        <w:rPr>
          <w:b/>
          <w:bCs/>
          <w:sz w:val="13"/>
          <w:szCs w:val="13"/>
        </w:rPr>
        <w:t>ISLAMIENTO DEL PACIENTE HOSPITALIZADO</w:t>
      </w:r>
      <w:r>
        <w:rPr>
          <w:b/>
          <w:bCs/>
        </w:rPr>
        <w:t xml:space="preserve">: </w:t>
      </w:r>
      <w:r>
        <w:t>Además de las precauciones estándar para niños de corta edad con infección de vías respiratorias, convienen las precauciones para impedir la transmisión por contacto y por gotículas durante toda la hospitalización. En el caso de niños con conjuntivitis y los menores con pañales aún no continentes que tienen gastroenteritis adenovírica, conviene durante toda la enfermedad seguir las precauciones “por contacto” además de las estándar.</w:t>
      </w:r>
    </w:p>
    <w:p w14:paraId="61985838" w14:textId="77777777" w:rsidR="0072615D" w:rsidRDefault="0072615D">
      <w:pPr>
        <w:pStyle w:val="BodyText"/>
        <w:ind w:firstLine="0"/>
      </w:pPr>
      <w:r>
        <w:rPr>
          <w:b/>
          <w:bCs/>
        </w:rPr>
        <w:t>M</w:t>
      </w:r>
      <w:r>
        <w:rPr>
          <w:b/>
          <w:bCs/>
          <w:sz w:val="13"/>
          <w:szCs w:val="13"/>
        </w:rPr>
        <w:t>EDIDAS PREVENTIVAS</w:t>
      </w:r>
      <w:r>
        <w:rPr>
          <w:b/>
          <w:bCs/>
        </w:rPr>
        <w:t xml:space="preserve">: </w:t>
      </w:r>
      <w:r>
        <w:t>Los niños que participan en la atención de grupos infantiles, particularmente los que tienen seis meses a dos años de vida, están expuestos a un mayor peligro de infecciones de vías respiratorias y gastroenteritis adenovírica. No se han definido las medidas eficaces para evitar la propagación del virus, pero se recomienda la higiene frecuente de las manos.</w:t>
      </w:r>
    </w:p>
    <w:p w14:paraId="2C7D45EB" w14:textId="77777777" w:rsidR="0072615D" w:rsidRDefault="0072615D">
      <w:pPr>
        <w:pStyle w:val="BodyText"/>
        <w:ind w:firstLine="360"/>
      </w:pPr>
      <w:r>
        <w:t>Es recomendable la cloración adecuada del agua de piscinas para evitar la fiebre faringoconjuntival. Es difícil de prevenir la queratoconjuntivitis epidémica que surge con maniobras oftalmológicas y obliga a administrar medicamentos de una sola dosis y prestar atención estricta a la higiene manual y a métodos de esterilización de instrumentos. La desinfección eficaz se logra al remojar el equipo contaminado en una solución al 1% de hipoclorito sódico durante 10 min o al esterilizar con autoclave de vapor.</w:t>
      </w:r>
    </w:p>
    <w:p w14:paraId="5CF01F96" w14:textId="77777777" w:rsidR="0072615D" w:rsidRDefault="0072615D">
      <w:pPr>
        <w:pStyle w:val="BodyText"/>
        <w:ind w:firstLine="360"/>
      </w:pPr>
      <w:r>
        <w:t>Es importante que los profesionales asistenciales que padecen conjuntivitis adenovírica identificada o sospechada no tengan contacto con los pacientes durante 14 días después de haber comenzado la enfermedad en su segundo ojo. Es difícil eliminar a los adenovirus de la piel, los objetos inanimados y las superficies ambientales, y por tal razón, se recomienda el cumplimiento meticuloso de las medidas de higiene de las manos y el uso de guantes desechables cuando se atienda a pacientes infectados.</w:t>
      </w:r>
    </w:p>
    <w:p w14:paraId="02F8A7D2" w14:textId="77777777" w:rsidR="0072615D" w:rsidRDefault="0072615D">
      <w:pPr>
        <w:pStyle w:val="BodyText"/>
        <w:ind w:firstLine="0"/>
      </w:pPr>
      <w:r>
        <w:rPr>
          <w:b/>
          <w:bCs/>
        </w:rPr>
        <w:t>M</w:t>
      </w:r>
      <w:r>
        <w:rPr>
          <w:b/>
          <w:bCs/>
          <w:sz w:val="13"/>
          <w:szCs w:val="13"/>
        </w:rPr>
        <w:t>EDIDAS PREVENTIVAS</w:t>
      </w:r>
      <w:r>
        <w:rPr>
          <w:b/>
          <w:bCs/>
        </w:rPr>
        <w:t xml:space="preserve">: </w:t>
      </w:r>
      <w:r>
        <w:t xml:space="preserve">Es importante que las personas no naden en agua dulce contaminada, estancada y tibia. Los organismos de </w:t>
      </w:r>
      <w:r>
        <w:rPr>
          <w:rFonts w:ascii="Times New Roman" w:eastAsia="Times New Roman" w:hAnsi="Times New Roman" w:cs="Times New Roman"/>
          <w:i/>
          <w:iCs/>
          <w:sz w:val="16"/>
          <w:szCs w:val="16"/>
        </w:rPr>
        <w:t>Acanthamoeba</w:t>
      </w:r>
      <w:r>
        <w:t xml:space="preserve"> son resistentes al congelamiento, la secación y las concentraciones usuales de cloro que se observan en el agua potable y las piscinas.</w:t>
      </w:r>
    </w:p>
    <w:p w14:paraId="184ACD1A" w14:textId="77777777" w:rsidR="0072615D" w:rsidRDefault="0072615D">
      <w:pPr>
        <w:pStyle w:val="BodyText"/>
        <w:spacing w:after="100"/>
        <w:ind w:firstLine="360"/>
      </w:pPr>
      <w:r>
        <w:t>Para limpiar los lentes de contacto se utilizarán únicamente soluciones salinas estériles.</w:t>
      </w:r>
    </w:p>
    <w:p w14:paraId="08AB1F90" w14:textId="77777777" w:rsidR="0072615D" w:rsidRDefault="0072615D">
      <w:pPr>
        <w:pStyle w:val="Bodytext70"/>
        <w:spacing w:after="0"/>
      </w:pPr>
      <w:r>
        <w:t>Amibiasis</w:t>
      </w:r>
    </w:p>
    <w:p w14:paraId="27E69BE0" w14:textId="77777777" w:rsidR="0072615D" w:rsidRDefault="0072615D">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Los síndromes clínicos que surgen con la infección por </w:t>
      </w:r>
      <w:r>
        <w:rPr>
          <w:rFonts w:ascii="Times New Roman" w:eastAsia="Times New Roman" w:hAnsi="Times New Roman" w:cs="Times New Roman"/>
          <w:i/>
          <w:iCs/>
          <w:sz w:val="16"/>
          <w:szCs w:val="16"/>
        </w:rPr>
        <w:t>Entamoeba histolytica</w:t>
      </w:r>
      <w:r>
        <w:t xml:space="preserve"> incluyen infección intestinal no invasora, amibiasis intestinal, ameboma y absceso del hígado. La enfermedad es más grave en los niños de muy corta edad, en los ancianos y en las embarazadas. Los sujetos con infección intestinal incruenta pueden estar asintomáticos o tener molestias inespecíficas de vías intestinales. Los pacientes con amibiasis intestinal (colitis amibiana) por lo común han sufrido diarrea cada vez más grave durante una a tres semanas, que ha evolucionado desde heces disentéricas fuertemente sanguinolentas con dolor en la parte baja del vientre y tenesmo. Es frecuente que el niño pierda peso, y en 30% de los pacientes hay fiebre. Los síntomas pueden persistir por largo tiempo y remedar la enteropatía inflamatoria. El ataque progresivo del colon puede originar megacolon tóxico, colitis fulminante, úlceras del colon y zona perianal, y en raras ocasiones, perforación. La evolución puede aparecer en pacientes que han sido tratados inapropiadamente con corticosteroides o fármacos antimotilidad. A veces surge un ameboma en la forma de una lesión anular del ciego o colon ascendente que puede ser tomado erróneamente por carcinoma del colon o por una masa extrahepática y dolorosa que remeda un absceso piógeno. Los amebomas por lo común muestran resolución con los antiamibiásicos y no es necesario operar en estos casos.</w:t>
      </w:r>
    </w:p>
    <w:p w14:paraId="54F69B91" w14:textId="77777777" w:rsidR="0072615D" w:rsidRDefault="0072615D">
      <w:pPr>
        <w:pStyle w:val="BodyText"/>
        <w:ind w:firstLine="360"/>
      </w:pPr>
      <w:r>
        <w:t>En una proporción pequeña de pacientes surge la enfermedad extraintestinal. El hígado es el sitio más común de ataque en tales situaciones, pero también puede haber afección de pulmones, espacio pleural, pericardio, encéfalo, piel y vías genitourinarias. El absceso hepático puede ser agudo e incluir fiebre, dolor abdominal, taquipnea, gran sensibilidad del hígado al tacto y hepatomegalia, o asumir la forma crónica, con pérdida ponderal, síntomas abdominales imprecisos e irritabilidad. Al romperse el absceso y vaciar su contenido al interior del abdomen o al tórax puede causar la muerte. Por lo común no hay signos de infección intestinal reciente.</w:t>
      </w:r>
    </w:p>
    <w:p w14:paraId="13BAF68D" w14:textId="77777777" w:rsidR="0072615D" w:rsidRDefault="0072615D">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Entamoeba histolytica</w:t>
      </w:r>
      <w:r>
        <w:t xml:space="preserve"> ha sido reclasificada en dos especies que son idénticas en su morfología, pero son protozoos genéticamente distintos. </w:t>
      </w:r>
      <w:r>
        <w:rPr>
          <w:rFonts w:ascii="Times New Roman" w:eastAsia="Times New Roman" w:hAnsi="Times New Roman" w:cs="Times New Roman"/>
          <w:i/>
          <w:iCs/>
          <w:sz w:val="16"/>
          <w:szCs w:val="16"/>
        </w:rPr>
        <w:t>E. histolytica</w:t>
      </w:r>
      <w:r>
        <w:t xml:space="preserve"> patógena y </w:t>
      </w:r>
      <w:r>
        <w:rPr>
          <w:rFonts w:ascii="Times New Roman" w:eastAsia="Times New Roman" w:hAnsi="Times New Roman" w:cs="Times New Roman"/>
          <w:i/>
          <w:iCs/>
          <w:sz w:val="16"/>
          <w:szCs w:val="16"/>
        </w:rPr>
        <w:t>Entamoeba dispar</w:t>
      </w:r>
      <w:r>
        <w:t xml:space="preserve"> no patógena se excretan en la forma de quistes o trofozoítos en los excrementos de personas infectadas.</w:t>
      </w:r>
    </w:p>
    <w:p w14:paraId="06912FC8" w14:textId="77777777" w:rsidR="0072615D" w:rsidRDefault="0072615D">
      <w:pPr>
        <w:pStyle w:val="BodyText"/>
        <w:ind w:firstLine="0"/>
        <w:sectPr w:rsidR="0072615D" w:rsidSect="0072615D">
          <w:headerReference w:type="even" r:id="rId420"/>
          <w:headerReference w:type="default" r:id="rId421"/>
          <w:footerReference w:type="even" r:id="rId422"/>
          <w:footerReference w:type="default" r:id="rId423"/>
          <w:headerReference w:type="first" r:id="rId424"/>
          <w:footerReference w:type="first" r:id="rId425"/>
          <w:footnotePr>
            <w:numFmt w:val="chicago"/>
          </w:footnotePr>
          <w:pgSz w:w="8501" w:h="13022"/>
          <w:pgMar w:top="708" w:right="805" w:bottom="440" w:left="770" w:header="0" w:footer="3" w:gutter="0"/>
          <w:cols w:space="720"/>
          <w:noEndnote/>
          <w:titlePg/>
          <w:docGrid w:linePitch="360"/>
          <w15:footnoteColumns w:val="1"/>
        </w:sectPr>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La distribución de </w:t>
      </w:r>
      <w:r>
        <w:rPr>
          <w:rFonts w:ascii="Times New Roman" w:eastAsia="Times New Roman" w:hAnsi="Times New Roman" w:cs="Times New Roman"/>
          <w:i/>
          <w:iCs/>
          <w:sz w:val="16"/>
          <w:szCs w:val="16"/>
        </w:rPr>
        <w:t>Entamoeba histolytica</w:t>
      </w:r>
      <w:r>
        <w:t xml:space="preserve"> es mundial, pero más prevalente en personas de estrato socioeconómico bajo que viven en países en desarrollo, en los cuales la prevalencia de la infección amibiana puede llegar a 50%. Los grupos expuestos a mayor peligro de mostrar la infección en países desarrollados comprenden migrantes que vienen de áreas endémicas, visitantes que por largo tiempo llegan a dichas áreas, personas en instituciones de cuidado a largo plazo y varones que tienen relaciones sexuales con personas de su mismo género. </w:t>
      </w:r>
      <w:r>
        <w:rPr>
          <w:rFonts w:ascii="Times New Roman" w:eastAsia="Times New Roman" w:hAnsi="Times New Roman" w:cs="Times New Roman"/>
          <w:i/>
          <w:iCs/>
          <w:sz w:val="16"/>
          <w:szCs w:val="16"/>
        </w:rPr>
        <w:t>Entamoeba histolytica</w:t>
      </w:r>
      <w:r>
        <w:t xml:space="preserve"> es transmitida por los quistes amibianos, por la vía fecal-oral. Los quistes ingeridos que no son alterados por el ácido gástrico pasan por una fase de pérdida de la cubierta quística en el medio alcalino del intestino delgado y de ellos salen trofozoítos que infectan al </w:t>
      </w:r>
    </w:p>
    <w:p w14:paraId="0AE2B3BF" w14:textId="77777777" w:rsidR="0072615D" w:rsidRDefault="0072615D">
      <w:pPr>
        <w:pStyle w:val="BodyText"/>
        <w:ind w:firstLine="0"/>
      </w:pPr>
      <w:r>
        <w:t>colon. Los quistes que más tarde se forman son los elementos fundamentales de la transmisión, especialmente en el caso de excretores asintomáticos de ellos. Los sujetos infectados excretan intermitentemente quistes, a veces durante años, si no son tratados. En ocasiones la transmisión se ha vinculado con el consumo de agua y alimentos contaminados y equipos para enemas.</w:t>
      </w:r>
    </w:p>
    <w:p w14:paraId="361660AF" w14:textId="77777777" w:rsidR="0072615D" w:rsidRDefault="0072615D">
      <w:pPr>
        <w:pStyle w:val="BodyText"/>
        <w:ind w:firstLine="360"/>
      </w:pPr>
      <w:r>
        <w:t>El periodo de incubación es variable y va de días a meses o años, pero por lo común es de una a cuatro semanas.</w:t>
      </w:r>
    </w:p>
    <w:p w14:paraId="1387D931" w14:textId="77777777" w:rsidR="0072615D" w:rsidRDefault="0072615D">
      <w:pPr>
        <w:pStyle w:val="BodyText"/>
        <w:ind w:firstLine="0"/>
      </w:pPr>
      <w:r>
        <w:rPr>
          <w:b/>
          <w:bCs/>
        </w:rPr>
        <w:t>M</w:t>
      </w:r>
      <w:r>
        <w:rPr>
          <w:b/>
          <w:bCs/>
          <w:sz w:val="13"/>
          <w:szCs w:val="13"/>
        </w:rPr>
        <w:t>ÉTODOS DIAGNÓSTICOS</w:t>
      </w:r>
      <w:r>
        <w:rPr>
          <w:b/>
          <w:bCs/>
        </w:rPr>
        <w:t xml:space="preserve">: </w:t>
      </w:r>
      <w:r>
        <w:t xml:space="preserve">El diagnóstico de infección intestinal depende de identificar los trofozoítos o los quistes en muestras de excremento. A veces se necesita el estudio de muestras seriadas. El operador debe revisar las muestras de excremento, material obtenido por raspado en endoscopia (no por fricción) y fragmentos de biopsia, en una preparación húmeda en término de 30 min de la obtención del material y fijado en formol y alcohol polivinílico (se le obtiene en estuches) para concentración y tinción permanente. No es fácil diferenciar </w:t>
      </w:r>
      <w:r>
        <w:rPr>
          <w:rFonts w:ascii="Times New Roman" w:eastAsia="Times New Roman" w:hAnsi="Times New Roman" w:cs="Times New Roman"/>
          <w:i/>
          <w:iCs/>
          <w:sz w:val="16"/>
          <w:szCs w:val="16"/>
        </w:rPr>
        <w:t>Entamoeba histolytica</w:t>
      </w:r>
      <w:r>
        <w:t xml:space="preserve"> de </w:t>
      </w:r>
      <w:r>
        <w:rPr>
          <w:rFonts w:ascii="Times New Roman" w:eastAsia="Times New Roman" w:hAnsi="Times New Roman" w:cs="Times New Roman"/>
          <w:i/>
          <w:iCs/>
          <w:sz w:val="16"/>
          <w:szCs w:val="16"/>
        </w:rPr>
        <w:t>E. dispar</w:t>
      </w:r>
      <w:r>
        <w:t xml:space="preserve"> más prevalente e incruenta, aunque los trofozoítos que han ingerido eritrocitos muy probablemente sean de </w:t>
      </w:r>
      <w:r>
        <w:rPr>
          <w:rFonts w:ascii="Times New Roman" w:eastAsia="Times New Roman" w:hAnsi="Times New Roman" w:cs="Times New Roman"/>
          <w:i/>
          <w:iCs/>
          <w:sz w:val="16"/>
          <w:szCs w:val="16"/>
        </w:rPr>
        <w:t>E. histolytica.</w:t>
      </w:r>
      <w:r>
        <w:t xml:space="preserve"> Se puede distinguir entre una y otra formas de amibas por la reacción en cadena de polimerasa, el análisis de isoenzimas y la detección de antígeno basado en anticuerpos monoclonales.</w:t>
      </w:r>
    </w:p>
    <w:p w14:paraId="5DA3E871" w14:textId="77777777" w:rsidR="0072615D" w:rsidRDefault="0072615D">
      <w:pPr>
        <w:pStyle w:val="BodyText"/>
        <w:spacing w:line="276" w:lineRule="auto"/>
        <w:ind w:firstLine="360"/>
      </w:pPr>
      <w:r>
        <w:t xml:space="preserve">La detección de anticuerpos séricos por medio del método de hemaglutinación indirecta </w:t>
      </w:r>
      <w:r>
        <w:rPr>
          <w:i/>
          <w:iCs/>
        </w:rPr>
        <w:t>(</w:t>
      </w:r>
      <w:r>
        <w:rPr>
          <w:rFonts w:ascii="Times New Roman" w:eastAsia="Times New Roman" w:hAnsi="Times New Roman" w:cs="Times New Roman"/>
          <w:i/>
          <w:iCs/>
          <w:sz w:val="16"/>
          <w:szCs w:val="16"/>
        </w:rPr>
        <w:t>indirect hemagglutination assay</w:t>
      </w:r>
      <w:r>
        <w:rPr>
          <w:i/>
          <w:iCs/>
        </w:rPr>
        <w:t>,</w:t>
      </w:r>
      <w:r>
        <w:t xml:space="preserve"> IHA) puede ser útil, sobre todo en el diagnóstico de colitis amibiana (resultados positivos, 85%) y amibiasis extraintestinal con afección del hígado (resultados positivos 99%). En encuestas de personas en países desarrollados se han obtenido resultados positivos con IHA en 5% de los casos. Incluso 30% de la población tendrá anticuerpos en IHA en áreas endémicas. La infección por </w:t>
      </w:r>
      <w:r>
        <w:rPr>
          <w:rFonts w:ascii="Times New Roman" w:eastAsia="Times New Roman" w:hAnsi="Times New Roman" w:cs="Times New Roman"/>
          <w:i/>
          <w:iCs/>
          <w:sz w:val="16"/>
          <w:szCs w:val="16"/>
        </w:rPr>
        <w:t>E. dispar</w:t>
      </w:r>
      <w:r>
        <w:t xml:space="preserve"> no hará que se obtenga IHA positivo.</w:t>
      </w:r>
    </w:p>
    <w:p w14:paraId="7419275E" w14:textId="77777777" w:rsidR="0072615D" w:rsidRDefault="0072615D">
      <w:pPr>
        <w:pStyle w:val="BodyText"/>
        <w:spacing w:line="276" w:lineRule="auto"/>
        <w:ind w:firstLine="360"/>
      </w:pPr>
      <w:r>
        <w:t xml:space="preserve">Por ultrasonografía y tomografía computadorizada se podrá identificar eficazmente los abscesos hepáticos y otros sitios extraintestinales de la infección. El material aspirado de un absceso en hígado por lo común no muestra trofozoítos ni leucocitos. </w:t>
      </w:r>
      <w:r>
        <w:rPr>
          <w:b/>
          <w:bCs/>
        </w:rPr>
        <w:t>T</w:t>
      </w:r>
      <w:r>
        <w:rPr>
          <w:b/>
          <w:bCs/>
          <w:sz w:val="13"/>
          <w:szCs w:val="13"/>
        </w:rPr>
        <w:t>RATAMIENTO</w:t>
      </w:r>
      <w:r>
        <w:rPr>
          <w:b/>
          <w:bCs/>
        </w:rPr>
        <w:t>:</w:t>
      </w:r>
      <w:r>
        <w:rPr>
          <w:b/>
          <w:bCs/>
        </w:rPr>
        <w:footnoteReference w:id="84"/>
      </w:r>
      <w:r>
        <w:rPr>
          <w:b/>
          <w:bCs/>
        </w:rPr>
        <w:t xml:space="preserve"> </w:t>
      </w:r>
      <w:r>
        <w:t xml:space="preserve">El tratamiento consiste en eliminar los trofozoítos que invaden tejidos, así como los microorganismos en el interior del intestino. La infección por </w:t>
      </w:r>
      <w:r>
        <w:rPr>
          <w:rFonts w:ascii="Times New Roman" w:eastAsia="Times New Roman" w:hAnsi="Times New Roman" w:cs="Times New Roman"/>
          <w:i/>
          <w:iCs/>
          <w:sz w:val="16"/>
          <w:szCs w:val="16"/>
        </w:rPr>
        <w:t>Entamoeba dispar</w:t>
      </w:r>
      <w:r>
        <w:t xml:space="preserve"> no obliga a emprender tratamiento. Los corticosteroides y los productos antimotilidad aplicados a personas con amibiasis empeorarán los síntomas y el proceso patológico. Se recomienda usar los regímenes siguientes:</w:t>
      </w:r>
    </w:p>
    <w:p w14:paraId="040825B5" w14:textId="77777777" w:rsidR="0072615D" w:rsidRDefault="0072615D">
      <w:pPr>
        <w:pStyle w:val="BodyText"/>
        <w:numPr>
          <w:ilvl w:val="0"/>
          <w:numId w:val="51"/>
        </w:numPr>
        <w:tabs>
          <w:tab w:val="left" w:pos="336"/>
        </w:tabs>
        <w:ind w:left="360" w:hanging="360"/>
      </w:pPr>
      <w:bookmarkStart w:id="597" w:name="bookmark597"/>
      <w:bookmarkEnd w:id="597"/>
      <w:r>
        <w:rPr>
          <w:b/>
          <w:bCs/>
        </w:rPr>
        <w:t xml:space="preserve">Personas asintomáticas que excretan quistes (infecciones intraluminales): </w:t>
      </w:r>
      <w:r>
        <w:t>tratar con una amibicida luminal como yodoquinol, paromomicina o furoato de diloxanida.</w:t>
      </w:r>
    </w:p>
    <w:p w14:paraId="479B3B3D" w14:textId="77777777" w:rsidR="0072615D" w:rsidRDefault="0072615D">
      <w:pPr>
        <w:pStyle w:val="BodyText"/>
        <w:numPr>
          <w:ilvl w:val="0"/>
          <w:numId w:val="51"/>
        </w:numPr>
        <w:tabs>
          <w:tab w:val="left" w:pos="336"/>
        </w:tabs>
        <w:ind w:left="360" w:hanging="360"/>
      </w:pPr>
      <w:bookmarkStart w:id="598" w:name="bookmark598"/>
      <w:bookmarkEnd w:id="598"/>
      <w:r>
        <w:rPr>
          <w:b/>
          <w:bCs/>
        </w:rPr>
        <w:t xml:space="preserve">Personas con síntomas intestinales leves a moderados o graves o enfermedad extraintestinal (incluido absceso de hígado): </w:t>
      </w:r>
      <w:r>
        <w:t>se tratarán con metronidazol (o tinidazol), seguidos de un ciclo terapéutico de algún amibicida de acción luminal (yodoquinol o paromomicina).</w:t>
      </w:r>
    </w:p>
    <w:p w14:paraId="293C6CA0" w14:textId="77777777" w:rsidR="0072615D" w:rsidRDefault="0072615D">
      <w:pPr>
        <w:pStyle w:val="BodyText"/>
        <w:ind w:firstLine="360"/>
      </w:pPr>
      <w:r>
        <w:t>Habrá que considerar la posibilidad de administrar dehidroemetina, a la que seguirá un ciclo terapéutico con un amibicida luminal, en pacientes en quienes ha sido ineficaz el tratamiento de la enfermedad invasora o no puede ser tolerada. Otro tratamiento contra el absceso hepático es el fosfato de cloroquina junto con metronidazol (o tinidazol) o si es necesario dehidroemetina, seguido por un ciclo terapéutico de amibicida luminal.</w:t>
      </w:r>
    </w:p>
    <w:p w14:paraId="0E200B52" w14:textId="77777777" w:rsidR="0072615D" w:rsidRDefault="0072615D">
      <w:pPr>
        <w:pStyle w:val="BodyText"/>
        <w:spacing w:after="100"/>
        <w:ind w:firstLine="360"/>
      </w:pPr>
      <w:r>
        <w:t xml:space="preserve">Para evitar la rotura espontánea del absceso, los sujetos con un gran absceso hepático pueden beneficiarse de la aspiración percutánea o quirúrgica.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Además de las precauciones estándar se recomienda seguir las precauciones para evitar la transmisión por contacto durante el tiempo que dure la enfermedad. </w:t>
      </w:r>
      <w:r>
        <w:rPr>
          <w:b/>
          <w:bCs/>
        </w:rPr>
        <w:t>M</w:t>
      </w:r>
      <w:r>
        <w:rPr>
          <w:b/>
          <w:bCs/>
          <w:sz w:val="13"/>
          <w:szCs w:val="13"/>
        </w:rPr>
        <w:t>EDIDAS PREVENTIVAS</w:t>
      </w:r>
      <w:r>
        <w:rPr>
          <w:b/>
          <w:bCs/>
        </w:rPr>
        <w:t xml:space="preserve">: </w:t>
      </w:r>
      <w:r>
        <w:t>Incluyen higiene cuidadosa de las manos después de la defecación; eliminación higiénica del material fecal y tratamiento del agua potable para así controlar la propagación de la infección. La transmisión sexual se previene por medio de condones.</w:t>
      </w:r>
    </w:p>
    <w:p w14:paraId="7E5F106B" w14:textId="77777777" w:rsidR="0072615D" w:rsidRDefault="0072615D">
      <w:pPr>
        <w:pStyle w:val="Bodytext70"/>
        <w:spacing w:after="0" w:line="317" w:lineRule="auto"/>
      </w:pPr>
      <w:r>
        <w:t>Arañazo de gato, enfermedad. Véase LINFORRETICULOSIS. Arbovirus, infecciones</w:t>
      </w:r>
    </w:p>
    <w:p w14:paraId="2005CB97" w14:textId="77777777" w:rsidR="0072615D" w:rsidRDefault="0072615D">
      <w:pPr>
        <w:pStyle w:val="Other0"/>
        <w:spacing w:line="252" w:lineRule="auto"/>
        <w:ind w:firstLine="0"/>
        <w:rPr>
          <w:sz w:val="20"/>
          <w:szCs w:val="20"/>
        </w:rPr>
      </w:pPr>
      <w:r>
        <w:rPr>
          <w:rFonts w:ascii="Arial" w:eastAsia="Arial" w:hAnsi="Arial" w:cs="Arial"/>
          <w:b/>
          <w:bCs/>
          <w:w w:val="70"/>
          <w:sz w:val="20"/>
          <w:szCs w:val="20"/>
        </w:rPr>
        <w:t>(Incluidas las siguientes formas de encefalitis: California [principalmente La Crosse], equina de la zona oriental y occidental de Estados Unidos, de Powassan, de St Louis, equina venezolana, del Nilo Occidental; fiebre por garrapatas de Colorado, dengue, encefalitis japonesa y fiebre amarilla)</w:t>
      </w:r>
    </w:p>
    <w:p w14:paraId="196016EE" w14:textId="77777777" w:rsidR="0072615D" w:rsidRDefault="0072615D">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Los arbovirus (virus transmitidos por artrópodos) son diseminados por mosquitos, garrapatas y flebótomos, y causan cuatro síndromes clínicos principales: 1) infección del sistema nervioso central (SNC) (incluidas encefalitis, meningitis aséptica o mielitis); 2) cuadro febril no diferenciado, a menudo con erupción; 3) poliartropatía aguda; y 4) fiebre hemorrágica aguda que suele acompañarse de hepatitis. La infección por algunos arbovirus origina enfermedad en etapa perinatal.</w:t>
      </w:r>
    </w:p>
    <w:p w14:paraId="165C6F59" w14:textId="77777777" w:rsidR="0072615D" w:rsidRDefault="0072615D">
      <w:pPr>
        <w:pStyle w:val="BodyText"/>
        <w:spacing w:after="40" w:line="271" w:lineRule="auto"/>
        <w:ind w:firstLine="360"/>
        <w:sectPr w:rsidR="0072615D" w:rsidSect="0072615D">
          <w:headerReference w:type="even" r:id="rId426"/>
          <w:headerReference w:type="default" r:id="rId427"/>
          <w:footerReference w:type="even" r:id="rId428"/>
          <w:footerReference w:type="default" r:id="rId429"/>
          <w:headerReference w:type="first" r:id="rId430"/>
          <w:footerReference w:type="first" r:id="rId431"/>
          <w:footnotePr>
            <w:numFmt w:val="chicago"/>
          </w:footnotePr>
          <w:pgSz w:w="8501" w:h="13022"/>
          <w:pgMar w:top="708" w:right="805" w:bottom="440" w:left="770" w:header="0" w:footer="3" w:gutter="0"/>
          <w:cols w:space="720"/>
          <w:noEndnote/>
          <w:titlePg/>
          <w:docGrid w:linePitch="360"/>
          <w15:footnoteColumns w:val="1"/>
        </w:sectPr>
      </w:pPr>
      <w:r>
        <w:t xml:space="preserve">En el cuadro 3-1 se señalan algunos arbovirus transmitidos en el hemisferio occidental que atacan el sistema nervioso central. El virus de la encefalitis equina de la zona oriental de Estados Unidos </w:t>
      </w:r>
      <w:r>
        <w:rPr>
          <w:i/>
          <w:iCs/>
        </w:rPr>
        <w:t>(</w:t>
      </w:r>
      <w:r>
        <w:rPr>
          <w:rFonts w:ascii="Times New Roman" w:eastAsia="Times New Roman" w:hAnsi="Times New Roman" w:cs="Times New Roman"/>
          <w:i/>
          <w:iCs/>
          <w:sz w:val="16"/>
          <w:szCs w:val="16"/>
        </w:rPr>
        <w:t>eastern equine encephalitis,</w:t>
      </w:r>
      <w:r>
        <w:t xml:space="preserve"> EEE) es la inflamación encefálica más intensa transmitida por artrópodos, en Estados Unidos. Los demás arbovirus importantes en dicha nación más bien originan infecciones asintomáticas. Cuando aparece, la enfermedad clínica varía en intensidad, desde un cuadro febril que cede por sí solo con cefalea y vómitos (particularmente en niños), hasta un síndrome de meningitis aséptica o encefalitis aguda. El virus La Crosse (LAC) origina meningitis o encefalitis aséptica con convulsiones agudas y signos focales en más de 25% de los pacientes, y estupor o coma en 50%, pero los pacientes mueren en menos de 1% de los casos. De manera típica, la encefalitis equina de la porción oriental de Estados Unidos es un cuadro fulminante que culmina en coma y muerte en 33% de los casos, y en otro 33% deja secuelas graves del sistema nervioso. La intensidad clínica de la encefalitis equina de la zona occidental de Estados Unidos </w:t>
      </w:r>
      <w:r>
        <w:rPr>
          <w:i/>
          <w:iCs/>
        </w:rPr>
        <w:t>(</w:t>
      </w:r>
      <w:r>
        <w:rPr>
          <w:rFonts w:ascii="Times New Roman" w:eastAsia="Times New Roman" w:hAnsi="Times New Roman" w:cs="Times New Roman"/>
          <w:i/>
          <w:iCs/>
          <w:sz w:val="16"/>
          <w:szCs w:val="16"/>
        </w:rPr>
        <w:t>western equine encephalitis,</w:t>
      </w:r>
      <w:r>
        <w:t xml:space="preserve"> WEE) es intermedia, con una tasa de letalidad de 5%; es común en lactantes el ataque del sistema nervioso. La encefalitis Powassan se acompaña de complicaciones de largo plazo y tiene una tasa de letalidad de 10 a 15%. Entre las características de la infección sintomática en la encefalitis de St Louis </w:t>
      </w:r>
      <w:r>
        <w:rPr>
          <w:i/>
          <w:iCs/>
        </w:rPr>
        <w:t>(</w:t>
      </w:r>
      <w:r>
        <w:rPr>
          <w:rFonts w:ascii="Times New Roman" w:eastAsia="Times New Roman" w:hAnsi="Times New Roman" w:cs="Times New Roman"/>
          <w:i/>
          <w:iCs/>
          <w:sz w:val="16"/>
          <w:szCs w:val="16"/>
        </w:rPr>
        <w:t>St Louis encephalitis</w:t>
      </w:r>
      <w:r>
        <w:rPr>
          <w:i/>
          <w:iCs/>
        </w:rPr>
        <w:t>,</w:t>
      </w:r>
      <w:r>
        <w:t xml:space="preserve"> SLE) están confusión, fiebre, cefalea, evolución lenta de la enfermedad, ausencia de signos focales, debilidad generalizada y temblor; 7% de los casos son letales y los niños y los ancianos son los que presentan el cuadro más grave. En 1999 se describió por primera vez en Estados Unidos, y particularmente en Nueva York, el virus del Nilo Occidental </w:t>
      </w:r>
      <w:r>
        <w:rPr>
          <w:i/>
          <w:iCs/>
        </w:rPr>
        <w:t>(</w:t>
      </w:r>
      <w:r>
        <w:rPr>
          <w:rFonts w:ascii="Times New Roman" w:eastAsia="Times New Roman" w:hAnsi="Times New Roman" w:cs="Times New Roman"/>
          <w:i/>
          <w:iCs/>
          <w:sz w:val="16"/>
          <w:szCs w:val="16"/>
        </w:rPr>
        <w:t>western Nile virus</w:t>
      </w:r>
      <w:r>
        <w:rPr>
          <w:i/>
          <w:iCs/>
        </w:rPr>
        <w:t>,</w:t>
      </w:r>
      <w:r>
        <w:t xml:space="preserve"> WNV), y desde esa fecha se han notificado en más de 40 estados de la Unión Norteamericana (continental) casos de seres humanos, confirmados por datos de laboratorio, de la enfermedad vinculada con dicho virus. La infección por tal partícula</w:t>
      </w:r>
    </w:p>
    <w:p w14:paraId="7328565C" w14:textId="77777777" w:rsidR="0072615D" w:rsidRDefault="0072615D">
      <w:pPr>
        <w:pStyle w:val="Bodytext70"/>
        <w:spacing w:after="0"/>
      </w:pPr>
      <w:r>
        <w:t>Amibianas, meningoencefalitis y queratitis</w:t>
      </w:r>
    </w:p>
    <w:p w14:paraId="6D860DFE" w14:textId="77777777" w:rsidR="0072615D" w:rsidRDefault="0072615D">
      <w:pPr>
        <w:pStyle w:val="Bodytext80"/>
        <w:spacing w:after="140"/>
        <w:rPr>
          <w:sz w:val="20"/>
          <w:szCs w:val="20"/>
        </w:rPr>
      </w:pPr>
      <w:r>
        <w:rPr>
          <w:b/>
          <w:bCs/>
          <w:w w:val="70"/>
          <w:sz w:val="20"/>
          <w:szCs w:val="20"/>
        </w:rPr>
        <w:t xml:space="preserve">(por </w:t>
      </w:r>
      <w:r>
        <w:rPr>
          <w:b/>
          <w:bCs/>
          <w:i/>
          <w:iCs/>
          <w:sz w:val="15"/>
          <w:szCs w:val="15"/>
        </w:rPr>
        <w:t>Naegleria fowleri</w:t>
      </w:r>
      <w:r>
        <w:rPr>
          <w:b/>
          <w:bCs/>
          <w:i/>
          <w:iCs/>
          <w:w w:val="70"/>
          <w:sz w:val="20"/>
          <w:szCs w:val="20"/>
        </w:rPr>
        <w:t>,</w:t>
      </w:r>
      <w:r>
        <w:rPr>
          <w:b/>
          <w:bCs/>
          <w:w w:val="70"/>
          <w:sz w:val="20"/>
          <w:szCs w:val="20"/>
        </w:rPr>
        <w:t xml:space="preserve"> especies de </w:t>
      </w:r>
      <w:r>
        <w:rPr>
          <w:b/>
          <w:bCs/>
          <w:i/>
          <w:iCs/>
          <w:sz w:val="15"/>
          <w:szCs w:val="15"/>
        </w:rPr>
        <w:t xml:space="preserve">Acanthamoeba </w:t>
      </w:r>
      <w:r>
        <w:rPr>
          <w:b/>
          <w:bCs/>
          <w:i/>
          <w:iCs/>
          <w:w w:val="70"/>
          <w:sz w:val="20"/>
          <w:szCs w:val="20"/>
        </w:rPr>
        <w:t xml:space="preserve">y </w:t>
      </w:r>
      <w:r>
        <w:rPr>
          <w:b/>
          <w:bCs/>
          <w:i/>
          <w:iCs/>
          <w:sz w:val="15"/>
          <w:szCs w:val="15"/>
        </w:rPr>
        <w:t>Balamuthia mandrillaris</w:t>
      </w:r>
      <w:r>
        <w:rPr>
          <w:b/>
          <w:bCs/>
          <w:i/>
          <w:iCs/>
          <w:w w:val="70"/>
          <w:sz w:val="20"/>
          <w:szCs w:val="20"/>
        </w:rPr>
        <w:t>)</w:t>
      </w:r>
    </w:p>
    <w:p w14:paraId="4AD3ABCE" w14:textId="77777777" w:rsidR="0072615D" w:rsidRDefault="0072615D">
      <w:pPr>
        <w:pStyle w:val="BodyText"/>
        <w:spacing w:line="271" w:lineRule="auto"/>
        <w:ind w:firstLine="0"/>
      </w:pPr>
      <w:r>
        <w:rPr>
          <w:b/>
          <w:bCs/>
        </w:rPr>
        <w:t>M</w:t>
      </w:r>
      <w:r>
        <w:rPr>
          <w:b/>
          <w:bCs/>
          <w:sz w:val="13"/>
          <w:szCs w:val="13"/>
        </w:rPr>
        <w:t>ANIFESTACIONES CLÍNICAS</w:t>
      </w:r>
      <w:r>
        <w:rPr>
          <w:b/>
          <w:bCs/>
        </w:rPr>
        <w:t xml:space="preserve">: </w:t>
      </w:r>
      <w:r>
        <w:rPr>
          <w:rFonts w:ascii="Times New Roman" w:eastAsia="Times New Roman" w:hAnsi="Times New Roman" w:cs="Times New Roman"/>
          <w:i/>
          <w:iCs/>
          <w:sz w:val="16"/>
          <w:szCs w:val="16"/>
        </w:rPr>
        <w:t>Naegleria fowleri</w:t>
      </w:r>
      <w:r>
        <w:t xml:space="preserve"> origina una meningoencefalitis amibiana primaria, de evolución rápida y casi siempre letal. Los síntomas incipientes comprenden fiebre, cefalea y a veces perturbaciones del olfato y el gusto. El cuadro evoluciona con rapidez hasta que aparecen signos de meningoencefalitis, como son rigidez de la nuca, letargia, confusión y alteración del nivel de conciencia. Es frecuente que surjan convulsiones. El niño suele morir en término de una semana de haber comenzado los síntomas. Ningún signo clínico peculiar diferencia a esta enfermedad, de la meningitis bacteriana fulminante.</w:t>
      </w:r>
    </w:p>
    <w:p w14:paraId="3572D248" w14:textId="77777777" w:rsidR="0072615D" w:rsidRDefault="0072615D">
      <w:pPr>
        <w:pStyle w:val="BodyText"/>
        <w:spacing w:line="271" w:lineRule="auto"/>
        <w:ind w:firstLine="360"/>
      </w:pPr>
      <w:r>
        <w:t xml:space="preserve">La encefalitis amibiana granulomatosa causada por especies de </w:t>
      </w:r>
      <w:r>
        <w:rPr>
          <w:rFonts w:ascii="Times New Roman" w:eastAsia="Times New Roman" w:hAnsi="Times New Roman" w:cs="Times New Roman"/>
          <w:i/>
          <w:iCs/>
          <w:sz w:val="16"/>
          <w:szCs w:val="16"/>
        </w:rPr>
        <w:t>Acanthamoeba</w:t>
      </w:r>
      <w:r>
        <w:t xml:space="preserve"> y </w:t>
      </w:r>
      <w:r>
        <w:rPr>
          <w:rFonts w:ascii="Times New Roman" w:eastAsia="Times New Roman" w:hAnsi="Times New Roman" w:cs="Times New Roman"/>
          <w:i/>
          <w:iCs/>
          <w:sz w:val="16"/>
          <w:szCs w:val="16"/>
        </w:rPr>
        <w:t>Balamuthia mandrillaris</w:t>
      </w:r>
      <w:r>
        <w:t xml:space="preserve"> comienza de manera más insidiosa y sus manifestaciones evolucionan en término de semanas a meses después de la exposición. Entre los signos y los síntomas pueden estar cambios de la personalidad, convulsiones, cefaleas, rigidez de la nuca, ataxia, parálisis de pares craneales, hemiparesia y otros déficit focales. Suele aparecer febrícula intermitente. La evolución puede asemejarse a la de un absceso bacteriano o un tumor en el encéfalo. Pueden surgir lesiones en la piel (pústulas, nódulos, úlceras) sin que haya afección del sistema nervioso central, particularmente en sujetos con síndrome de inmunodeficiencia adquirida.</w:t>
      </w:r>
    </w:p>
    <w:p w14:paraId="10F9E2D6" w14:textId="77777777" w:rsidR="0072615D" w:rsidRDefault="0072615D">
      <w:pPr>
        <w:pStyle w:val="BodyText"/>
        <w:spacing w:line="271" w:lineRule="auto"/>
        <w:ind w:firstLine="360"/>
      </w:pPr>
      <w:r>
        <w:t xml:space="preserve">La queratitis amibiana, que por lo común surge por especies de </w:t>
      </w:r>
      <w:r>
        <w:rPr>
          <w:rFonts w:ascii="Times New Roman" w:eastAsia="Times New Roman" w:hAnsi="Times New Roman" w:cs="Times New Roman"/>
          <w:i/>
          <w:iCs/>
          <w:sz w:val="16"/>
          <w:szCs w:val="16"/>
        </w:rPr>
        <w:t>Acanthamoeba</w:t>
      </w:r>
      <w:r>
        <w:t xml:space="preserve"> y rara vez por otras especies, afecta más bien a personas que usan lentes de contacto y se asemeja a la queratitis causada por herpes simple, bacterias u hongos, excepto que sigue una evolución más indolente. Entre sus signos predominantes están inflamación de la córnea, dolor, fotofobia y uveítis secundaria.</w:t>
      </w:r>
    </w:p>
    <w:p w14:paraId="5D7FD494" w14:textId="77777777" w:rsidR="0072615D" w:rsidRDefault="0072615D">
      <w:pPr>
        <w:pStyle w:val="BodyText"/>
        <w:spacing w:line="271" w:lineRule="auto"/>
        <w:ind w:firstLine="36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Naegleria fowleri,</w:t>
      </w:r>
      <w:r>
        <w:t xml:space="preserve"> especies de </w:t>
      </w:r>
      <w:r>
        <w:rPr>
          <w:rFonts w:ascii="Times New Roman" w:eastAsia="Times New Roman" w:hAnsi="Times New Roman" w:cs="Times New Roman"/>
          <w:i/>
          <w:iCs/>
          <w:sz w:val="16"/>
          <w:szCs w:val="16"/>
        </w:rPr>
        <w:t>Acanthamoeba</w:t>
      </w:r>
      <w:r>
        <w:t xml:space="preserve"> y </w:t>
      </w:r>
      <w:r>
        <w:rPr>
          <w:rFonts w:ascii="Times New Roman" w:eastAsia="Times New Roman" w:hAnsi="Times New Roman" w:cs="Times New Roman"/>
          <w:i/>
          <w:iCs/>
          <w:sz w:val="16"/>
          <w:szCs w:val="16"/>
        </w:rPr>
        <w:t>Balamuthia mandrillaris</w:t>
      </w:r>
      <w:r>
        <w:t xml:space="preserve"> son amibas libres que aparecen en la forma de trofozoítos infectantes móviles, y quistes resistentes al ambiente.</w:t>
      </w:r>
    </w:p>
    <w:p w14:paraId="0C0B0B62" w14:textId="77777777" w:rsidR="0072615D" w:rsidRDefault="0072615D">
      <w:pPr>
        <w:pStyle w:val="BodyText"/>
        <w:spacing w:line="271" w:lineRule="auto"/>
        <w:ind w:firstLine="360"/>
      </w:pPr>
      <w:r>
        <w:rPr>
          <w:b/>
          <w:bCs/>
        </w:rPr>
        <w:t>A</w:t>
      </w:r>
      <w:r>
        <w:rPr>
          <w:b/>
          <w:bCs/>
          <w:sz w:val="13"/>
          <w:szCs w:val="13"/>
        </w:rPr>
        <w:t>SPECTOS EPIDEMIOLÓGICOS</w:t>
      </w:r>
      <w:r>
        <w:rPr>
          <w:b/>
          <w:bCs/>
        </w:rPr>
        <w:t xml:space="preserve">: </w:t>
      </w:r>
      <w:r>
        <w:rPr>
          <w:rFonts w:ascii="Times New Roman" w:eastAsia="Times New Roman" w:hAnsi="Times New Roman" w:cs="Times New Roman"/>
          <w:i/>
          <w:iCs/>
          <w:sz w:val="16"/>
          <w:szCs w:val="16"/>
        </w:rPr>
        <w:t>Naegleria fowleri</w:t>
      </w:r>
      <w:r>
        <w:t xml:space="preserve"> aparece en agua potable tibia y tierra húmeda. Casi todas las infecciones que causa se han vinculado con la natación en cúmulos naturales y tibios de agua, pero otros puntos de contacto han incluido agua corriente, agua de piscinas contaminada y mal clorada, y baños. También se ha sabido de pequeños brotes después de nadar en aguas de un lago o piscina tibios. Se han notificado unos cuantos casos sin antecedentes del contacto con agua. Se ha señalado la enfermedad a nivel mundial, pero es poco frecuente. En Estados Unidos, la infección surge más bien en el verano y por lo regular ataca a niños y adultos jóvenes. Los trofozoítos del parásito invaden directamente el encéfalo desde las vías nasales, a través de los nervios olfatorios en la lámina cribosa.</w:t>
      </w:r>
    </w:p>
    <w:p w14:paraId="1EC06B5F" w14:textId="77777777" w:rsidR="0072615D" w:rsidRDefault="0072615D">
      <w:pPr>
        <w:pStyle w:val="BodyText"/>
        <w:spacing w:line="271" w:lineRule="auto"/>
        <w:ind w:firstLine="360"/>
      </w:pPr>
      <w:r>
        <w:t xml:space="preserve">El </w:t>
      </w:r>
      <w:r>
        <w:rPr>
          <w:b/>
          <w:bCs/>
        </w:rPr>
        <w:t xml:space="preserve">periodo de incubación </w:t>
      </w:r>
      <w:r>
        <w:t xml:space="preserve">de la infección por </w:t>
      </w:r>
      <w:r>
        <w:rPr>
          <w:rFonts w:ascii="Times New Roman" w:eastAsia="Times New Roman" w:hAnsi="Times New Roman" w:cs="Times New Roman"/>
          <w:i/>
          <w:iCs/>
          <w:sz w:val="16"/>
          <w:szCs w:val="16"/>
        </w:rPr>
        <w:t>N. fowleri</w:t>
      </w:r>
      <w:r>
        <w:t xml:space="preserve"> va de días a una semana.</w:t>
      </w:r>
    </w:p>
    <w:p w14:paraId="56E3DAE6" w14:textId="77777777" w:rsidR="0072615D" w:rsidRDefault="0072615D">
      <w:pPr>
        <w:pStyle w:val="BodyText"/>
        <w:spacing w:line="271" w:lineRule="auto"/>
        <w:ind w:firstLine="360"/>
      </w:pPr>
      <w:r>
        <w:t xml:space="preserve">Los gérmenes que causan la encefalitis amibiana granulomatosa y en particular especies de </w:t>
      </w:r>
      <w:r>
        <w:rPr>
          <w:rFonts w:ascii="Times New Roman" w:eastAsia="Times New Roman" w:hAnsi="Times New Roman" w:cs="Times New Roman"/>
          <w:i/>
          <w:iCs/>
          <w:sz w:val="16"/>
          <w:szCs w:val="16"/>
        </w:rPr>
        <w:t>Acanthamoeba</w:t>
      </w:r>
      <w:r>
        <w:t xml:space="preserve"> están distribuidos a nivel mundial y aparecen en la tierra, el agua dulce y salobre, el polvo, el agua caliente de tinas y las aguas servidas. Sin embargo, no se ha aislado del entorno </w:t>
      </w:r>
      <w:r>
        <w:rPr>
          <w:rFonts w:ascii="Times New Roman" w:eastAsia="Times New Roman" w:hAnsi="Times New Roman" w:cs="Times New Roman"/>
          <w:i/>
          <w:iCs/>
          <w:sz w:val="16"/>
          <w:szCs w:val="16"/>
        </w:rPr>
        <w:t>Balamuthia mandrillaris.</w:t>
      </w:r>
      <w:r>
        <w:t xml:space="preserve"> La infección del sistema nervioso central surge más bien en personas debilitadas e inmunodeficientes. No obstante, algunos sujetos no tienen una enfermedad primaria o defecto demostrable. El contagio tal vez se hace por inhalación o contacto directo con tierra o agua contaminados. El foco primario de infección muy a menudo es la piel o las vías respiratorias, y le sigue en frecuencia la propagación hematógena hasta el encéfalo.</w:t>
      </w:r>
    </w:p>
    <w:p w14:paraId="7E519D04" w14:textId="77777777" w:rsidR="0072615D" w:rsidRDefault="0072615D">
      <w:pPr>
        <w:pStyle w:val="BodyText"/>
        <w:ind w:firstLine="360"/>
      </w:pPr>
      <w:r>
        <w:t xml:space="preserve">Los gérmenes de </w:t>
      </w:r>
      <w:r>
        <w:rPr>
          <w:rFonts w:ascii="Times New Roman" w:eastAsia="Times New Roman" w:hAnsi="Times New Roman" w:cs="Times New Roman"/>
          <w:i/>
          <w:iCs/>
          <w:sz w:val="16"/>
          <w:szCs w:val="16"/>
        </w:rPr>
        <w:t>Acanthamoeba</w:t>
      </w:r>
      <w:r>
        <w:t xml:space="preserve"> pueden originar queratitis dendritica que remeda a la queratitis herpética en sujetos que usan lentes de contacto y emplean soluciones salinas contaminadas o agua corriente para la limpieza de los lentes, o que nadan con los lentes de contacto puestos.</w:t>
      </w:r>
    </w:p>
    <w:p w14:paraId="1C019F23" w14:textId="77777777" w:rsidR="0072615D" w:rsidRDefault="0072615D">
      <w:pPr>
        <w:pStyle w:val="BodyText"/>
        <w:ind w:firstLine="360"/>
      </w:pPr>
      <w:r>
        <w:t xml:space="preserve">Se desconoce el </w:t>
      </w:r>
      <w:r>
        <w:rPr>
          <w:b/>
          <w:bCs/>
        </w:rPr>
        <w:t xml:space="preserve">periodo de incubación </w:t>
      </w:r>
      <w:r>
        <w:t xml:space="preserve">de las infecciones mencionadas. </w:t>
      </w:r>
      <w:r>
        <w:rPr>
          <w:b/>
          <w:bCs/>
        </w:rPr>
        <w:t>M</w:t>
      </w:r>
      <w:r>
        <w:rPr>
          <w:b/>
          <w:bCs/>
          <w:sz w:val="13"/>
          <w:szCs w:val="13"/>
        </w:rPr>
        <w:t xml:space="preserve">ÉTODOS </w:t>
      </w:r>
      <w:r>
        <w:rPr>
          <w:b/>
          <w:bCs/>
          <w:smallCaps/>
          <w:sz w:val="16"/>
          <w:szCs w:val="16"/>
        </w:rPr>
        <w:t>diagnósticos</w:t>
      </w:r>
      <w:r>
        <w:rPr>
          <w:b/>
          <w:bCs/>
          <w:smallCaps/>
          <w:sz w:val="20"/>
          <w:szCs w:val="20"/>
        </w:rPr>
        <w:t>:</w:t>
      </w:r>
      <w:r>
        <w:t xml:space="preserve"> Es posible corroborar la infección por </w:t>
      </w:r>
      <w:r>
        <w:rPr>
          <w:rFonts w:ascii="Times New Roman" w:eastAsia="Times New Roman" w:hAnsi="Times New Roman" w:cs="Times New Roman"/>
          <w:i/>
          <w:iCs/>
          <w:sz w:val="16"/>
          <w:szCs w:val="16"/>
        </w:rPr>
        <w:t>Naegleria fowleri</w:t>
      </w:r>
      <w:r>
        <w:t xml:space="preserve"> con la demostración microscópica de los trofozoítos móviles en una preparación húmeda de liquido cefalorraquideo (LCR) centrifugado. El germen en cuestión también puede ser cultivado en agar no nutriente al 1.5% en capas, con bacterias entéricas conservadas en solución salina Page. Es posible practicar métodos de inmunofluorescencia para identificar la especie del microorganismo, y en Estados Unidos tal tarea recae en los Centers for Disease Control and Prevention. En el LCR se identifica pleocitosis a base de polimorfonucleares, una mayor concentración de proteinas y disminución leve de la concentración de glucosa y ausencia de bacterias.</w:t>
      </w:r>
    </w:p>
    <w:p w14:paraId="0542BEC9" w14:textId="77777777" w:rsidR="0072615D" w:rsidRDefault="0072615D">
      <w:pPr>
        <w:pStyle w:val="BodyText"/>
        <w:ind w:firstLine="360"/>
      </w:pPr>
      <w:r>
        <w:t xml:space="preserve">En la infección por especies de </w:t>
      </w:r>
      <w:r>
        <w:rPr>
          <w:rFonts w:ascii="Times New Roman" w:eastAsia="Times New Roman" w:hAnsi="Times New Roman" w:cs="Times New Roman"/>
          <w:i/>
          <w:iCs/>
          <w:sz w:val="16"/>
          <w:szCs w:val="16"/>
        </w:rPr>
        <w:t>Acanthamoeba</w:t>
      </w:r>
      <w:r>
        <w:t xml:space="preserve"> es posible visualizar trofozoítos y quistes en cortes del encéfalo o material corneal obtenido por raspado. En el LCR se advierte de manera tipica pleocitosis a base de mononucleares y una mayor concentración de proteina, pero no la presencia de los microorganismos. Es posible obtener en cultivo por el mismo método utilizado con N. fowleri, especies de </w:t>
      </w:r>
      <w:r>
        <w:rPr>
          <w:rFonts w:ascii="Times New Roman" w:eastAsia="Times New Roman" w:hAnsi="Times New Roman" w:cs="Times New Roman"/>
          <w:i/>
          <w:iCs/>
          <w:sz w:val="16"/>
          <w:szCs w:val="16"/>
        </w:rPr>
        <w:t>Acanthamoeba</w:t>
      </w:r>
      <w:r>
        <w:t xml:space="preserve"> pero no de </w:t>
      </w:r>
      <w:r>
        <w:rPr>
          <w:rFonts w:ascii="Times New Roman" w:eastAsia="Times New Roman" w:hAnsi="Times New Roman" w:cs="Times New Roman"/>
          <w:i/>
          <w:iCs/>
          <w:sz w:val="16"/>
          <w:szCs w:val="16"/>
        </w:rPr>
        <w:t>Balamuthia</w:t>
      </w:r>
      <w:r>
        <w:rPr>
          <w:i/>
          <w:iCs/>
        </w:rPr>
        <w:t>.</w:t>
      </w:r>
    </w:p>
    <w:p w14:paraId="6C9DD9EB" w14:textId="77777777" w:rsidR="0072615D" w:rsidRDefault="0072615D">
      <w:pPr>
        <w:pStyle w:val="BodyText"/>
        <w:ind w:firstLine="360"/>
      </w:pPr>
      <w:r>
        <w:rPr>
          <w:b/>
          <w:bCs/>
        </w:rPr>
        <w:t>T</w:t>
      </w:r>
      <w:r>
        <w:rPr>
          <w:b/>
          <w:bCs/>
          <w:sz w:val="13"/>
          <w:szCs w:val="13"/>
        </w:rPr>
        <w:t>RATAMIENTO</w:t>
      </w:r>
      <w:r>
        <w:rPr>
          <w:b/>
          <w:bCs/>
        </w:rPr>
        <w:t xml:space="preserve">: </w:t>
      </w:r>
      <w:r>
        <w:t xml:space="preserve">Si se sospecha que ha surgido meningoencefalitis causada por </w:t>
      </w:r>
      <w:r>
        <w:rPr>
          <w:rFonts w:ascii="Times New Roman" w:eastAsia="Times New Roman" w:hAnsi="Times New Roman" w:cs="Times New Roman"/>
          <w:i/>
          <w:iCs/>
          <w:sz w:val="16"/>
          <w:szCs w:val="16"/>
        </w:rPr>
        <w:t>N. fowleri,</w:t>
      </w:r>
      <w:r>
        <w:t xml:space="preserve"> por la presencia de los microorganismos en LCR, es importante emprender todas las medidas terapéuticas sin importar si han llegado o no los resultados de los métodos diagnósticos confirmatorios. La anfotericina B es el fármaco más indicado, si bien su administración a veces es ineficaz y sólo en unos cuantos casos ha habido recuperación completa probada. La recuperación se ha observado después de administrar anfotericina B sola o en combinación con otros agentes, como miconazol y rifampicina. Es probable que el diagnóstico temprano y el uso de altas dosis de fármacos sean importantes para alcanzar resultados óptimos.</w:t>
      </w:r>
    </w:p>
    <w:p w14:paraId="7EBDEF59" w14:textId="77777777" w:rsidR="0072615D" w:rsidRDefault="0072615D">
      <w:pPr>
        <w:pStyle w:val="BodyText"/>
        <w:ind w:firstLine="360"/>
      </w:pPr>
      <w:r>
        <w:t xml:space="preserve">No se ha definido cuál es el tratamiento eficaz de las infecciones del sistema nervioso central causadas por especies de </w:t>
      </w:r>
      <w:r>
        <w:rPr>
          <w:rFonts w:ascii="Times New Roman" w:eastAsia="Times New Roman" w:hAnsi="Times New Roman" w:cs="Times New Roman"/>
          <w:i/>
          <w:iCs/>
          <w:sz w:val="16"/>
          <w:szCs w:val="16"/>
        </w:rPr>
        <w:t>Acanthamoeba</w:t>
      </w:r>
      <w:r>
        <w:t xml:space="preserve"> y de </w:t>
      </w:r>
      <w:r>
        <w:rPr>
          <w:rFonts w:ascii="Times New Roman" w:eastAsia="Times New Roman" w:hAnsi="Times New Roman" w:cs="Times New Roman"/>
          <w:i/>
          <w:iCs/>
          <w:sz w:val="16"/>
          <w:szCs w:val="16"/>
        </w:rPr>
        <w:t>B. mandrillaris.</w:t>
      </w:r>
      <w:r>
        <w:t xml:space="preserve"> Las infecciones de tipo experimental se pueden evitar o curar con sulfadiazina. A pesar de que las especies de </w:t>
      </w:r>
      <w:r>
        <w:rPr>
          <w:rFonts w:ascii="Times New Roman" w:eastAsia="Times New Roman" w:hAnsi="Times New Roman" w:cs="Times New Roman"/>
          <w:i/>
          <w:iCs/>
          <w:sz w:val="16"/>
          <w:szCs w:val="16"/>
        </w:rPr>
        <w:t>Acanthamoeba</w:t>
      </w:r>
      <w:r>
        <w:t xml:space="preserve"> suelen ser susceptibles in vitro a diversos antimicrobianos (como pentamidina, fluocitosina, ketoconazol, clotrimazol y en menor grado anfotericina B), la recuperación es rara.</w:t>
      </w:r>
    </w:p>
    <w:p w14:paraId="57942796" w14:textId="77777777" w:rsidR="0072615D" w:rsidRDefault="0072615D">
      <w:pPr>
        <w:pStyle w:val="BodyText"/>
        <w:ind w:firstLine="360"/>
      </w:pPr>
      <w:r>
        <w:t xml:space="preserve">Las personas con queratitis atribuible a miembros del género </w:t>
      </w:r>
      <w:r>
        <w:rPr>
          <w:rFonts w:ascii="Times New Roman" w:eastAsia="Times New Roman" w:hAnsi="Times New Roman" w:cs="Times New Roman"/>
          <w:i/>
          <w:iCs/>
          <w:sz w:val="16"/>
          <w:szCs w:val="16"/>
        </w:rPr>
        <w:t>Acanthamoeba</w:t>
      </w:r>
      <w:r>
        <w:t xml:space="preserve"> han sido tratadas satisfactoriamente con ciclos duraderos de combinaciones de isetionato de propamidina tópica más soluciones de neomicina-sulfato de polimixina B gramicidina oftálmica o aplicación de biguanida poliexametileno o gluconato de clorhexidina u otros azoles (como miconazol, clotrimazol, fluconazol o itraconazol) y corticosteroides tópicos. Es importante hacer el diagnóstico oportunamente para obtener buenos resultados. Algunos sujetos con lesiones cutáneas atribuibles a especies de </w:t>
      </w:r>
      <w:r>
        <w:rPr>
          <w:rFonts w:ascii="Times New Roman" w:eastAsia="Times New Roman" w:hAnsi="Times New Roman" w:cs="Times New Roman"/>
          <w:i/>
          <w:iCs/>
          <w:sz w:val="16"/>
          <w:szCs w:val="16"/>
        </w:rPr>
        <w:t>Acanthamoeba</w:t>
      </w:r>
      <w:r>
        <w:t xml:space="preserve"> han sido tratados adecuadamente, en primer lugar, por lavado de las lesiones con gluconato de clorhexidina para después aplicar crema de ketoconazol tres a cuatro veces al dia. También se han administrado a los pacientes pentamidina por via endovenosa e itraconazol ingerible (véase “Fármacos antiparasitarios”, sección 4).</w:t>
      </w:r>
    </w:p>
    <w:p w14:paraId="69BF81E0" w14:textId="77777777" w:rsidR="0072615D" w:rsidRDefault="0072615D">
      <w:pPr>
        <w:pStyle w:val="BodyText"/>
        <w:ind w:firstLine="360"/>
        <w:sectPr w:rsidR="0072615D" w:rsidSect="0072615D">
          <w:headerReference w:type="even" r:id="rId432"/>
          <w:headerReference w:type="default" r:id="rId433"/>
          <w:footerReference w:type="even" r:id="rId434"/>
          <w:footerReference w:type="default" r:id="rId435"/>
          <w:headerReference w:type="first" r:id="rId436"/>
          <w:footerReference w:type="first" r:id="rId437"/>
          <w:footnotePr>
            <w:numFmt w:val="chicago"/>
          </w:footnotePr>
          <w:pgSz w:w="8501" w:h="13022"/>
          <w:pgMar w:top="708" w:right="805" w:bottom="440" w:left="770" w:header="0" w:footer="3" w:gutter="0"/>
          <w:cols w:space="720"/>
          <w:noEndnote/>
          <w:titlePg/>
          <w:docGrid w:linePitch="360"/>
          <w15:footnoteColumns w:val="1"/>
        </w:sectPr>
      </w:pPr>
      <w:r>
        <w:t>Aislamiento del paciente hospitalizado: Se recomienda cumplir las precauciones estándar.</w:t>
      </w:r>
    </w:p>
    <w:p w14:paraId="72E66D27" w14:textId="77777777" w:rsidR="0072615D" w:rsidRDefault="0072615D">
      <w:pPr>
        <w:pStyle w:val="BodyText"/>
        <w:ind w:firstLine="0"/>
      </w:pPr>
      <w:r>
        <w:rPr>
          <w:b/>
          <w:bCs/>
        </w:rPr>
        <w:t>M</w:t>
      </w:r>
      <w:r>
        <w:rPr>
          <w:b/>
          <w:bCs/>
          <w:sz w:val="13"/>
          <w:szCs w:val="13"/>
        </w:rPr>
        <w:t>EDIDAS PREVENTIVAS</w:t>
      </w:r>
      <w:r>
        <w:rPr>
          <w:b/>
          <w:bCs/>
        </w:rPr>
        <w:t xml:space="preserve">: </w:t>
      </w:r>
      <w:r>
        <w:t xml:space="preserve">Es importante que las personas no naden en agua dulce contaminada, estancada y tibia. Los organismos de </w:t>
      </w:r>
      <w:r>
        <w:rPr>
          <w:rFonts w:ascii="Times New Roman" w:eastAsia="Times New Roman" w:hAnsi="Times New Roman" w:cs="Times New Roman"/>
          <w:i/>
          <w:iCs/>
          <w:sz w:val="16"/>
          <w:szCs w:val="16"/>
        </w:rPr>
        <w:t>Acanthamoeba</w:t>
      </w:r>
      <w:r>
        <w:t xml:space="preserve"> son resistentes al congelamiento, la secación y las concentraciones usuales de cloro que se observan en el agua potable y las piscinas.</w:t>
      </w:r>
    </w:p>
    <w:p w14:paraId="0CF657E6" w14:textId="77777777" w:rsidR="0072615D" w:rsidRDefault="0072615D">
      <w:pPr>
        <w:pStyle w:val="BodyText"/>
        <w:spacing w:after="100"/>
        <w:ind w:firstLine="360"/>
      </w:pPr>
      <w:r>
        <w:t>Para limpiar los lentes de contacto se utilizarán únicamente soluciones salinas estériles.</w:t>
      </w:r>
    </w:p>
    <w:p w14:paraId="6196C73A" w14:textId="77777777" w:rsidR="0072615D" w:rsidRDefault="0072615D">
      <w:pPr>
        <w:pStyle w:val="Bodytext70"/>
        <w:spacing w:after="0"/>
      </w:pPr>
      <w:r>
        <w:t>Amibiasis</w:t>
      </w:r>
    </w:p>
    <w:p w14:paraId="7065F082" w14:textId="77777777" w:rsidR="0072615D" w:rsidRDefault="0072615D">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Los síndromes clínicos que surgen con la infección por </w:t>
      </w:r>
      <w:r>
        <w:rPr>
          <w:rFonts w:ascii="Times New Roman" w:eastAsia="Times New Roman" w:hAnsi="Times New Roman" w:cs="Times New Roman"/>
          <w:i/>
          <w:iCs/>
          <w:sz w:val="16"/>
          <w:szCs w:val="16"/>
        </w:rPr>
        <w:t>Entamoeba histolytica</w:t>
      </w:r>
      <w:r>
        <w:t xml:space="preserve"> incluyen infección intestinal no invasora, amibiasis intestinal, ameboma y absceso del hígado. La enfermedad es más grave en los niños de muy corta edad, en los ancianos y en las embarazadas. Los sujetos con infección intestinal incruenta pueden estar asintomáticos o tener molestias inespecíficas de vías intestinales. Los pacientes con amibiasis intestinal (colitis amibiana) por lo común han sufrido diarrea cada vez más grave durante una a tres semanas, que ha evolucionado desde heces disentéricas fuertemente sanguinolentas con dolor en la parte baja del vientre y tenesmo. Es frecuente que el niño pierda peso, y en 30% de los pacientes hay fiebre. Los síntomas pueden persistir por largo tiempo y remedar la enteropatía inflamatoria. El ataque progresivo del colon puede originar megacolon tóxico, colitis fulminante, úlceras del colon y zona perianal, y en raras ocasiones, perforación. La evolución puede aparecer en pacientes que han sido tratados inapropiadamente con corticosteroides o fármacos antimotilidad. A veces surge un ameboma en la forma de una lesión anular del ciego o colon ascendente que puede ser tomado erróneamente por carcinoma del colon o por una masa extrahepática y dolorosa que remeda un absceso piógeno. Los amebomas por lo común muestran resolución con los antiamibiásicos y no es necesario operar en estos casos.</w:t>
      </w:r>
    </w:p>
    <w:p w14:paraId="11C88F69" w14:textId="77777777" w:rsidR="0072615D" w:rsidRDefault="0072615D">
      <w:pPr>
        <w:pStyle w:val="BodyText"/>
        <w:ind w:firstLine="360"/>
      </w:pPr>
      <w:r>
        <w:t>En una proporción pequeña de pacientes surge la enfermedad extraintestinal. El hígado es el sitio más común de ataque en tales situaciones, pero también puede haber afección de pulmones, espacio pleural, pericardio, encéfalo, piel y vías genitourinarias. El absceso hepático puede ser agudo e incluir fiebre, dolor abdominal, taquipnea, gran sensibilidad del hígado al tacto y hepatomegalia, o asumir la forma crónica, con pérdida ponderal, síntomas abdominales imprecisos e irritabilidad. Al romperse el absceso y vaciar su contenido al interior del abdomen o al tórax puede causar la muerte. Por lo común no hay signos de infección intestinal reciente.</w:t>
      </w:r>
    </w:p>
    <w:p w14:paraId="56325D13" w14:textId="77777777" w:rsidR="0072615D" w:rsidRDefault="0072615D">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Entamoeba histolytica</w:t>
      </w:r>
      <w:r>
        <w:t xml:space="preserve"> ha sido reclasificada en dos especies que son idénticas en su morfología, pero son protozoos genéticamente distintos. </w:t>
      </w:r>
      <w:r>
        <w:rPr>
          <w:rFonts w:ascii="Times New Roman" w:eastAsia="Times New Roman" w:hAnsi="Times New Roman" w:cs="Times New Roman"/>
          <w:i/>
          <w:iCs/>
          <w:sz w:val="16"/>
          <w:szCs w:val="16"/>
        </w:rPr>
        <w:t>E. histolytica</w:t>
      </w:r>
      <w:r>
        <w:t xml:space="preserve"> patógena y </w:t>
      </w:r>
      <w:r>
        <w:rPr>
          <w:rFonts w:ascii="Times New Roman" w:eastAsia="Times New Roman" w:hAnsi="Times New Roman" w:cs="Times New Roman"/>
          <w:i/>
          <w:iCs/>
          <w:sz w:val="16"/>
          <w:szCs w:val="16"/>
        </w:rPr>
        <w:t>Entamoeba dispar</w:t>
      </w:r>
      <w:r>
        <w:t xml:space="preserve"> no patógena se excretan en la forma de quistes o trofozoítos en los excrementos de personas infectadas.</w:t>
      </w:r>
    </w:p>
    <w:p w14:paraId="65298900" w14:textId="77777777" w:rsidR="0072615D" w:rsidRDefault="0072615D">
      <w:pPr>
        <w:pStyle w:val="BodyText"/>
        <w:ind w:firstLine="0"/>
      </w:pPr>
      <w:r>
        <w:rPr>
          <w:b/>
          <w:bCs/>
          <w:smallCaps/>
          <w:sz w:val="20"/>
          <w:szCs w:val="20"/>
        </w:rPr>
        <w:t>A</w:t>
      </w:r>
      <w:r>
        <w:rPr>
          <w:b/>
          <w:bCs/>
          <w:smallCaps/>
          <w:sz w:val="16"/>
          <w:szCs w:val="16"/>
        </w:rPr>
        <w:t>spectos</w:t>
      </w:r>
      <w:r>
        <w:rPr>
          <w:b/>
          <w:bCs/>
          <w:sz w:val="13"/>
          <w:szCs w:val="13"/>
        </w:rPr>
        <w:t xml:space="preserve"> EPIDEMIOLÓGICOS</w:t>
      </w:r>
      <w:r>
        <w:rPr>
          <w:b/>
          <w:bCs/>
        </w:rPr>
        <w:t xml:space="preserve">: </w:t>
      </w:r>
      <w:r>
        <w:t xml:space="preserve">La distribución de </w:t>
      </w:r>
      <w:r>
        <w:rPr>
          <w:rFonts w:ascii="Times New Roman" w:eastAsia="Times New Roman" w:hAnsi="Times New Roman" w:cs="Times New Roman"/>
          <w:i/>
          <w:iCs/>
          <w:sz w:val="16"/>
          <w:szCs w:val="16"/>
        </w:rPr>
        <w:t>Entamoeba histolytica</w:t>
      </w:r>
      <w:r>
        <w:t xml:space="preserve"> es mundial, pero más prevalente en personas de estrato socioeconómico bajo que viven en países en desarrollo, en los cuales la prevalencia de la infección amibiana puede llegar a 50%. Los grupos expuestos a mayor peligro de mostrar la infección en países desarrollados comprenden migrantes que vienen de áreas endémicas, visitantes que por largo tiempo llegan a dichas áreas, personas en instituciones de cuidado a largo plazo y varones que tienen relaciones sexuales con personas de su mismo género. </w:t>
      </w:r>
      <w:r>
        <w:rPr>
          <w:rFonts w:ascii="Times New Roman" w:eastAsia="Times New Roman" w:hAnsi="Times New Roman" w:cs="Times New Roman"/>
          <w:i/>
          <w:iCs/>
          <w:sz w:val="16"/>
          <w:szCs w:val="16"/>
        </w:rPr>
        <w:t>Entamoeba histolytica</w:t>
      </w:r>
      <w:r>
        <w:t xml:space="preserve"> es transmitida por los quistes amibianos, por la vía fecal-oral. Los quistes ingeridos que no son alterados por el ácido gástrico pasan por una fase de pérdida de la cubierta quística en el medio alcalino del intestino delgado y de ellos salen trofozoítos que infectan al neutropénicos con candidemia reaccionan en forma igualmente satisfactoria a fluconazol o anfotericina B. Las notificaciones publicadas sobre adultos y algunos informes ocasionales de prematuros indican que cuando menos en el caso de un preparado de anfotericina B en liposomas, la disminución de la nefrotoxicidad pudiera atribuirse a la incapacidad del fármaco para penetrar en los riñones. Por todo lo comentado, el agente mencionado ha sido ineficaz en personas con infección renal o sistémica.</w:t>
      </w:r>
    </w:p>
    <w:p w14:paraId="0579C2CF" w14:textId="77777777" w:rsidR="0072615D" w:rsidRDefault="0072615D">
      <w:pPr>
        <w:pStyle w:val="BodyText"/>
        <w:spacing w:line="276" w:lineRule="auto"/>
        <w:ind w:firstLine="360"/>
      </w:pPr>
      <w:r>
        <w:rPr>
          <w:rFonts w:ascii="Arial" w:eastAsia="Arial" w:hAnsi="Arial" w:cs="Arial"/>
          <w:b/>
          <w:bCs/>
          <w:i/>
          <w:iCs/>
          <w:sz w:val="15"/>
          <w:szCs w:val="15"/>
        </w:rPr>
        <w:t>Quimioprofilaxia.</w:t>
      </w:r>
      <w:r>
        <w:t xml:space="preserve"> La quimioprofilaxia de infecciones por </w:t>
      </w:r>
      <w:r>
        <w:rPr>
          <w:rFonts w:ascii="Times New Roman" w:eastAsia="Times New Roman" w:hAnsi="Times New Roman" w:cs="Times New Roman"/>
          <w:i/>
          <w:iCs/>
          <w:sz w:val="16"/>
          <w:szCs w:val="16"/>
        </w:rPr>
        <w:t>Candida</w:t>
      </w:r>
      <w:r>
        <w:t xml:space="preserve"> en sujetos inmunodeficientes, a base de nistatina y fluconazol ingeribles, se ha valorado y los resultados han sido variables. Un estudio comparativo con asignación aleatoria y prospectivo, hecho recientemente en neonatos que pesaron menos de 1 000 g, demostró la inocuidad y eficacia del fluconazol por vía endovenosa durante seis semanas, como forma para evitar la colonización por </w:t>
      </w:r>
      <w:r>
        <w:rPr>
          <w:rFonts w:ascii="Times New Roman" w:eastAsia="Times New Roman" w:hAnsi="Times New Roman" w:cs="Times New Roman"/>
          <w:i/>
          <w:iCs/>
          <w:sz w:val="16"/>
          <w:szCs w:val="16"/>
        </w:rPr>
        <w:t>Candida</w:t>
      </w:r>
      <w:r>
        <w:t xml:space="preserve"> y la infección sistémica. Se necesitan más estudios, pero algunos expertos recomiendan dicho régimen con base en el plan posológico estudiado. El fluconazol disminuye el peligro de candidiasis de las mucosas (como serían la bucofaringe y el esófago) en personas con enfermedad avanzada por VIH. Sin embargo, en individuos no infectados por VIH que reciben fluconazol con fin profiláctico se ha señalado una mayor incidencia de infecciones por </w:t>
      </w:r>
      <w:r>
        <w:rPr>
          <w:rFonts w:ascii="Times New Roman" w:eastAsia="Times New Roman" w:hAnsi="Times New Roman" w:cs="Times New Roman"/>
          <w:i/>
          <w:iCs/>
          <w:sz w:val="16"/>
          <w:szCs w:val="16"/>
        </w:rPr>
        <w:t>C. krusei</w:t>
      </w:r>
      <w:r>
        <w:t xml:space="preserve"> resistentes a dicho producto. Los adultos a quienes se hará un trasplante de médula tienen un número significativamente menor de infecciones por </w:t>
      </w:r>
      <w:r>
        <w:rPr>
          <w:rFonts w:ascii="Times New Roman" w:eastAsia="Times New Roman" w:hAnsi="Times New Roman" w:cs="Times New Roman"/>
          <w:i/>
          <w:iCs/>
          <w:sz w:val="16"/>
          <w:szCs w:val="16"/>
        </w:rPr>
        <w:t>Candida</w:t>
      </w:r>
      <w:r>
        <w:t xml:space="preserve"> si reciben fluconazol, pero en este sentido no se han hecho estudios en niños. No se recomienda emprender sistemáticamente la profilaxia en niños inmunodeficientes, incluidos los que tienen infección por virus de inmunodeficiencia humana. </w:t>
      </w:r>
      <w:r>
        <w:rPr>
          <w:b/>
          <w:bCs/>
          <w:smallCaps/>
          <w:sz w:val="20"/>
          <w:szCs w:val="20"/>
        </w:rPr>
        <w:t>A</w:t>
      </w:r>
      <w:r>
        <w:rPr>
          <w:b/>
          <w:bCs/>
          <w:smallCaps/>
          <w:sz w:val="16"/>
          <w:szCs w:val="16"/>
        </w:rPr>
        <w:t>islamiento del paciente hospitalizado</w:t>
      </w:r>
      <w:r>
        <w:rPr>
          <w:b/>
          <w:bCs/>
          <w:smallCaps/>
          <w:sz w:val="20"/>
          <w:szCs w:val="20"/>
        </w:rPr>
        <w:t>:</w:t>
      </w:r>
      <w:r>
        <w:t xml:space="preserve"> Se recomienda cumplir las precauciones estándar.</w:t>
      </w:r>
    </w:p>
    <w:p w14:paraId="2B3331B4" w14:textId="77777777" w:rsidR="0072615D" w:rsidRDefault="0072615D">
      <w:pPr>
        <w:pStyle w:val="BodyText"/>
        <w:spacing w:after="100"/>
        <w:ind w:firstLine="0"/>
      </w:pPr>
      <w:r>
        <w:rPr>
          <w:b/>
          <w:bCs/>
        </w:rPr>
        <w:t>M</w:t>
      </w:r>
      <w:r>
        <w:rPr>
          <w:b/>
          <w:bCs/>
          <w:sz w:val="13"/>
          <w:szCs w:val="13"/>
        </w:rPr>
        <w:t xml:space="preserve">EDIDAS </w:t>
      </w:r>
      <w:r>
        <w:rPr>
          <w:b/>
          <w:bCs/>
          <w:smallCaps/>
          <w:sz w:val="16"/>
          <w:szCs w:val="16"/>
        </w:rPr>
        <w:t>preventivas</w:t>
      </w:r>
      <w:r>
        <w:rPr>
          <w:b/>
          <w:bCs/>
          <w:smallCaps/>
          <w:sz w:val="20"/>
          <w:szCs w:val="20"/>
        </w:rPr>
        <w:t>:</w:t>
      </w:r>
      <w:r>
        <w:t xml:space="preserve"> La administración duradera de antimicrobianos de amplio espectro y de corticosteroides a individuos susceptibles estimula la proliferación de gérmenes infecciosos invasores y con ello predispone al ataque por </w:t>
      </w:r>
      <w:r>
        <w:rPr>
          <w:rFonts w:ascii="Times New Roman" w:eastAsia="Times New Roman" w:hAnsi="Times New Roman" w:cs="Times New Roman"/>
          <w:i/>
          <w:iCs/>
          <w:sz w:val="16"/>
          <w:szCs w:val="16"/>
        </w:rPr>
        <w:t>Candida.</w:t>
      </w:r>
      <w:r>
        <w:t xml:space="preserve"> Se recomienda en todo sujeto que necesite por tiempo prolongado alimentación intravenosa el cuidado meticuloso de los sitios en que está el catéter en el interior de vasos.</w:t>
      </w:r>
    </w:p>
    <w:p w14:paraId="66068A33" w14:textId="77777777" w:rsidR="0072615D" w:rsidRDefault="0072615D">
      <w:pPr>
        <w:pStyle w:val="Bodytext70"/>
        <w:spacing w:after="0"/>
      </w:pPr>
      <w:r>
        <w:t>Carbunco</w:t>
      </w:r>
    </w:p>
    <w:p w14:paraId="23F0AF21" w14:textId="77777777" w:rsidR="0072615D" w:rsidRDefault="0072615D">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El carbunco, según la vía de infección, puede surgir en tres formas: cutáneo, por inhalación y gastrointestinal. El </w:t>
      </w:r>
      <w:r>
        <w:rPr>
          <w:b/>
          <w:bCs/>
        </w:rPr>
        <w:t xml:space="preserve">carbunco cutáneo </w:t>
      </w:r>
      <w:r>
        <w:t xml:space="preserve">comienza en la forma de una pápula o una vesícula pruriginosa que se agranda y ulcera en cuestión de uno o dos días, con la formación ulterior de una escara negra central. La lesión por lo común no duele aunque está rodeada por edema, hiperemia y hay linfadenopatía regional. Los pacientes pueden tener también fiebre, malestar general y cefalea. El </w:t>
      </w:r>
      <w:r>
        <w:rPr>
          <w:b/>
          <w:bCs/>
        </w:rPr>
        <w:t xml:space="preserve">carbunco por inhalación </w:t>
      </w:r>
      <w:r>
        <w:t xml:space="preserve">es la forma más letal del trastorno. Hay un pródromo que comprende fiebre, escalofríos, tos no productiva, dolor retrosternal, cefalea, mialgias y malestar generalizado, pero los signos clínicos más característicos aparecen dos a cinco días después e incluyen linfadenitis mediastínica hemorrágica, derrame pleural hemorrágico, bacteriemia y toxemia que originan disnea e hipoxia profundas y choque séptico. El ensanchamiento de los contornos del mediastino constituye el signo clásico en las radiografías de tórax, pero puede ser sutil en los comienzos. La forma de ataque de </w:t>
      </w:r>
      <w:r>
        <w:rPr>
          <w:b/>
          <w:bCs/>
        </w:rPr>
        <w:t xml:space="preserve">vías gastrointestinales </w:t>
      </w:r>
      <w:r>
        <w:t>puede aparecer en dos síndromes clínicos que son el intestinal y el bucofaríngeo. Los sujetos con la primera forma muestran síntomas de náuseas, anorexia, vómitos y fiebre, cuadro que evoluciona hasta el dolor abdominal intenso, ascitis masiva, hematemesis y diarrea sanguinolenta.</w:t>
      </w:r>
    </w:p>
    <w:p w14:paraId="637B4E57" w14:textId="77777777" w:rsidR="0072615D" w:rsidRDefault="0072615D">
      <w:pPr>
        <w:pStyle w:val="BodyText"/>
        <w:ind w:firstLine="0"/>
      </w:pPr>
      <w:r>
        <w:t>La forma bucofaríngea puede incluir úlceras en la retrofaringe que de manera típica son unilaterales y que se acompañan de intensa hinchazón del cuello, adenopatía regional y sepsis. Puede surgir meningitis hemorrágica por la diseminación hematógena del microorganismo después del contagio de cualquier forma de la enfermedad. El índice de letalidad para sujetos con carbunco cutáneo tratado adecuadamente suele ser menor de 1%, pero en las variantes por inhalación o gastrointestinal, la mortalidad puede rebasar el 50 por ciento.</w:t>
      </w:r>
    </w:p>
    <w:p w14:paraId="0C795925" w14:textId="77777777" w:rsidR="0072615D" w:rsidRDefault="0072615D">
      <w:pPr>
        <w:pStyle w:val="BodyText"/>
        <w:ind w:firstLine="0"/>
      </w:pPr>
      <w:r>
        <w:rPr>
          <w:b/>
          <w:bCs/>
        </w:rPr>
        <w:t>C</w:t>
      </w:r>
      <w:r>
        <w:rPr>
          <w:b/>
          <w:bCs/>
          <w:sz w:val="13"/>
          <w:szCs w:val="13"/>
        </w:rPr>
        <w:t>AUSAS</w:t>
      </w:r>
      <w:r>
        <w:rPr>
          <w:b/>
          <w:bCs/>
        </w:rPr>
        <w:t xml:space="preserve">: </w:t>
      </w:r>
      <w:r>
        <w:rPr>
          <w:rFonts w:ascii="Times New Roman" w:eastAsia="Times New Roman" w:hAnsi="Times New Roman" w:cs="Times New Roman"/>
          <w:i/>
          <w:iCs/>
          <w:sz w:val="16"/>
          <w:szCs w:val="16"/>
        </w:rPr>
        <w:t>Bacillus anthracis</w:t>
      </w:r>
      <w:r>
        <w:t xml:space="preserve"> es un bacilo no móvil, esporógeno, encapsulado, grampositivo y aerobio. La espora mide 1 x 2 </w:t>
      </w:r>
      <w:r>
        <w:rPr>
          <w:rFonts w:ascii="Arial" w:eastAsia="Arial" w:hAnsi="Arial" w:cs="Arial"/>
        </w:rPr>
        <w:t>^</w:t>
      </w:r>
      <w:r>
        <w:t>m. El bacilo en cuestión posee tres factores principales de virulencia: una cápsula antifagocítica y dos endotoxinas que son la letal y la del edema. Las toxinas son las que ocasionan las manifestaciones clínicas primarias, como hemorragia, edema y necrosis.</w:t>
      </w:r>
    </w:p>
    <w:p w14:paraId="265D8562" w14:textId="77777777" w:rsidR="0072615D" w:rsidRDefault="0072615D">
      <w:pPr>
        <w:pStyle w:val="BodyText"/>
        <w:ind w:firstLine="0"/>
      </w:pPr>
      <w:r>
        <w:rPr>
          <w:b/>
          <w:bCs/>
        </w:rPr>
        <w:t>A</w:t>
      </w:r>
      <w:r>
        <w:rPr>
          <w:b/>
          <w:bCs/>
          <w:sz w:val="13"/>
          <w:szCs w:val="13"/>
        </w:rPr>
        <w:t>SPECTOS EPIDEMIOLÓGICOS</w:t>
      </w:r>
      <w:r>
        <w:rPr>
          <w:b/>
          <w:bCs/>
        </w:rPr>
        <w:t xml:space="preserve">: </w:t>
      </w:r>
      <w:r>
        <w:t xml:space="preserve">El carbunco es una zoonosis que surge en muchas regiones rurales del planeta. Las esporas de </w:t>
      </w:r>
      <w:r>
        <w:rPr>
          <w:rFonts w:ascii="Times New Roman" w:eastAsia="Times New Roman" w:hAnsi="Times New Roman" w:cs="Times New Roman"/>
          <w:i/>
          <w:iCs/>
          <w:sz w:val="16"/>
          <w:szCs w:val="16"/>
        </w:rPr>
        <w:t>Bacillus anthracis</w:t>
      </w:r>
      <w:r>
        <w:t xml:space="preserve"> permanecen viables en la tierra durante años y constituyen una fuente posible de infección para el ganado, después de ingeridas. La infección natural de las personas ocurre por el contacto con animales infectados o productos contaminados que incluyen reces en canal, pellejos, pelo, lana, carne y harina de huesos. Han surgido brotes a nivel internacional de carbunco de tipo gastrointestinal después de ingerir carne mal cocida o cruda. En Estados Unidos, la incidencia del carbunco de seres humanos natural disminuyó de unos 130 casos al año en los comienzos del siglo XX a un caso en 2000 y en 2001. La mayor parte de estos casos (más de 95%) fueron infecciones cutáneas en manejadores de animales o molineros. El último caso de carbunco por inhalación adquirido por un mecanismo natural en Estados Unidos ocurrió en 1976 en una persona que trabajaba con hilaza importada.</w:t>
      </w:r>
    </w:p>
    <w:p w14:paraId="6CD2C921" w14:textId="77777777" w:rsidR="0072615D" w:rsidRDefault="0072615D">
      <w:pPr>
        <w:pStyle w:val="BodyText"/>
        <w:spacing w:line="276" w:lineRule="auto"/>
        <w:ind w:firstLine="360"/>
      </w:pPr>
      <w:r>
        <w:rPr>
          <w:rFonts w:ascii="Times New Roman" w:eastAsia="Times New Roman" w:hAnsi="Times New Roman" w:cs="Times New Roman"/>
          <w:i/>
          <w:iCs/>
          <w:sz w:val="16"/>
          <w:szCs w:val="16"/>
        </w:rPr>
        <w:t>Bacillus anthracis</w:t>
      </w:r>
      <w:r>
        <w:t xml:space="preserve"> es uno de los agentes biológicos con mayor probabilidad de ser usado como arma porque: 1) sus esporas son muy estables; 2) las esporas pueden penetrar e infectar por la vía respiratoria y 3) el cuadro por inhalación resultante conlleva una elevada mortalidad. Además del aerosol existe en teoría un riesgo sanitario vinculado con las esporas de </w:t>
      </w:r>
      <w:r>
        <w:rPr>
          <w:rFonts w:ascii="Times New Roman" w:eastAsia="Times New Roman" w:hAnsi="Times New Roman" w:cs="Times New Roman"/>
          <w:i/>
          <w:iCs/>
          <w:sz w:val="16"/>
          <w:szCs w:val="16"/>
        </w:rPr>
        <w:t>B. anthracis</w:t>
      </w:r>
      <w:r>
        <w:t xml:space="preserve"> introducidas en productos alimenticios o abastos de agua. En 1979, la dispersión accidental de esporas de </w:t>
      </w:r>
      <w:r>
        <w:rPr>
          <w:rFonts w:ascii="Times New Roman" w:eastAsia="Times New Roman" w:hAnsi="Times New Roman" w:cs="Times New Roman"/>
          <w:i/>
          <w:iCs/>
          <w:sz w:val="16"/>
          <w:szCs w:val="16"/>
        </w:rPr>
        <w:t>B. anthracis</w:t>
      </w:r>
      <w:r>
        <w:t xml:space="preserve"> en una instalación de microbiología militar en la antigua Unión Soviética ocasionó 69 fallecimientos. En 2001, se identificaron en Estados Unidos 22 casos de carbunco (11 por inhalación y 11 cutáneos) después de la contaminación intencional de cartas y material postal; cinco de los casos por inhalación (el 45%) culminaron en la muerte. El uso de </w:t>
      </w:r>
      <w:r>
        <w:rPr>
          <w:rFonts w:ascii="Times New Roman" w:eastAsia="Times New Roman" w:hAnsi="Times New Roman" w:cs="Times New Roman"/>
          <w:i/>
          <w:iCs/>
          <w:sz w:val="16"/>
          <w:szCs w:val="16"/>
        </w:rPr>
        <w:t>B. anthracis</w:t>
      </w:r>
      <w:r>
        <w:t xml:space="preserve"> en un ataque biológico obligaría a la reacción inmediata y la movilización de los recursos sanitarios. El carbunco natural es raro en Estados Unidos, y por tal razón habrá que notificar inmediatamente todo caso sospechoso al departamento sanitario local o estatal (véase “Terrorismo biológico”, sección 2).</w:t>
      </w:r>
    </w:p>
    <w:p w14:paraId="6D7AF098" w14:textId="77777777" w:rsidR="0072615D" w:rsidRDefault="0072615D">
      <w:pPr>
        <w:pStyle w:val="BodyText"/>
        <w:ind w:firstLine="360"/>
      </w:pPr>
      <w:r>
        <w:t xml:space="preserve">El </w:t>
      </w:r>
      <w:r>
        <w:rPr>
          <w:b/>
          <w:bCs/>
        </w:rPr>
        <w:t xml:space="preserve">periodo de incubación </w:t>
      </w:r>
      <w:r>
        <w:t xml:space="preserve">en todas las formas de carbunco suele ser menor de dos semanas. Sin embargo, dada la inactividad de la espora y la lentitud con que la eliminan los pulmones, el periodo de incubación en la forma por inhalación puede prolongarse y ser de varios meses. La secreción de las lesiones cutáneas puede ser infecciosa, pero rara vez se ha señalado transmisión directa de una persona a otra. En trabajadores de laboratorio se ha sabido de casos de la enfermedad por inhalación y cutánea. </w:t>
      </w:r>
      <w:r>
        <w:rPr>
          <w:b/>
          <w:bCs/>
        </w:rPr>
        <w:t>M</w:t>
      </w:r>
      <w:r>
        <w:rPr>
          <w:b/>
          <w:bCs/>
          <w:sz w:val="13"/>
          <w:szCs w:val="13"/>
        </w:rPr>
        <w:t>ÉTODOS DIAGNÓSTICOS</w:t>
      </w:r>
      <w:r>
        <w:rPr>
          <w:b/>
          <w:bCs/>
        </w:rPr>
        <w:t xml:space="preserve">: </w:t>
      </w:r>
      <w:r>
        <w:t xml:space="preserve">Según el cuadro inicial, habrá que hacer tinción de Gram y cultivo en muestras de sangre, líquido pleural y cefalorraquídeo y tejido de biopsia o de la secreción de las lesiones de la piel. Sin embargo, el tratamiento previo con antimicrobianos disminuye significativamente el índice de confirmación diagnóstica de tales estudios. La identificación definitiva de </w:t>
      </w:r>
      <w:r>
        <w:rPr>
          <w:rFonts w:ascii="Times New Roman" w:eastAsia="Times New Roman" w:hAnsi="Times New Roman" w:cs="Times New Roman"/>
          <w:i/>
          <w:iCs/>
          <w:sz w:val="16"/>
          <w:szCs w:val="16"/>
        </w:rPr>
        <w:t>B. anthracis</w:t>
      </w:r>
      <w:r>
        <w:t xml:space="preserve"> sospechoso aislado puede realizarla la </w:t>
      </w:r>
      <w:r>
        <w:rPr>
          <w:rFonts w:ascii="Times New Roman" w:eastAsia="Times New Roman" w:hAnsi="Times New Roman" w:cs="Times New Roman"/>
          <w:i/>
          <w:iCs/>
          <w:sz w:val="16"/>
          <w:szCs w:val="16"/>
        </w:rPr>
        <w:t>Laboratory Response Network</w:t>
      </w:r>
      <w:r>
        <w:t xml:space="preserve"> en cada estado de la Unión Norteamericana. Otras pruebas diagnósticas para identificar el carbunco incluyen inmunohistoquímica, reacción de polimerasa de tiempo real, fluorescencia de resolución temporal y una enzima inmunoensayo que mide los anticuerpos inmunoglobulínicos G contra el antígeno protector de </w:t>
      </w:r>
      <w:r>
        <w:rPr>
          <w:rFonts w:ascii="Times New Roman" w:eastAsia="Times New Roman" w:hAnsi="Times New Roman" w:cs="Times New Roman"/>
          <w:i/>
          <w:iCs/>
          <w:sz w:val="16"/>
          <w:szCs w:val="16"/>
        </w:rPr>
        <w:t>B. anthracis,</w:t>
      </w:r>
      <w:r>
        <w:t xml:space="preserve"> y se realizan en Estados Unidos en los </w:t>
      </w:r>
      <w:r>
        <w:rPr>
          <w:rFonts w:ascii="Times New Roman" w:eastAsia="Times New Roman" w:hAnsi="Times New Roman" w:cs="Times New Roman"/>
          <w:i/>
          <w:iCs/>
          <w:sz w:val="16"/>
          <w:szCs w:val="16"/>
        </w:rPr>
        <w:t>Centers for Disease Control and Prevention</w:t>
      </w:r>
      <w:r>
        <w:rPr>
          <w:i/>
          <w:iCs/>
        </w:rPr>
        <w:t>;</w:t>
      </w:r>
      <w:r>
        <w:t xml:space="preserve"> es posible obtenerlos a través de los departamentos sanitarios de cada estado. La valoración clínica de personas en que se sospecha carbunco por inhalación debe incluir la práctica de radiografías de tórax, tomografia computadorizada, o ambos métodos, para identificar el ensanchamiento del mediastino y el derrame pleural. </w:t>
      </w:r>
      <w:r>
        <w:rPr>
          <w:b/>
          <w:bCs/>
        </w:rPr>
        <w:t>T</w:t>
      </w:r>
      <w:r>
        <w:rPr>
          <w:b/>
          <w:bCs/>
          <w:sz w:val="13"/>
          <w:szCs w:val="13"/>
        </w:rPr>
        <w:t>RATAMIENTO</w:t>
      </w:r>
      <w:r>
        <w:rPr>
          <w:b/>
          <w:bCs/>
        </w:rPr>
        <w:t xml:space="preserve">: </w:t>
      </w:r>
      <w:r>
        <w:t>Para el diagnóstico inmediato y el tratamiento eficaz del carbunco es esencial que el médico tenga la fuerte sospecha clínica de la presencia del trastorno, así como que se administren de manera rápida antimicrobianos eficaces. No se han hecho estudios comparativos en seres humanos para validar las recomendaciones terapéuticas actuales del carbunco y es escasa la experiencia clínica. Las notificaciones de casos sugieren que la enfermedad cutánea natural puede ser tratada eficazmente con diversos antimicrobianos, como penicilinas, macrólidos y tetraciclinas, durante siete a 10 días. En el caso del ataque cutáneo vinculado con bioterrorismo en adultos o niños, se recomienda como medida inicial administrar 500 mg de ciprofloxacina, ingeridos, dos veces al día o 10 a 15 mg/kg de peso al día en niños, ingeridos y fraccionados dos veces al día o bien 100 mg de doxiciclina ingeridos dos veces al día o 5 mg/kg de peso al día, ingeridos y divididos dos veces al día para niños menores de ocho años, hasta que se cuente con datos de la susceptibilidad a los antimicrobianos. Ante el riesgo de exposición concomitante de tipo inhalacional, habrá que considerar la continuación del régimen antimicrobiano apropiado para la profilaxia después de exposición.</w:t>
      </w:r>
    </w:p>
    <w:p w14:paraId="206CEFEE" w14:textId="77777777" w:rsidR="0072615D" w:rsidRDefault="0072615D">
      <w:pPr>
        <w:pStyle w:val="BodyText"/>
        <w:ind w:firstLine="360"/>
      </w:pPr>
      <w:r>
        <w:t xml:space="preserve">Con base en datos </w:t>
      </w:r>
      <w:r>
        <w:rPr>
          <w:rFonts w:ascii="Times New Roman" w:eastAsia="Times New Roman" w:hAnsi="Times New Roman" w:cs="Times New Roman"/>
          <w:i/>
          <w:iCs/>
          <w:sz w:val="16"/>
          <w:szCs w:val="16"/>
        </w:rPr>
        <w:t>in vitro</w:t>
      </w:r>
      <w:r>
        <w:t xml:space="preserve"> y de estudios animales, debe utilizarse en el comienzo 400 mg de ciprofloxacina por vía intravenosa cada 8 a 12 h o 200 mg intravenosos de doxiciclina cada 8 a 12 h como parte de un régimen polifarmacológico para tratar el carbunco por inhalación, la meningitis carbuncosa, el carbunco cutáneo con signos generalizados y el carbunco de vías gastrointestinales hasta que se obtengan los resultados de las pruebas de susceptibilidad a los antimicrobianos.</w:t>
      </w:r>
      <w:r>
        <w:footnoteReference w:id="85"/>
      </w:r>
      <w:r>
        <w:t xml:space="preserve"> Otros agentes con actividad </w:t>
      </w:r>
      <w:r>
        <w:rPr>
          <w:rFonts w:ascii="Times New Roman" w:eastAsia="Times New Roman" w:hAnsi="Times New Roman" w:cs="Times New Roman"/>
          <w:i/>
          <w:iCs/>
          <w:sz w:val="16"/>
          <w:szCs w:val="16"/>
        </w:rPr>
        <w:t>in vitro</w:t>
      </w:r>
      <w:r>
        <w:t>, cuyo uso se sugiere junto con la ciprofloxacina o la doxiciclina incluyen rifampicina, clorhidrato de vancomicina, imipenem, cloranfenicol, penicilina, ampicilina, clindamicina y claritromicina. No deben administrarse cefalosporinas ni trimetoprim-sulfametoxazol. El tratamiento debe continuar durante 60 días, como mínimo. No se utilizan sistemáticamente la ciprofloxacina ni las tetraciclinas en niños o embarazadas por dudas acerca de su inocuidad. Sin embargo, habrá que utilizar uno y otro antibióticos para tratar el carbunco en niños con infecciones letales, hasta que se conozcan los perfiles de susceptibilidad a antimicrobianos.</w:t>
      </w:r>
    </w:p>
    <w:p w14:paraId="0E3D48EB" w14:textId="77777777" w:rsidR="0072615D" w:rsidRDefault="0072615D">
      <w:pPr>
        <w:pStyle w:val="BodyText"/>
        <w:ind w:firstLine="360"/>
        <w:sectPr w:rsidR="0072615D" w:rsidSect="0072615D">
          <w:headerReference w:type="even" r:id="rId438"/>
          <w:headerReference w:type="default" r:id="rId439"/>
          <w:footerReference w:type="even" r:id="rId440"/>
          <w:footerReference w:type="default" r:id="rId441"/>
          <w:headerReference w:type="first" r:id="rId442"/>
          <w:footerReference w:type="first" r:id="rId443"/>
          <w:footnotePr>
            <w:numFmt w:val="chicago"/>
          </w:footnotePr>
          <w:pgSz w:w="8501" w:h="13022"/>
          <w:pgMar w:top="708" w:right="805" w:bottom="440" w:left="770" w:header="0" w:footer="3" w:gutter="0"/>
          <w:cols w:space="720"/>
          <w:noEndnote/>
          <w:titlePg/>
          <w:docGrid w:linePitch="360"/>
          <w15:footnoteColumns w:val="1"/>
        </w:sectPr>
      </w:pPr>
      <w:r>
        <w:t>Aislamiento del paciente hospitalizado: Se recomienda emprender las precauciones estándar. Los apósitos y ropas de cama contaminados deben ser incinerados o esterilizados en autoclave para destruir las esporas. Se necesitan seguir precauciones especiales en las necropsias de sujetos con carbunco sistémico.</w:t>
      </w:r>
    </w:p>
    <w:p w14:paraId="60230F79" w14:textId="77777777" w:rsidR="0072615D" w:rsidRDefault="0072615D">
      <w:pPr>
        <w:pStyle w:val="BodyText"/>
        <w:ind w:firstLine="360"/>
      </w:pPr>
      <w:r>
        <w:t xml:space="preserve">Medidas preventivas: Bio Thrax (llamada anteriormente vacuna adsorbida contra el carbunco [fabricada por BioPort Corp, Lansing, MI]) es la única vacuna para seres humanos que se puede usar para evitar el carbunco, y ha sido autorizada en Estados Unidos. Se la prepara de un filtrado de cultivo acelular. La vacunación comprende seis inyecciones subcutáneas en la semana cero, dos y cuatro y a los seis, 12 y 18 meses, seguida por dosis de refuerzo anuales. En la actualidad se recomienda aplicar la vacuna a personas en peligro de estar expuestas repetidamente a esporas de </w:t>
      </w:r>
      <w:r>
        <w:rPr>
          <w:rFonts w:ascii="Times New Roman" w:eastAsia="Times New Roman" w:hAnsi="Times New Roman" w:cs="Times New Roman"/>
          <w:i/>
          <w:iCs/>
          <w:sz w:val="16"/>
          <w:szCs w:val="16"/>
        </w:rPr>
        <w:t xml:space="preserve">B. anthracis, </w:t>
      </w:r>
      <w:r>
        <w:t>incluidos trabajadores escogidos de laboratorio y personal militar.</w:t>
      </w:r>
      <w:r>
        <w:footnoteReference w:id="86"/>
      </w:r>
      <w:r>
        <w:t xml:space="preserve"> La vacuna es eficaz para evitar que surja el carbunco cutáneo en adultos. No se ha valorado en seres humanos la protección que brinda contra la enfermedad por inhalación, pero los estudios en primates no humanos ha indicado que tal vacuna es eficaz. Las reacciones adversas comprenden principalmente reacciones en el sitio de la inyección y rara vez hay síntomas generalizados, que incluyen fiebre, escalofríos, mialgias e hipersensibilidad. No se dispone de datos de la eficacia o la inocuidad de la vacuna en niños. En Estados Unidos no se ha aprobado su uso en menores ni en embarazadas. La vacuna contra el carbunco no ha sido aprobada para usar después de la exposición, para evitar el carbunco.</w:t>
      </w:r>
    </w:p>
    <w:p w14:paraId="3C158653" w14:textId="77777777" w:rsidR="0072615D" w:rsidRDefault="0072615D">
      <w:pPr>
        <w:pStyle w:val="BodyText"/>
        <w:spacing w:after="100" w:line="271" w:lineRule="auto"/>
        <w:ind w:firstLine="360"/>
      </w:pPr>
      <w:r>
        <w:t xml:space="preserve">Con base en los escasos datos publicados, la forma mejor de evitar el carbunco por inhalación después de exposición a las esporas de </w:t>
      </w:r>
      <w:r>
        <w:rPr>
          <w:rFonts w:ascii="Times New Roman" w:eastAsia="Times New Roman" w:hAnsi="Times New Roman" w:cs="Times New Roman"/>
          <w:i/>
          <w:iCs/>
          <w:sz w:val="16"/>
          <w:szCs w:val="16"/>
        </w:rPr>
        <w:t>B. anthracis</w:t>
      </w:r>
      <w:r>
        <w:t xml:space="preserve"> es la terapia prolongada con antimicrobianos junto con un régimen de tres dosis de vacuna contra el carbunco (a las semanas cero, dos y cuatro). Sin embargo, dado que no se ha aprobado BioThrax para la profilaxia después de exposición o como régimen de tres dosis o en niños, el programa mencionado se realizará sólo después de una solicitud para obtener un nuevo fármaco en investigación </w:t>
      </w:r>
      <w:r>
        <w:rPr>
          <w:i/>
          <w:iCs/>
        </w:rPr>
        <w:t>(</w:t>
      </w:r>
      <w:r>
        <w:rPr>
          <w:rFonts w:ascii="Times New Roman" w:eastAsia="Times New Roman" w:hAnsi="Times New Roman" w:cs="Times New Roman"/>
          <w:i/>
          <w:iCs/>
          <w:sz w:val="16"/>
          <w:szCs w:val="16"/>
        </w:rPr>
        <w:t>investigational new drug</w:t>
      </w:r>
      <w:r>
        <w:rPr>
          <w:i/>
          <w:iCs/>
        </w:rPr>
        <w:t>,</w:t>
      </w:r>
      <w:r>
        <w:t xml:space="preserve"> IND) como parte de una intervención de emergencia en sanidad. En caso de que no se disponga de datos de la susceptibilidad de la cepa supuestamente patógena de </w:t>
      </w:r>
      <w:r>
        <w:rPr>
          <w:rFonts w:ascii="Times New Roman" w:eastAsia="Times New Roman" w:hAnsi="Times New Roman" w:cs="Times New Roman"/>
          <w:i/>
          <w:iCs/>
          <w:sz w:val="16"/>
          <w:szCs w:val="16"/>
        </w:rPr>
        <w:t>B. anthracis</w:t>
      </w:r>
      <w:r>
        <w:t xml:space="preserve"> a los antimicrobianos, se recomienda la profilaxia inicial de adultos o niños después de exposición, con ciprofloxacina o doxiciclina. No se recomiendan como fármacos de primera línea las fluoroquinolonas y las tetraciclinas en niños, por sus efectos adversos, pero tales aspectos negativos pudieran ser rebasados por la necesidad de tratar inicialmente a embarazadas y niños expuestos a </w:t>
      </w:r>
      <w:r>
        <w:rPr>
          <w:rFonts w:ascii="Times New Roman" w:eastAsia="Times New Roman" w:hAnsi="Times New Roman" w:cs="Times New Roman"/>
          <w:i/>
          <w:iCs/>
          <w:sz w:val="16"/>
          <w:szCs w:val="16"/>
        </w:rPr>
        <w:t>B. anthracis</w:t>
      </w:r>
      <w:r>
        <w:t xml:space="preserve"> después de un ataque bioterrorista. Tan pronto se haya confirmado la susceptibilidad del microorganismo a la penicilina, habrá que cambiar la profilaxia en niños para usar 80 mg de amoxicilina ingerible/kg de peso al día, en fracciones cada 8 h (que no rebase 500 mg tres veces al día). </w:t>
      </w:r>
      <w:r>
        <w:rPr>
          <w:rFonts w:ascii="Times New Roman" w:eastAsia="Times New Roman" w:hAnsi="Times New Roman" w:cs="Times New Roman"/>
          <w:i/>
          <w:iCs/>
          <w:sz w:val="16"/>
          <w:szCs w:val="16"/>
        </w:rPr>
        <w:t>Bacillus anthracis</w:t>
      </w:r>
      <w:r>
        <w:t xml:space="preserve"> no es susceptible a las cefalosporinas ni al trimetoprim-sulfametoxazol, y por consiguiente, no deben utilizarse para profilaxia.</w:t>
      </w:r>
    </w:p>
    <w:p w14:paraId="20CEF12D" w14:textId="77777777" w:rsidR="0072615D" w:rsidRDefault="0072615D">
      <w:pPr>
        <w:pStyle w:val="Bodytext70"/>
        <w:spacing w:after="0"/>
      </w:pPr>
      <w:r>
        <w:t>Chancroide</w:t>
      </w:r>
    </w:p>
    <w:p w14:paraId="3E0708B7" w14:textId="77777777" w:rsidR="0072615D" w:rsidRDefault="0072615D">
      <w:pPr>
        <w:pStyle w:val="BodyText"/>
        <w:ind w:firstLine="0"/>
      </w:pPr>
      <w:r>
        <w:rPr>
          <w:b/>
          <w:bCs/>
        </w:rPr>
        <w:t>M</w:t>
      </w:r>
      <w:r>
        <w:rPr>
          <w:b/>
          <w:bCs/>
          <w:sz w:val="13"/>
          <w:szCs w:val="13"/>
        </w:rPr>
        <w:t>ANIFESTACIONES CLÍNICAS</w:t>
      </w:r>
      <w:r>
        <w:rPr>
          <w:b/>
          <w:bCs/>
        </w:rPr>
        <w:t xml:space="preserve">: </w:t>
      </w:r>
      <w:r>
        <w:t>El chancroide es una enfermedad ulcerosa aguda que afecta los genitales. Surge en primer lugar una úlcera en la forma de una pápula eritematosa dolorosa que se torna pustulosa y muestra erosión en el curso de unos días, y así se forma una lesión moderadamente superficial y perfectamente demarcada con un borde serpiginoso. Su base es friable y puede estar cubierta de un exudado gris o amarillo, necrótico y purulento. Puede haber una o varias úlceras. A diferencia del chancro sifilítico, que es indoloro, la úlcera del chancroide suele ser dolorosa, en forma</w:t>
      </w:r>
    </w:p>
    <w:p w14:paraId="2EE62541" w14:textId="77777777" w:rsidR="0072615D" w:rsidRDefault="0072615D">
      <w:pPr>
        <w:pStyle w:val="BodyText"/>
        <w:spacing w:after="100"/>
        <w:ind w:firstLine="360"/>
      </w:pPr>
      <w:r>
        <w:t xml:space="preserve">Para evitar la rotura espontánea del absceso, los sujetos con un gran absceso hepático pueden beneficiarse de la aspiración percutánea o quirúrgica. </w:t>
      </w:r>
      <w:r>
        <w:rPr>
          <w:b/>
          <w:bCs/>
        </w:rPr>
        <w:t>A</w:t>
      </w:r>
      <w:r>
        <w:rPr>
          <w:b/>
          <w:bCs/>
          <w:sz w:val="13"/>
          <w:szCs w:val="13"/>
        </w:rPr>
        <w:t xml:space="preserve">ISLAMIENTO </w:t>
      </w:r>
      <w:r>
        <w:rPr>
          <w:b/>
          <w:bCs/>
          <w:smallCaps/>
          <w:sz w:val="16"/>
          <w:szCs w:val="16"/>
        </w:rPr>
        <w:t>del</w:t>
      </w:r>
      <w:r>
        <w:rPr>
          <w:b/>
          <w:bCs/>
          <w:sz w:val="13"/>
          <w:szCs w:val="13"/>
        </w:rPr>
        <w:t xml:space="preserve"> PACIENTE HOSPITALIZADO</w:t>
      </w:r>
      <w:r>
        <w:rPr>
          <w:b/>
          <w:bCs/>
        </w:rPr>
        <w:t xml:space="preserve">: </w:t>
      </w:r>
      <w:r>
        <w:t xml:space="preserve">Además de las precauciones estándar se recomienda seguir las precauciones para evitar la transmisión por contacto durante el tiempo que dure la enfermedad. </w:t>
      </w:r>
      <w:r>
        <w:rPr>
          <w:b/>
          <w:bCs/>
        </w:rPr>
        <w:t>M</w:t>
      </w:r>
      <w:r>
        <w:rPr>
          <w:b/>
          <w:bCs/>
          <w:sz w:val="13"/>
          <w:szCs w:val="13"/>
        </w:rPr>
        <w:t>EDIDAS PREVENTIVAS</w:t>
      </w:r>
      <w:r>
        <w:rPr>
          <w:b/>
          <w:bCs/>
        </w:rPr>
        <w:t xml:space="preserve">: </w:t>
      </w:r>
      <w:r>
        <w:t>Incluyen higiene cuidadosa de las manos después de la defecación; eliminación higiénica del material fecal y tratamiento del agua potable para así controlar la propagación de la infección. La transmisión sexual se previene por medio de condones.</w:t>
      </w:r>
    </w:p>
    <w:p w14:paraId="4E30011C" w14:textId="77777777" w:rsidR="0072615D" w:rsidRDefault="0072615D">
      <w:pPr>
        <w:pStyle w:val="Bodytext70"/>
        <w:spacing w:after="0" w:line="317" w:lineRule="auto"/>
      </w:pPr>
      <w:r>
        <w:t>Arañazo de gato, enfermedad. Véase LINFORRETICULOSIS. Arbovirus, infecciones</w:t>
      </w:r>
    </w:p>
    <w:p w14:paraId="22A7687D" w14:textId="77777777" w:rsidR="0072615D" w:rsidRDefault="0072615D">
      <w:pPr>
        <w:pStyle w:val="Other0"/>
        <w:spacing w:line="252" w:lineRule="auto"/>
        <w:ind w:firstLine="0"/>
        <w:rPr>
          <w:sz w:val="20"/>
          <w:szCs w:val="20"/>
        </w:rPr>
      </w:pPr>
      <w:r>
        <w:rPr>
          <w:rFonts w:ascii="Arial" w:eastAsia="Arial" w:hAnsi="Arial" w:cs="Arial"/>
          <w:b/>
          <w:bCs/>
          <w:w w:val="70"/>
          <w:sz w:val="20"/>
          <w:szCs w:val="20"/>
        </w:rPr>
        <w:t>(Incluidas las siguientes formas de encefalitis: California [principalmente La Crosse], equina de la zona oriental y occidental de Estados Unidos, de Powassan, de St Louis, equina venezolana, del Nilo Occidental; fiebre por garrapatas de Colorado, dengue, encefalitis japonesa y fiebre amarilla)</w:t>
      </w:r>
    </w:p>
    <w:p w14:paraId="0B604AAC" w14:textId="77777777" w:rsidR="0072615D" w:rsidRDefault="0072615D">
      <w:pPr>
        <w:pStyle w:val="BodyText"/>
        <w:ind w:firstLine="0"/>
      </w:pPr>
      <w:r>
        <w:rPr>
          <w:b/>
          <w:bCs/>
          <w:smallCaps/>
          <w:sz w:val="20"/>
          <w:szCs w:val="20"/>
        </w:rPr>
        <w:t>M</w:t>
      </w:r>
      <w:r>
        <w:rPr>
          <w:b/>
          <w:bCs/>
          <w:smallCaps/>
          <w:sz w:val="16"/>
          <w:szCs w:val="16"/>
        </w:rPr>
        <w:t>anifestaciones clínicas</w:t>
      </w:r>
      <w:r>
        <w:rPr>
          <w:b/>
          <w:bCs/>
          <w:smallCaps/>
          <w:sz w:val="20"/>
          <w:szCs w:val="20"/>
        </w:rPr>
        <w:t>:</w:t>
      </w:r>
      <w:r>
        <w:t xml:space="preserve"> Los arbovirus (virus transmitidos por artrópodos) son diseminados por mosquitos, garrapatas y flebótomos, y causan cuatro síndromes clínicos principales: 1) infección del sistema nervioso central (SNC) (incluidas encefalitis, meningitis aséptica o mielitis); 2) cuadro febril no diferenciado, a menudo con erupción; 3) poliartropatía aguda; y 4) fiebre hemorrágica aguda que suele acompañarse de hepatitis. La infección por algunos arbovirus origina enfermedad en etapa perinatal.</w:t>
      </w:r>
    </w:p>
    <w:p w14:paraId="081D5200" w14:textId="77777777" w:rsidR="0072615D" w:rsidRDefault="0072615D">
      <w:pPr>
        <w:pStyle w:val="BodyText"/>
        <w:spacing w:after="40" w:line="271" w:lineRule="auto"/>
        <w:ind w:firstLine="360"/>
      </w:pPr>
      <w:r>
        <w:t xml:space="preserve">En el cuadro 3-1 se señalan algunos arbovirus transmitidos en el hemisferio occidental que atacan el sistema nervioso central. El virus de la encefalitis equina de la zona oriental de Estados Unidos </w:t>
      </w:r>
      <w:r>
        <w:rPr>
          <w:i/>
          <w:iCs/>
        </w:rPr>
        <w:t>(</w:t>
      </w:r>
      <w:r>
        <w:rPr>
          <w:rFonts w:ascii="Times New Roman" w:eastAsia="Times New Roman" w:hAnsi="Times New Roman" w:cs="Times New Roman"/>
          <w:i/>
          <w:iCs/>
          <w:sz w:val="16"/>
          <w:szCs w:val="16"/>
        </w:rPr>
        <w:t>eastern equine encephalitis,</w:t>
      </w:r>
      <w:r>
        <w:t xml:space="preserve"> EEE) es la inflamación encefálica más intensa transmitida por artrópodos, en Estados Unidos. Los demás arbovirus importantes en dicha nación más bien originan infecciones asintomáticas. Cuando aparece, la enfermedad clínica varía en intensidad, desde un cuadro febril que cede por sí solo con cefalea y vómitos (particularmente en niños), hasta un síndrome de meningitis aséptica o encefalitis aguda. El virus La Crosse (LAC) origina meningitis o encefalitis aséptica con convulsiones agudas y signos focales en más de 25% de los pacientes, y estupor o coma en 50%, pero los pacientes mueren en menos de 1% de los casos. De manera típica, la encefalitis equina de la porción oriental de Estados Unidos es un cuadro fulminante que culmina en coma y muerte en 33% de los casos, y en otro 33% deja secuelas graves del sistema nervioso. La intensidad clínica de la encefalitis equina de la zona occidental de Estados Unidos </w:t>
      </w:r>
      <w:r>
        <w:rPr>
          <w:i/>
          <w:iCs/>
        </w:rPr>
        <w:t>(</w:t>
      </w:r>
      <w:r>
        <w:rPr>
          <w:rFonts w:ascii="Times New Roman" w:eastAsia="Times New Roman" w:hAnsi="Times New Roman" w:cs="Times New Roman"/>
          <w:i/>
          <w:iCs/>
          <w:sz w:val="16"/>
          <w:szCs w:val="16"/>
        </w:rPr>
        <w:t>western equine encephalitis,</w:t>
      </w:r>
      <w:r>
        <w:t xml:space="preserve"> WEE) es intermedia, con una tasa de letalidad de 5%; es común en lactantes el ataque del sistema nervioso. La encefalitis Powassan se acompaña de complicaciones de largo plazo y tiene una tasa de letalidad de 10 a 15%. Entre las características de la infección sintomática en la encefalitis de St Louis </w:t>
      </w:r>
      <w:r>
        <w:rPr>
          <w:i/>
          <w:iCs/>
        </w:rPr>
        <w:t>(</w:t>
      </w:r>
      <w:r>
        <w:rPr>
          <w:rFonts w:ascii="Times New Roman" w:eastAsia="Times New Roman" w:hAnsi="Times New Roman" w:cs="Times New Roman"/>
          <w:i/>
          <w:iCs/>
          <w:sz w:val="16"/>
          <w:szCs w:val="16"/>
        </w:rPr>
        <w:t>St Louis encephalitis</w:t>
      </w:r>
      <w:r>
        <w:rPr>
          <w:i/>
          <w:iCs/>
        </w:rPr>
        <w:t>,</w:t>
      </w:r>
      <w:r>
        <w:t xml:space="preserve"> SLE) están confusión, fiebre, cefalea, evolución lenta de la enfermedad, ausencia de signos focales, debilidad generalizada y temblor; 7% de los casos son letales y los niños y los ancianos son los que presentan el cuadro más grave. En 1999 se describió por primera vez en Estados Unidos, y particularmente en Nueva York, el virus del Nilo Occidental </w:t>
      </w:r>
      <w:r>
        <w:rPr>
          <w:i/>
          <w:iCs/>
        </w:rPr>
        <w:t>(</w:t>
      </w:r>
      <w:r>
        <w:rPr>
          <w:rFonts w:ascii="Times New Roman" w:eastAsia="Times New Roman" w:hAnsi="Times New Roman" w:cs="Times New Roman"/>
          <w:i/>
          <w:iCs/>
          <w:sz w:val="16"/>
          <w:szCs w:val="16"/>
        </w:rPr>
        <w:t>western Nile virus</w:t>
      </w:r>
      <w:r>
        <w:rPr>
          <w:i/>
          <w:iCs/>
        </w:rPr>
        <w:t>,</w:t>
      </w:r>
      <w:r>
        <w:t xml:space="preserve"> WNV), y desde esa fecha se han notificado en más de 40 estados de la Unión Norteamericana (continental) casos de seres humanos, confirmados por datos de laboratorio, de la enfermedad vinculada con dicho virus. La infección por tal partícula</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2544"/>
        <w:gridCol w:w="3024"/>
        <w:gridCol w:w="1354"/>
      </w:tblGrid>
      <w:tr w:rsidR="0072615D" w14:paraId="01BB5B91" w14:textId="77777777">
        <w:tblPrEx>
          <w:tblCellMar>
            <w:top w:w="0" w:type="dxa"/>
            <w:bottom w:w="0" w:type="dxa"/>
          </w:tblCellMar>
        </w:tblPrEx>
        <w:trPr>
          <w:trHeight w:hRule="exact" w:val="869"/>
          <w:jc w:val="center"/>
        </w:trPr>
        <w:tc>
          <w:tcPr>
            <w:tcW w:w="6922" w:type="dxa"/>
            <w:gridSpan w:val="3"/>
            <w:tcBorders>
              <w:top w:val="single" w:sz="4" w:space="0" w:color="auto"/>
            </w:tcBorders>
            <w:shd w:val="clear" w:color="auto" w:fill="FFFFFF"/>
            <w:vAlign w:val="bottom"/>
          </w:tcPr>
          <w:p w14:paraId="67DF6F3D" w14:textId="77777777" w:rsidR="0072615D" w:rsidRDefault="0072615D">
            <w:pPr>
              <w:pStyle w:val="Other0"/>
              <w:spacing w:line="211" w:lineRule="auto"/>
              <w:ind w:firstLine="0"/>
              <w:jc w:val="center"/>
              <w:rPr>
                <w:sz w:val="26"/>
                <w:szCs w:val="26"/>
              </w:rPr>
            </w:pPr>
            <w:r>
              <w:rPr>
                <w:rFonts w:ascii="Arial" w:eastAsia="Arial" w:hAnsi="Arial" w:cs="Arial"/>
                <w:w w:val="70"/>
                <w:sz w:val="26"/>
                <w:szCs w:val="26"/>
              </w:rPr>
              <w:t xml:space="preserve">Cuadro 3-1. </w:t>
            </w:r>
            <w:r>
              <w:rPr>
                <w:rFonts w:ascii="Arial" w:eastAsia="Arial" w:hAnsi="Arial" w:cs="Arial"/>
                <w:b/>
                <w:bCs/>
                <w:w w:val="70"/>
                <w:sz w:val="26"/>
                <w:szCs w:val="26"/>
              </w:rPr>
              <w:t>Infecciones importantes por arbovirus en el sistema nervioso central en el hemisferio occidental</w:t>
            </w:r>
            <w:r>
              <w:rPr>
                <w:rFonts w:ascii="Arial" w:eastAsia="Arial" w:hAnsi="Arial" w:cs="Arial"/>
                <w:b/>
                <w:bCs/>
                <w:w w:val="70"/>
                <w:sz w:val="26"/>
                <w:szCs w:val="26"/>
                <w:vertAlign w:val="superscript"/>
              </w:rPr>
              <w:t>1</w:t>
            </w:r>
          </w:p>
        </w:tc>
      </w:tr>
      <w:tr w:rsidR="0072615D" w14:paraId="31E12B0D" w14:textId="77777777">
        <w:tblPrEx>
          <w:tblCellMar>
            <w:top w:w="0" w:type="dxa"/>
            <w:bottom w:w="0" w:type="dxa"/>
          </w:tblCellMar>
        </w:tblPrEx>
        <w:trPr>
          <w:trHeight w:hRule="exact" w:val="835"/>
          <w:jc w:val="center"/>
        </w:trPr>
        <w:tc>
          <w:tcPr>
            <w:tcW w:w="2544" w:type="dxa"/>
            <w:shd w:val="clear" w:color="auto" w:fill="231F20"/>
            <w:vAlign w:val="bottom"/>
          </w:tcPr>
          <w:p w14:paraId="0BB48C71"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9" w:lineRule="auto"/>
              <w:ind w:firstLine="0"/>
              <w:rPr>
                <w:sz w:val="24"/>
                <w:szCs w:val="24"/>
              </w:rPr>
            </w:pPr>
            <w:r>
              <w:rPr>
                <w:rFonts w:ascii="Arial" w:eastAsia="Arial" w:hAnsi="Arial" w:cs="Arial"/>
                <w:b/>
                <w:bCs/>
                <w:color w:val="FFFFFF"/>
                <w:w w:val="70"/>
                <w:sz w:val="24"/>
                <w:szCs w:val="24"/>
              </w:rPr>
              <w:t>Enfermedad (agente causal)</w:t>
            </w:r>
            <w:r>
              <w:rPr>
                <w:rFonts w:ascii="Arial" w:eastAsia="Arial" w:hAnsi="Arial" w:cs="Arial"/>
                <w:b/>
                <w:bCs/>
                <w:color w:val="FFFFFF"/>
                <w:w w:val="70"/>
                <w:sz w:val="24"/>
                <w:szCs w:val="24"/>
                <w:vertAlign w:val="superscript"/>
              </w:rPr>
              <w:t>2</w:t>
            </w:r>
          </w:p>
        </w:tc>
        <w:tc>
          <w:tcPr>
            <w:tcW w:w="3024" w:type="dxa"/>
            <w:shd w:val="clear" w:color="auto" w:fill="231F20"/>
            <w:vAlign w:val="bottom"/>
          </w:tcPr>
          <w:p w14:paraId="287C7876"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14" w:lineRule="auto"/>
              <w:ind w:left="140"/>
              <w:rPr>
                <w:sz w:val="24"/>
                <w:szCs w:val="24"/>
              </w:rPr>
            </w:pPr>
            <w:r>
              <w:rPr>
                <w:rFonts w:ascii="Arial" w:eastAsia="Arial" w:hAnsi="Arial" w:cs="Arial"/>
                <w:b/>
                <w:bCs/>
                <w:color w:val="FFFFFF"/>
                <w:w w:val="70"/>
                <w:sz w:val="24"/>
                <w:szCs w:val="24"/>
              </w:rPr>
              <w:t>Distribución geográfica de los virus</w:t>
            </w:r>
          </w:p>
        </w:tc>
        <w:tc>
          <w:tcPr>
            <w:tcW w:w="1354" w:type="dxa"/>
            <w:shd w:val="clear" w:color="auto" w:fill="231F20"/>
          </w:tcPr>
          <w:p w14:paraId="4A26142F"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6" w:lineRule="auto"/>
              <w:ind w:firstLine="0"/>
              <w:rPr>
                <w:sz w:val="24"/>
                <w:szCs w:val="24"/>
              </w:rPr>
            </w:pPr>
            <w:r>
              <w:rPr>
                <w:rFonts w:ascii="Arial" w:eastAsia="Arial" w:hAnsi="Arial" w:cs="Arial"/>
                <w:b/>
                <w:bCs/>
                <w:color w:val="FFFFFF"/>
                <w:w w:val="70"/>
                <w:sz w:val="24"/>
                <w:szCs w:val="24"/>
              </w:rPr>
              <w:t>Periodo de incubación en días</w:t>
            </w:r>
          </w:p>
        </w:tc>
      </w:tr>
      <w:tr w:rsidR="0072615D" w14:paraId="6E1EADA6" w14:textId="77777777">
        <w:tblPrEx>
          <w:tblCellMar>
            <w:top w:w="0" w:type="dxa"/>
            <w:bottom w:w="0" w:type="dxa"/>
          </w:tblCellMar>
        </w:tblPrEx>
        <w:trPr>
          <w:trHeight w:hRule="exact" w:val="274"/>
          <w:jc w:val="center"/>
        </w:trPr>
        <w:tc>
          <w:tcPr>
            <w:tcW w:w="2544" w:type="dxa"/>
            <w:shd w:val="clear" w:color="auto" w:fill="FFFFFF"/>
            <w:vAlign w:val="bottom"/>
          </w:tcPr>
          <w:p w14:paraId="263D56F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encefalitis California</w:t>
            </w:r>
          </w:p>
        </w:tc>
        <w:tc>
          <w:tcPr>
            <w:tcW w:w="3024" w:type="dxa"/>
            <w:shd w:val="clear" w:color="auto" w:fill="FFFFFF"/>
            <w:vAlign w:val="bottom"/>
          </w:tcPr>
          <w:p w14:paraId="1A3DC88D"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Amplia en Estados Unidos y Canadá,</w:t>
            </w:r>
          </w:p>
        </w:tc>
        <w:tc>
          <w:tcPr>
            <w:tcW w:w="1354" w:type="dxa"/>
            <w:shd w:val="clear" w:color="auto" w:fill="FFFFFF"/>
            <w:vAlign w:val="bottom"/>
          </w:tcPr>
          <w:p w14:paraId="4F439101"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5-15</w:t>
            </w:r>
          </w:p>
        </w:tc>
      </w:tr>
      <w:tr w:rsidR="0072615D" w14:paraId="2754AE5E" w14:textId="77777777">
        <w:tblPrEx>
          <w:tblCellMar>
            <w:top w:w="0" w:type="dxa"/>
            <w:bottom w:w="0" w:type="dxa"/>
          </w:tblCellMar>
        </w:tblPrEx>
        <w:trPr>
          <w:trHeight w:hRule="exact" w:val="235"/>
          <w:jc w:val="center"/>
        </w:trPr>
        <w:tc>
          <w:tcPr>
            <w:tcW w:w="2544" w:type="dxa"/>
            <w:shd w:val="clear" w:color="auto" w:fill="FFFFFF"/>
            <w:vAlign w:val="bottom"/>
          </w:tcPr>
          <w:p w14:paraId="29F8B4CA"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(predominantemente La Crosse</w:t>
            </w:r>
          </w:p>
        </w:tc>
        <w:tc>
          <w:tcPr>
            <w:tcW w:w="3024" w:type="dxa"/>
            <w:shd w:val="clear" w:color="auto" w:fill="FFFFFF"/>
            <w:vAlign w:val="bottom"/>
          </w:tcPr>
          <w:p w14:paraId="453C6A0C" w14:textId="77777777" w:rsidR="0072615D" w:rsidRDefault="0072615D">
            <w:pPr>
              <w:pStyle w:val="Other0"/>
              <w:spacing w:line="240" w:lineRule="auto"/>
              <w:ind w:firstLine="260"/>
              <w:jc w:val="both"/>
              <w:rPr>
                <w:sz w:val="16"/>
                <w:szCs w:val="16"/>
              </w:rPr>
            </w:pPr>
            <w:r>
              <w:rPr>
                <w:rFonts w:ascii="Times New Roman" w:eastAsia="Times New Roman" w:hAnsi="Times New Roman" w:cs="Times New Roman"/>
                <w:sz w:val="16"/>
                <w:szCs w:val="16"/>
              </w:rPr>
              <w:t>incluida la región del Yukon y los</w:t>
            </w:r>
          </w:p>
        </w:tc>
        <w:tc>
          <w:tcPr>
            <w:tcW w:w="1354" w:type="dxa"/>
            <w:shd w:val="clear" w:color="auto" w:fill="FFFFFF"/>
          </w:tcPr>
          <w:p w14:paraId="39BD1ED5" w14:textId="77777777" w:rsidR="0072615D" w:rsidRDefault="0072615D">
            <w:pPr>
              <w:rPr>
                <w:sz w:val="10"/>
                <w:szCs w:val="10"/>
              </w:rPr>
            </w:pPr>
          </w:p>
        </w:tc>
      </w:tr>
      <w:tr w:rsidR="0072615D" w14:paraId="26BDD4C9" w14:textId="77777777">
        <w:tblPrEx>
          <w:tblCellMar>
            <w:top w:w="0" w:type="dxa"/>
            <w:bottom w:w="0" w:type="dxa"/>
          </w:tblCellMar>
        </w:tblPrEx>
        <w:trPr>
          <w:trHeight w:hRule="exact" w:val="211"/>
          <w:jc w:val="center"/>
        </w:trPr>
        <w:tc>
          <w:tcPr>
            <w:tcW w:w="2544" w:type="dxa"/>
            <w:shd w:val="clear" w:color="auto" w:fill="FFFFFF"/>
            <w:vAlign w:val="bottom"/>
          </w:tcPr>
          <w:p w14:paraId="76B20F95"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y otros virus del serogrupo</w:t>
            </w:r>
          </w:p>
        </w:tc>
        <w:tc>
          <w:tcPr>
            <w:tcW w:w="3024" w:type="dxa"/>
            <w:shd w:val="clear" w:color="auto" w:fill="FFFFFF"/>
            <w:vAlign w:val="bottom"/>
          </w:tcPr>
          <w:p w14:paraId="280CB341" w14:textId="77777777" w:rsidR="0072615D" w:rsidRDefault="0072615D">
            <w:pPr>
              <w:pStyle w:val="Other0"/>
              <w:spacing w:line="240" w:lineRule="auto"/>
              <w:ind w:firstLine="260"/>
              <w:jc w:val="both"/>
              <w:rPr>
                <w:sz w:val="16"/>
                <w:szCs w:val="16"/>
              </w:rPr>
            </w:pPr>
            <w:r>
              <w:rPr>
                <w:rFonts w:ascii="Times New Roman" w:eastAsia="Times New Roman" w:hAnsi="Times New Roman" w:cs="Times New Roman"/>
                <w:sz w:val="16"/>
                <w:szCs w:val="16"/>
              </w:rPr>
              <w:t>territorios del Noroeste; prevalece más</w:t>
            </w:r>
          </w:p>
        </w:tc>
        <w:tc>
          <w:tcPr>
            <w:tcW w:w="1354" w:type="dxa"/>
            <w:shd w:val="clear" w:color="auto" w:fill="FFFFFF"/>
          </w:tcPr>
          <w:p w14:paraId="0A457C4A" w14:textId="77777777" w:rsidR="0072615D" w:rsidRDefault="0072615D">
            <w:pPr>
              <w:rPr>
                <w:sz w:val="10"/>
                <w:szCs w:val="10"/>
              </w:rPr>
            </w:pPr>
          </w:p>
        </w:tc>
      </w:tr>
      <w:tr w:rsidR="0072615D" w14:paraId="30DDA90F" w14:textId="77777777">
        <w:tblPrEx>
          <w:tblCellMar>
            <w:top w:w="0" w:type="dxa"/>
            <w:bottom w:w="0" w:type="dxa"/>
          </w:tblCellMar>
        </w:tblPrEx>
        <w:trPr>
          <w:trHeight w:hRule="exact" w:val="413"/>
          <w:jc w:val="center"/>
        </w:trPr>
        <w:tc>
          <w:tcPr>
            <w:tcW w:w="2544" w:type="dxa"/>
            <w:shd w:val="clear" w:color="auto" w:fill="FFFFFF"/>
          </w:tcPr>
          <w:p w14:paraId="5B98FBCF"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California)</w:t>
            </w:r>
          </w:p>
        </w:tc>
        <w:tc>
          <w:tcPr>
            <w:tcW w:w="3024" w:type="dxa"/>
            <w:shd w:val="clear" w:color="auto" w:fill="FFFFFF"/>
          </w:tcPr>
          <w:p w14:paraId="17011768" w14:textId="77777777" w:rsidR="0072615D" w:rsidRDefault="0072615D">
            <w:pPr>
              <w:pStyle w:val="Other0"/>
              <w:spacing w:line="283" w:lineRule="auto"/>
              <w:ind w:left="260" w:firstLine="0"/>
              <w:rPr>
                <w:sz w:val="16"/>
                <w:szCs w:val="16"/>
              </w:rPr>
            </w:pPr>
            <w:r>
              <w:rPr>
                <w:rFonts w:ascii="Times New Roman" w:eastAsia="Times New Roman" w:hAnsi="Times New Roman" w:cs="Times New Roman"/>
                <w:sz w:val="16"/>
                <w:szCs w:val="16"/>
              </w:rPr>
              <w:t>bien en la mitad superior del Medio Oeste</w:t>
            </w:r>
          </w:p>
        </w:tc>
        <w:tc>
          <w:tcPr>
            <w:tcW w:w="1354" w:type="dxa"/>
            <w:shd w:val="clear" w:color="auto" w:fill="FFFFFF"/>
          </w:tcPr>
          <w:p w14:paraId="1FEBB724" w14:textId="77777777" w:rsidR="0072615D" w:rsidRDefault="0072615D">
            <w:pPr>
              <w:rPr>
                <w:sz w:val="10"/>
                <w:szCs w:val="10"/>
              </w:rPr>
            </w:pPr>
          </w:p>
        </w:tc>
      </w:tr>
      <w:tr w:rsidR="0072615D" w14:paraId="22A95A88" w14:textId="77777777">
        <w:tblPrEx>
          <w:tblCellMar>
            <w:top w:w="0" w:type="dxa"/>
            <w:bottom w:w="0" w:type="dxa"/>
          </w:tblCellMar>
        </w:tblPrEx>
        <w:trPr>
          <w:trHeight w:hRule="exact" w:val="221"/>
          <w:jc w:val="center"/>
        </w:trPr>
        <w:tc>
          <w:tcPr>
            <w:tcW w:w="2544" w:type="dxa"/>
            <w:shd w:val="clear" w:color="auto" w:fill="FFFFFF"/>
            <w:vAlign w:val="bottom"/>
          </w:tcPr>
          <w:p w14:paraId="42AB7B2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la encefalitis equina</w:t>
            </w:r>
          </w:p>
        </w:tc>
        <w:tc>
          <w:tcPr>
            <w:tcW w:w="3024" w:type="dxa"/>
            <w:shd w:val="clear" w:color="auto" w:fill="FFFFFF"/>
            <w:vAlign w:val="bottom"/>
          </w:tcPr>
          <w:p w14:paraId="479FF3FC"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Costas orientales de estados del golfo</w:t>
            </w:r>
          </w:p>
        </w:tc>
        <w:tc>
          <w:tcPr>
            <w:tcW w:w="1354" w:type="dxa"/>
            <w:shd w:val="clear" w:color="auto" w:fill="FFFFFF"/>
            <w:vAlign w:val="bottom"/>
          </w:tcPr>
          <w:p w14:paraId="5E5FF791"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3-10</w:t>
            </w:r>
          </w:p>
        </w:tc>
      </w:tr>
      <w:tr w:rsidR="0072615D" w14:paraId="6C6800B4" w14:textId="77777777">
        <w:tblPrEx>
          <w:tblCellMar>
            <w:top w:w="0" w:type="dxa"/>
            <w:bottom w:w="0" w:type="dxa"/>
          </w:tblCellMar>
        </w:tblPrEx>
        <w:trPr>
          <w:trHeight w:hRule="exact" w:val="216"/>
          <w:jc w:val="center"/>
        </w:trPr>
        <w:tc>
          <w:tcPr>
            <w:tcW w:w="2544" w:type="dxa"/>
            <w:shd w:val="clear" w:color="auto" w:fill="FFFFFF"/>
            <w:vAlign w:val="bottom"/>
          </w:tcPr>
          <w:p w14:paraId="5602D99D"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de la región oriental de Estados</w:t>
            </w:r>
          </w:p>
        </w:tc>
        <w:tc>
          <w:tcPr>
            <w:tcW w:w="3024" w:type="dxa"/>
            <w:shd w:val="clear" w:color="auto" w:fill="FFFFFF"/>
            <w:vAlign w:val="bottom"/>
          </w:tcPr>
          <w:p w14:paraId="46633D71" w14:textId="77777777" w:rsidR="0072615D" w:rsidRDefault="0072615D">
            <w:pPr>
              <w:pStyle w:val="Other0"/>
              <w:spacing w:line="240" w:lineRule="auto"/>
              <w:ind w:firstLine="260"/>
              <w:jc w:val="both"/>
              <w:rPr>
                <w:sz w:val="16"/>
                <w:szCs w:val="16"/>
              </w:rPr>
            </w:pPr>
            <w:r>
              <w:rPr>
                <w:rFonts w:ascii="Times New Roman" w:eastAsia="Times New Roman" w:hAnsi="Times New Roman" w:cs="Times New Roman"/>
                <w:sz w:val="16"/>
                <w:szCs w:val="16"/>
              </w:rPr>
              <w:t>de Estados Unidos (focos aislados</w:t>
            </w:r>
          </w:p>
        </w:tc>
        <w:tc>
          <w:tcPr>
            <w:tcW w:w="1354" w:type="dxa"/>
            <w:shd w:val="clear" w:color="auto" w:fill="FFFFFF"/>
          </w:tcPr>
          <w:p w14:paraId="6838F6FC" w14:textId="77777777" w:rsidR="0072615D" w:rsidRDefault="0072615D">
            <w:pPr>
              <w:rPr>
                <w:sz w:val="10"/>
                <w:szCs w:val="10"/>
              </w:rPr>
            </w:pPr>
          </w:p>
        </w:tc>
      </w:tr>
      <w:tr w:rsidR="0072615D" w14:paraId="2222647C" w14:textId="77777777">
        <w:tblPrEx>
          <w:tblCellMar>
            <w:top w:w="0" w:type="dxa"/>
            <w:bottom w:w="0" w:type="dxa"/>
          </w:tblCellMar>
        </w:tblPrEx>
        <w:trPr>
          <w:trHeight w:hRule="exact" w:val="432"/>
          <w:jc w:val="center"/>
        </w:trPr>
        <w:tc>
          <w:tcPr>
            <w:tcW w:w="2544" w:type="dxa"/>
            <w:shd w:val="clear" w:color="auto" w:fill="FFFFFF"/>
          </w:tcPr>
          <w:p w14:paraId="6CEFED74"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Unidos (EEE)</w:t>
            </w:r>
          </w:p>
        </w:tc>
        <w:tc>
          <w:tcPr>
            <w:tcW w:w="3024" w:type="dxa"/>
            <w:shd w:val="clear" w:color="auto" w:fill="FFFFFF"/>
            <w:vAlign w:val="bottom"/>
          </w:tcPr>
          <w:p w14:paraId="4B7562EA" w14:textId="77777777" w:rsidR="0072615D" w:rsidRDefault="0072615D">
            <w:pPr>
              <w:pStyle w:val="Other0"/>
              <w:spacing w:line="283" w:lineRule="auto"/>
              <w:ind w:left="260" w:firstLine="0"/>
              <w:rPr>
                <w:sz w:val="16"/>
                <w:szCs w:val="16"/>
              </w:rPr>
            </w:pPr>
            <w:r>
              <w:rPr>
                <w:rFonts w:ascii="Times New Roman" w:eastAsia="Times New Roman" w:hAnsi="Times New Roman" w:cs="Times New Roman"/>
                <w:sz w:val="16"/>
                <w:szCs w:val="16"/>
              </w:rPr>
              <w:t>tierra adentro); Canadá, América del Sur y Central</w:t>
            </w:r>
          </w:p>
        </w:tc>
        <w:tc>
          <w:tcPr>
            <w:tcW w:w="1354" w:type="dxa"/>
            <w:shd w:val="clear" w:color="auto" w:fill="FFFFFF"/>
          </w:tcPr>
          <w:p w14:paraId="71609AE0" w14:textId="77777777" w:rsidR="0072615D" w:rsidRDefault="0072615D">
            <w:pPr>
              <w:rPr>
                <w:sz w:val="10"/>
                <w:szCs w:val="10"/>
              </w:rPr>
            </w:pPr>
          </w:p>
        </w:tc>
      </w:tr>
      <w:tr w:rsidR="0072615D" w14:paraId="3F352465" w14:textId="77777777">
        <w:tblPrEx>
          <w:tblCellMar>
            <w:top w:w="0" w:type="dxa"/>
            <w:bottom w:w="0" w:type="dxa"/>
          </w:tblCellMar>
        </w:tblPrEx>
        <w:trPr>
          <w:trHeight w:hRule="exact" w:val="432"/>
          <w:jc w:val="center"/>
        </w:trPr>
        <w:tc>
          <w:tcPr>
            <w:tcW w:w="2544" w:type="dxa"/>
            <w:shd w:val="clear" w:color="auto" w:fill="FFFFFF"/>
          </w:tcPr>
          <w:p w14:paraId="1C75AC1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encefalitis Powassan</w:t>
            </w:r>
          </w:p>
        </w:tc>
        <w:tc>
          <w:tcPr>
            <w:tcW w:w="3024" w:type="dxa"/>
            <w:shd w:val="clear" w:color="auto" w:fill="FFFFFF"/>
            <w:vAlign w:val="bottom"/>
          </w:tcPr>
          <w:p w14:paraId="69587773" w14:textId="77777777" w:rsidR="0072615D" w:rsidRDefault="0072615D">
            <w:pPr>
              <w:pStyle w:val="Other0"/>
              <w:spacing w:line="283" w:lineRule="auto"/>
              <w:ind w:left="260" w:hanging="100"/>
              <w:rPr>
                <w:sz w:val="16"/>
                <w:szCs w:val="16"/>
              </w:rPr>
            </w:pPr>
            <w:r>
              <w:rPr>
                <w:rFonts w:ascii="Times New Roman" w:eastAsia="Times New Roman" w:hAnsi="Times New Roman" w:cs="Times New Roman"/>
                <w:sz w:val="16"/>
                <w:szCs w:val="16"/>
              </w:rPr>
              <w:t>Canadá: zonas noreste, centro norte y occidental de Estados Unidos</w:t>
            </w:r>
          </w:p>
        </w:tc>
        <w:tc>
          <w:tcPr>
            <w:tcW w:w="1354" w:type="dxa"/>
            <w:shd w:val="clear" w:color="auto" w:fill="FFFFFF"/>
          </w:tcPr>
          <w:p w14:paraId="01EB6959"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4-18</w:t>
            </w:r>
          </w:p>
        </w:tc>
      </w:tr>
      <w:tr w:rsidR="0072615D" w14:paraId="6F13BAB5" w14:textId="77777777">
        <w:tblPrEx>
          <w:tblCellMar>
            <w:top w:w="0" w:type="dxa"/>
            <w:bottom w:w="0" w:type="dxa"/>
          </w:tblCellMar>
        </w:tblPrEx>
        <w:trPr>
          <w:trHeight w:hRule="exact" w:val="230"/>
          <w:jc w:val="center"/>
        </w:trPr>
        <w:tc>
          <w:tcPr>
            <w:tcW w:w="2544" w:type="dxa"/>
            <w:shd w:val="clear" w:color="auto" w:fill="FFFFFF"/>
            <w:vAlign w:val="bottom"/>
          </w:tcPr>
          <w:p w14:paraId="74C1FED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la encefalitis St Louis</w:t>
            </w:r>
          </w:p>
        </w:tc>
        <w:tc>
          <w:tcPr>
            <w:tcW w:w="3024" w:type="dxa"/>
            <w:shd w:val="clear" w:color="auto" w:fill="FFFFFF"/>
            <w:vAlign w:val="bottom"/>
          </w:tcPr>
          <w:p w14:paraId="515AB89A"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Amplia: regiones central, septentrional,</w:t>
            </w:r>
          </w:p>
        </w:tc>
        <w:tc>
          <w:tcPr>
            <w:tcW w:w="1354" w:type="dxa"/>
            <w:shd w:val="clear" w:color="auto" w:fill="FFFFFF"/>
          </w:tcPr>
          <w:p w14:paraId="2068C9D5" w14:textId="77777777" w:rsidR="0072615D" w:rsidRDefault="0072615D">
            <w:pPr>
              <w:rPr>
                <w:sz w:val="10"/>
                <w:szCs w:val="10"/>
              </w:rPr>
            </w:pPr>
          </w:p>
        </w:tc>
      </w:tr>
      <w:tr w:rsidR="0072615D" w14:paraId="7B113312" w14:textId="77777777">
        <w:tblPrEx>
          <w:tblCellMar>
            <w:top w:w="0" w:type="dxa"/>
            <w:bottom w:w="0" w:type="dxa"/>
          </w:tblCellMar>
        </w:tblPrEx>
        <w:trPr>
          <w:trHeight w:hRule="exact" w:val="202"/>
          <w:jc w:val="center"/>
        </w:trPr>
        <w:tc>
          <w:tcPr>
            <w:tcW w:w="2544" w:type="dxa"/>
            <w:shd w:val="clear" w:color="auto" w:fill="FFFFFF"/>
            <w:vAlign w:val="bottom"/>
          </w:tcPr>
          <w:p w14:paraId="62EE92C9"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(SLE)</w:t>
            </w:r>
          </w:p>
        </w:tc>
        <w:tc>
          <w:tcPr>
            <w:tcW w:w="3024" w:type="dxa"/>
            <w:shd w:val="clear" w:color="auto" w:fill="FFFFFF"/>
            <w:vAlign w:val="bottom"/>
          </w:tcPr>
          <w:p w14:paraId="75820B8C" w14:textId="77777777" w:rsidR="0072615D" w:rsidRDefault="0072615D">
            <w:pPr>
              <w:pStyle w:val="Other0"/>
              <w:spacing w:line="240" w:lineRule="auto"/>
              <w:ind w:left="260" w:firstLine="0"/>
              <w:jc w:val="both"/>
              <w:rPr>
                <w:sz w:val="16"/>
                <w:szCs w:val="16"/>
              </w:rPr>
            </w:pPr>
            <w:r>
              <w:rPr>
                <w:rFonts w:ascii="Times New Roman" w:eastAsia="Times New Roman" w:hAnsi="Times New Roman" w:cs="Times New Roman"/>
                <w:sz w:val="16"/>
                <w:szCs w:val="16"/>
              </w:rPr>
              <w:t>noreste y occidental de Estados</w:t>
            </w:r>
          </w:p>
        </w:tc>
        <w:tc>
          <w:tcPr>
            <w:tcW w:w="1354" w:type="dxa"/>
            <w:shd w:val="clear" w:color="auto" w:fill="FFFFFF"/>
          </w:tcPr>
          <w:p w14:paraId="1901F498" w14:textId="77777777" w:rsidR="0072615D" w:rsidRDefault="0072615D">
            <w:pPr>
              <w:rPr>
                <w:sz w:val="10"/>
                <w:szCs w:val="10"/>
              </w:rPr>
            </w:pPr>
          </w:p>
        </w:tc>
      </w:tr>
      <w:tr w:rsidR="0072615D" w14:paraId="60FBCEC0" w14:textId="77777777">
        <w:tblPrEx>
          <w:tblCellMar>
            <w:top w:w="0" w:type="dxa"/>
            <w:bottom w:w="0" w:type="dxa"/>
          </w:tblCellMar>
        </w:tblPrEx>
        <w:trPr>
          <w:trHeight w:hRule="exact" w:val="643"/>
          <w:jc w:val="center"/>
        </w:trPr>
        <w:tc>
          <w:tcPr>
            <w:tcW w:w="2544" w:type="dxa"/>
            <w:shd w:val="clear" w:color="auto" w:fill="FFFFFF"/>
          </w:tcPr>
          <w:p w14:paraId="5DE14128" w14:textId="77777777" w:rsidR="0072615D" w:rsidRDefault="0072615D">
            <w:pPr>
              <w:rPr>
                <w:sz w:val="10"/>
                <w:szCs w:val="10"/>
              </w:rPr>
            </w:pPr>
          </w:p>
        </w:tc>
        <w:tc>
          <w:tcPr>
            <w:tcW w:w="3024" w:type="dxa"/>
            <w:shd w:val="clear" w:color="auto" w:fill="FFFFFF"/>
          </w:tcPr>
          <w:p w14:paraId="258D930B" w14:textId="77777777" w:rsidR="0072615D" w:rsidRDefault="0072615D">
            <w:pPr>
              <w:pStyle w:val="Other0"/>
              <w:spacing w:line="283" w:lineRule="auto"/>
              <w:ind w:left="260" w:firstLine="0"/>
              <w:jc w:val="both"/>
              <w:rPr>
                <w:sz w:val="16"/>
                <w:szCs w:val="16"/>
              </w:rPr>
            </w:pPr>
            <w:r>
              <w:rPr>
                <w:rFonts w:ascii="Times New Roman" w:eastAsia="Times New Roman" w:hAnsi="Times New Roman" w:cs="Times New Roman"/>
                <w:sz w:val="16"/>
                <w:szCs w:val="16"/>
              </w:rPr>
              <w:t>Unidos; Manitoba y región meridional de Ontario; zona del Caribe;</w:t>
            </w:r>
          </w:p>
          <w:p w14:paraId="434EDBF8" w14:textId="77777777" w:rsidR="0072615D" w:rsidRDefault="0072615D">
            <w:pPr>
              <w:pStyle w:val="Other0"/>
              <w:spacing w:line="283" w:lineRule="auto"/>
              <w:ind w:left="260" w:firstLine="0"/>
              <w:jc w:val="both"/>
              <w:rPr>
                <w:sz w:val="16"/>
                <w:szCs w:val="16"/>
              </w:rPr>
            </w:pPr>
            <w:r>
              <w:rPr>
                <w:rFonts w:ascii="Times New Roman" w:eastAsia="Times New Roman" w:hAnsi="Times New Roman" w:cs="Times New Roman"/>
                <w:sz w:val="16"/>
                <w:szCs w:val="16"/>
              </w:rPr>
              <w:t>América del Sur</w:t>
            </w:r>
          </w:p>
        </w:tc>
        <w:tc>
          <w:tcPr>
            <w:tcW w:w="1354" w:type="dxa"/>
            <w:shd w:val="clear" w:color="auto" w:fill="FFFFFF"/>
          </w:tcPr>
          <w:p w14:paraId="4359A42B"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4-14</w:t>
            </w:r>
          </w:p>
        </w:tc>
      </w:tr>
      <w:tr w:rsidR="0072615D" w14:paraId="18829CC0" w14:textId="77777777">
        <w:tblPrEx>
          <w:tblCellMar>
            <w:top w:w="0" w:type="dxa"/>
            <w:bottom w:w="0" w:type="dxa"/>
          </w:tblCellMar>
        </w:tblPrEx>
        <w:trPr>
          <w:trHeight w:hRule="exact" w:val="442"/>
          <w:jc w:val="center"/>
        </w:trPr>
        <w:tc>
          <w:tcPr>
            <w:tcW w:w="2544" w:type="dxa"/>
            <w:shd w:val="clear" w:color="auto" w:fill="FFFFFF"/>
            <w:vAlign w:val="bottom"/>
          </w:tcPr>
          <w:p w14:paraId="37378061" w14:textId="77777777" w:rsidR="0072615D" w:rsidRDefault="0072615D">
            <w:pPr>
              <w:pStyle w:val="Other0"/>
              <w:spacing w:line="283" w:lineRule="auto"/>
              <w:ind w:left="200" w:hanging="200"/>
              <w:rPr>
                <w:sz w:val="16"/>
                <w:szCs w:val="16"/>
              </w:rPr>
            </w:pPr>
            <w:r>
              <w:rPr>
                <w:rFonts w:ascii="Times New Roman" w:eastAsia="Times New Roman" w:hAnsi="Times New Roman" w:cs="Times New Roman"/>
                <w:sz w:val="16"/>
                <w:szCs w:val="16"/>
              </w:rPr>
              <w:t>Virus de la encefalitis equina venezolana (VEE)</w:t>
            </w:r>
          </w:p>
        </w:tc>
        <w:tc>
          <w:tcPr>
            <w:tcW w:w="3024" w:type="dxa"/>
            <w:shd w:val="clear" w:color="auto" w:fill="FFFFFF"/>
          </w:tcPr>
          <w:p w14:paraId="6744E0E7" w14:textId="77777777" w:rsidR="0072615D" w:rsidRDefault="0072615D">
            <w:pPr>
              <w:pStyle w:val="Other0"/>
              <w:spacing w:line="240" w:lineRule="auto"/>
              <w:ind w:firstLine="140"/>
              <w:jc w:val="both"/>
              <w:rPr>
                <w:sz w:val="16"/>
                <w:szCs w:val="16"/>
              </w:rPr>
            </w:pPr>
            <w:r>
              <w:rPr>
                <w:rFonts w:ascii="Times New Roman" w:eastAsia="Times New Roman" w:hAnsi="Times New Roman" w:cs="Times New Roman"/>
                <w:sz w:val="16"/>
                <w:szCs w:val="16"/>
              </w:rPr>
              <w:t>América Central y del Sur</w:t>
            </w:r>
          </w:p>
        </w:tc>
        <w:tc>
          <w:tcPr>
            <w:tcW w:w="1354" w:type="dxa"/>
            <w:shd w:val="clear" w:color="auto" w:fill="FFFFFF"/>
          </w:tcPr>
          <w:p w14:paraId="5874EBB0"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1-4</w:t>
            </w:r>
          </w:p>
        </w:tc>
      </w:tr>
      <w:tr w:rsidR="0072615D" w14:paraId="3217B0B8" w14:textId="77777777">
        <w:tblPrEx>
          <w:tblCellMar>
            <w:top w:w="0" w:type="dxa"/>
            <w:bottom w:w="0" w:type="dxa"/>
          </w:tblCellMar>
        </w:tblPrEx>
        <w:trPr>
          <w:trHeight w:hRule="exact" w:val="221"/>
          <w:jc w:val="center"/>
        </w:trPr>
        <w:tc>
          <w:tcPr>
            <w:tcW w:w="2544" w:type="dxa"/>
            <w:shd w:val="clear" w:color="auto" w:fill="FFFFFF"/>
            <w:vAlign w:val="bottom"/>
          </w:tcPr>
          <w:p w14:paraId="65C4351C"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la encefalitis equina</w:t>
            </w:r>
          </w:p>
        </w:tc>
        <w:tc>
          <w:tcPr>
            <w:tcW w:w="3024" w:type="dxa"/>
            <w:shd w:val="clear" w:color="auto" w:fill="FFFFFF"/>
            <w:vAlign w:val="bottom"/>
          </w:tcPr>
          <w:p w14:paraId="33365854"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Regiones central y occidental de Estados</w:t>
            </w:r>
          </w:p>
        </w:tc>
        <w:tc>
          <w:tcPr>
            <w:tcW w:w="1354" w:type="dxa"/>
            <w:shd w:val="clear" w:color="auto" w:fill="FFFFFF"/>
            <w:vAlign w:val="bottom"/>
          </w:tcPr>
          <w:p w14:paraId="46E74A3C"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2-10</w:t>
            </w:r>
          </w:p>
        </w:tc>
      </w:tr>
      <w:tr w:rsidR="0072615D" w14:paraId="11E76B0B" w14:textId="77777777">
        <w:tblPrEx>
          <w:tblCellMar>
            <w:top w:w="0" w:type="dxa"/>
            <w:bottom w:w="0" w:type="dxa"/>
          </w:tblCellMar>
        </w:tblPrEx>
        <w:trPr>
          <w:trHeight w:hRule="exact" w:val="418"/>
          <w:jc w:val="center"/>
        </w:trPr>
        <w:tc>
          <w:tcPr>
            <w:tcW w:w="2544" w:type="dxa"/>
            <w:shd w:val="clear" w:color="auto" w:fill="FFFFFF"/>
          </w:tcPr>
          <w:p w14:paraId="51E36347"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de la región occidental (WEE)</w:t>
            </w:r>
          </w:p>
        </w:tc>
        <w:tc>
          <w:tcPr>
            <w:tcW w:w="3024" w:type="dxa"/>
            <w:shd w:val="clear" w:color="auto" w:fill="FFFFFF"/>
          </w:tcPr>
          <w:p w14:paraId="1B646BDE" w14:textId="77777777" w:rsidR="0072615D" w:rsidRDefault="0072615D">
            <w:pPr>
              <w:pStyle w:val="Other0"/>
              <w:spacing w:line="240" w:lineRule="auto"/>
              <w:ind w:firstLine="260"/>
              <w:jc w:val="both"/>
              <w:rPr>
                <w:sz w:val="16"/>
                <w:szCs w:val="16"/>
              </w:rPr>
            </w:pPr>
            <w:r>
              <w:rPr>
                <w:rFonts w:ascii="Times New Roman" w:eastAsia="Times New Roman" w:hAnsi="Times New Roman" w:cs="Times New Roman"/>
                <w:sz w:val="16"/>
                <w:szCs w:val="16"/>
              </w:rPr>
              <w:t>Unidos; Canadá; Argentina, Uruguay</w:t>
            </w:r>
          </w:p>
          <w:p w14:paraId="768AEBA7" w14:textId="77777777" w:rsidR="0072615D" w:rsidRDefault="0072615D">
            <w:pPr>
              <w:pStyle w:val="Other0"/>
              <w:spacing w:line="240" w:lineRule="auto"/>
              <w:ind w:firstLine="260"/>
              <w:jc w:val="both"/>
              <w:rPr>
                <w:sz w:val="16"/>
                <w:szCs w:val="16"/>
              </w:rPr>
            </w:pPr>
            <w:r>
              <w:rPr>
                <w:rFonts w:ascii="Times New Roman" w:eastAsia="Times New Roman" w:hAnsi="Times New Roman" w:cs="Times New Roman"/>
                <w:sz w:val="16"/>
                <w:szCs w:val="16"/>
              </w:rPr>
              <w:t>Brasil</w:t>
            </w:r>
          </w:p>
        </w:tc>
        <w:tc>
          <w:tcPr>
            <w:tcW w:w="1354" w:type="dxa"/>
            <w:shd w:val="clear" w:color="auto" w:fill="FFFFFF"/>
          </w:tcPr>
          <w:p w14:paraId="4A7F54DC" w14:textId="77777777" w:rsidR="0072615D" w:rsidRDefault="0072615D">
            <w:pPr>
              <w:rPr>
                <w:sz w:val="10"/>
                <w:szCs w:val="10"/>
              </w:rPr>
            </w:pPr>
          </w:p>
        </w:tc>
      </w:tr>
      <w:tr w:rsidR="0072615D" w14:paraId="60C431DA" w14:textId="77777777">
        <w:tblPrEx>
          <w:tblCellMar>
            <w:top w:w="0" w:type="dxa"/>
            <w:bottom w:w="0" w:type="dxa"/>
          </w:tblCellMar>
        </w:tblPrEx>
        <w:trPr>
          <w:trHeight w:hRule="exact" w:val="547"/>
          <w:jc w:val="center"/>
        </w:trPr>
        <w:tc>
          <w:tcPr>
            <w:tcW w:w="2544" w:type="dxa"/>
            <w:tcBorders>
              <w:bottom w:val="single" w:sz="4" w:space="0" w:color="auto"/>
            </w:tcBorders>
            <w:shd w:val="clear" w:color="auto" w:fill="FFFFFF"/>
          </w:tcPr>
          <w:p w14:paraId="760246C8"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Virus de la encefalitis del</w:t>
            </w:r>
          </w:p>
          <w:p w14:paraId="506252ED"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Nilo occidental</w:t>
            </w:r>
          </w:p>
        </w:tc>
        <w:tc>
          <w:tcPr>
            <w:tcW w:w="3024" w:type="dxa"/>
            <w:tcBorders>
              <w:bottom w:val="single" w:sz="4" w:space="0" w:color="auto"/>
            </w:tcBorders>
            <w:shd w:val="clear" w:color="auto" w:fill="FFFFFF"/>
          </w:tcPr>
          <w:p w14:paraId="67143A11" w14:textId="77777777" w:rsidR="0072615D" w:rsidRDefault="0072615D">
            <w:pPr>
              <w:pStyle w:val="Other0"/>
              <w:spacing w:line="240" w:lineRule="auto"/>
              <w:ind w:firstLine="140"/>
              <w:rPr>
                <w:sz w:val="16"/>
                <w:szCs w:val="16"/>
              </w:rPr>
            </w:pPr>
            <w:r>
              <w:rPr>
                <w:rFonts w:ascii="Times New Roman" w:eastAsia="Times New Roman" w:hAnsi="Times New Roman" w:cs="Times New Roman"/>
                <w:sz w:val="16"/>
                <w:szCs w:val="16"/>
              </w:rPr>
              <w:t>Asia; África, Europa; Estados Unidos</w:t>
            </w:r>
          </w:p>
        </w:tc>
        <w:tc>
          <w:tcPr>
            <w:tcW w:w="1354" w:type="dxa"/>
            <w:tcBorders>
              <w:bottom w:val="single" w:sz="4" w:space="0" w:color="auto"/>
            </w:tcBorders>
            <w:shd w:val="clear" w:color="auto" w:fill="FFFFFF"/>
          </w:tcPr>
          <w:p w14:paraId="0E049491" w14:textId="77777777" w:rsidR="0072615D" w:rsidRDefault="0072615D">
            <w:pPr>
              <w:pStyle w:val="Other0"/>
              <w:spacing w:line="240" w:lineRule="auto"/>
              <w:ind w:firstLine="380"/>
              <w:rPr>
                <w:sz w:val="16"/>
                <w:szCs w:val="16"/>
              </w:rPr>
            </w:pPr>
            <w:r>
              <w:rPr>
                <w:rFonts w:ascii="Times New Roman" w:eastAsia="Times New Roman" w:hAnsi="Times New Roman" w:cs="Times New Roman"/>
                <w:sz w:val="16"/>
                <w:szCs w:val="16"/>
              </w:rPr>
              <w:t>5-15</w:t>
            </w:r>
          </w:p>
        </w:tc>
      </w:tr>
    </w:tbl>
    <w:p w14:paraId="61B9545B" w14:textId="77777777" w:rsidR="0072615D" w:rsidRDefault="0072615D">
      <w:pPr>
        <w:pStyle w:val="Tablecaption0"/>
        <w:numPr>
          <w:ilvl w:val="0"/>
          <w:numId w:val="54"/>
        </w:numPr>
        <w:tabs>
          <w:tab w:val="left" w:pos="-67"/>
        </w:tabs>
        <w:spacing w:line="233" w:lineRule="auto"/>
        <w:ind w:left="19"/>
      </w:pPr>
      <w:r>
        <w:t>A pesar de que se les nombra como agentes de encefalitis, dichas infecciones por arbovirus pueden ocasionar encefalitis, meningitis aséptica, mielitis, parálisis u otros signos de ataque del sistema nervioso o enfermedades sistémicas.</w:t>
      </w:r>
    </w:p>
    <w:p w14:paraId="1DE610EF" w14:textId="77777777" w:rsidR="0072615D" w:rsidRDefault="0072615D">
      <w:pPr>
        <w:pStyle w:val="Tablecaption0"/>
        <w:numPr>
          <w:ilvl w:val="0"/>
          <w:numId w:val="54"/>
        </w:numPr>
        <w:tabs>
          <w:tab w:val="left" w:pos="187"/>
        </w:tabs>
        <w:spacing w:line="202" w:lineRule="auto"/>
        <w:ind w:left="19"/>
      </w:pPr>
      <w:r>
        <w:t>Todos son transmitidos por mosquitos, excepto el virus de encefalitis Powassan que lo es por garrapatas.</w:t>
      </w:r>
    </w:p>
    <w:p w14:paraId="1E246D8E" w14:textId="77777777" w:rsidR="0072615D" w:rsidRDefault="0072615D">
      <w:pPr>
        <w:spacing w:after="299" w:line="1" w:lineRule="exact"/>
      </w:pPr>
    </w:p>
    <w:p w14:paraId="768B940F" w14:textId="77777777" w:rsidR="0072615D" w:rsidRDefault="0072615D">
      <w:pPr>
        <w:pStyle w:val="BodyText"/>
        <w:ind w:firstLine="0"/>
      </w:pPr>
      <w:r>
        <w:t>se manifiesta en la forma de una enfermedad febril imprecisa que se acompaña de erupción, artritis, mialgias, debilidad, linfadenopatía y meningoencefalitis. La tasa de mortalidad se acerca a 5% y la muerte se observa más bien en ancianos.</w:t>
      </w:r>
    </w:p>
    <w:p w14:paraId="63BBFB7C" w14:textId="77777777" w:rsidR="0072615D" w:rsidRDefault="0072615D">
      <w:pPr>
        <w:pStyle w:val="BodyText"/>
        <w:ind w:firstLine="380"/>
      </w:pPr>
      <w:r>
        <w:rPr>
          <w:b/>
          <w:bCs/>
        </w:rPr>
        <w:t xml:space="preserve">El virus de encefalitis japonesa </w:t>
      </w:r>
      <w:r>
        <w:rPr>
          <w:i/>
          <w:iCs/>
        </w:rPr>
        <w:t>(</w:t>
      </w:r>
      <w:r>
        <w:rPr>
          <w:rFonts w:ascii="Times New Roman" w:eastAsia="Times New Roman" w:hAnsi="Times New Roman" w:cs="Times New Roman"/>
          <w:i/>
          <w:iCs/>
          <w:sz w:val="16"/>
          <w:szCs w:val="16"/>
        </w:rPr>
        <w:t>Japanese encephalitis,</w:t>
      </w:r>
      <w:r>
        <w:t xml:space="preserve"> JE) origina una encefalitis intensa, con distribución geográfica en Asia. La encefalitis japonesa se caracteriza por coma, convulsiones, parálisis, movimientos anormales y la muerte en 33% de los pacientes. En 40% de los sobrevivientes quedan secuelas graves. Casi todas las infecciones son asintomáticas.</w:t>
      </w:r>
    </w:p>
    <w:p w14:paraId="3DAB9D96" w14:textId="77777777" w:rsidR="0072615D" w:rsidRDefault="0072615D">
      <w:pPr>
        <w:pStyle w:val="BodyText"/>
        <w:ind w:firstLine="380"/>
      </w:pPr>
      <w:r>
        <w:t>Se conocen algunos arbovirus en el hemisferio occidental que se vinculan con enfermedades febriles agudas y fiebres hemorrágicas; las partículas en cuestión no se caracterizan por originar encefalitis (cuadro 3-2).</w:t>
      </w:r>
    </w:p>
    <w:p w14:paraId="7BC95FA7" w14:textId="77777777" w:rsidR="0072615D" w:rsidRDefault="0072615D">
      <w:pPr>
        <w:pStyle w:val="BodyText"/>
        <w:ind w:firstLine="380"/>
      </w:pPr>
      <w:r>
        <w:rPr>
          <w:b/>
          <w:bCs/>
        </w:rPr>
        <w:t xml:space="preserve">La fiebre por garrapatas de Colorado </w:t>
      </w:r>
      <w:r>
        <w:rPr>
          <w:i/>
          <w:iCs/>
        </w:rPr>
        <w:t>(</w:t>
      </w:r>
      <w:r>
        <w:rPr>
          <w:rFonts w:ascii="Times New Roman" w:eastAsia="Times New Roman" w:hAnsi="Times New Roman" w:cs="Times New Roman"/>
          <w:i/>
          <w:iCs/>
          <w:sz w:val="16"/>
          <w:szCs w:val="16"/>
        </w:rPr>
        <w:t>Colorado tick fever</w:t>
      </w:r>
      <w:r>
        <w:rPr>
          <w:i/>
          <w:iCs/>
        </w:rPr>
        <w:t>,</w:t>
      </w:r>
      <w:r>
        <w:t xml:space="preserve"> CTF) es un trastorno que cede por sí solo y que incluye fiebre, escalofríos, mialgias, artralgias, cefalea intensa y dolor en los ojos. La enfermedad es bifásica en la mitad de los casos y puede complicarse con encefalitis, miocarditis y, en raras ocasiones, enfermedad sistémica letal con hemorragia. Algunos de los signos característicos del padecimiento son leucopenia</w:t>
      </w:r>
      <w:r>
        <w:br w:type="page"/>
        <w:t>transitoria pero notable, trombocitopenia y anemia atribuible a la infección de elementos de la médula ósea.</w:t>
      </w:r>
    </w:p>
    <w:p w14:paraId="7767738A" w14:textId="77777777" w:rsidR="0072615D" w:rsidRDefault="0072615D">
      <w:pPr>
        <w:pStyle w:val="BodyText"/>
        <w:ind w:firstLine="360"/>
      </w:pPr>
      <w:r>
        <w:t xml:space="preserve">La infección con cualquiera de los cuatro serotipos del virus de </w:t>
      </w:r>
      <w:r>
        <w:rPr>
          <w:b/>
          <w:bCs/>
        </w:rPr>
        <w:t xml:space="preserve">dengue </w:t>
      </w:r>
      <w:r>
        <w:t>origina el dengue, cuadro febril agudo que incluye cefalea, dolor retroorbitario, mialgias, artralgias, erupciones, náuseas y vómitos. Los criterios para diagnosticar el dengue hemorrágico (dengue hemorrhagic fever, DHF) incluyen fiebre, cualquier hemorragia que incluya epistaxis y hemorragia de encías, trombocitopenia (100 plaquetas o menos x 10</w:t>
      </w:r>
      <w:r>
        <w:rPr>
          <w:rFonts w:ascii="Times New Roman" w:eastAsia="Times New Roman" w:hAnsi="Times New Roman" w:cs="Times New Roman"/>
          <w:sz w:val="11"/>
          <w:szCs w:val="11"/>
        </w:rPr>
        <w:t>3</w:t>
      </w:r>
      <w:r>
        <w:t>/L [</w:t>
      </w:r>
      <w:r>
        <w:rPr>
          <w:rFonts w:ascii="Arial" w:eastAsia="Arial" w:hAnsi="Arial" w:cs="Arial"/>
        </w:rPr>
        <w:t>&lt;</w:t>
      </w:r>
      <w:r>
        <w:t>100 x 10</w:t>
      </w:r>
      <w:r>
        <w:rPr>
          <w:rFonts w:ascii="Times New Roman" w:eastAsia="Times New Roman" w:hAnsi="Times New Roman" w:cs="Times New Roman"/>
          <w:sz w:val="11"/>
          <w:szCs w:val="11"/>
        </w:rPr>
        <w:t>9</w:t>
      </w:r>
      <w:r>
        <w:t>/L]) y mayor fragilidad y permeabilidad capilares. El paso de líquido a los espacios intersticial, pleural y peritoneal origina hemoconcentración, derrame pleural y choque agudo. El dengue hemorrágico es letal en 33% de personas no tratadas, pero lo es en menos de 3% de los casos tratados con fluidoterapia intensiva. Entre las complicaciones están encefalopatía, hepatitis, miocardiopatía, hemorragia en la porción superior de vías gastrointestinales y neumonía. La infección de la gestante en el tercer trimestre puede ser seguida de enfermedad aguda en fase perinatal, con hemorragia.</w:t>
      </w:r>
    </w:p>
    <w:p w14:paraId="56C8684C" w14:textId="77777777" w:rsidR="0072615D" w:rsidRDefault="0072615D">
      <w:pPr>
        <w:pStyle w:val="BodyText"/>
        <w:ind w:firstLine="360"/>
      </w:pPr>
      <w:r>
        <w:rPr>
          <w:b/>
          <w:bCs/>
        </w:rPr>
        <w:t xml:space="preserve">La fiebre amarilla </w:t>
      </w:r>
      <w:r>
        <w:rPr>
          <w:i/>
          <w:iCs/>
        </w:rPr>
        <w:t>(</w:t>
      </w:r>
      <w:r>
        <w:rPr>
          <w:rFonts w:ascii="Times New Roman" w:eastAsia="Times New Roman" w:hAnsi="Times New Roman" w:cs="Times New Roman"/>
          <w:i/>
          <w:iCs/>
          <w:sz w:val="16"/>
          <w:szCs w:val="16"/>
        </w:rPr>
        <w:t>yellow fever</w:t>
      </w:r>
      <w:r>
        <w:rPr>
          <w:i/>
          <w:iCs/>
        </w:rPr>
        <w:t>,</w:t>
      </w:r>
      <w:r>
        <w:t xml:space="preserve"> YF) pasa por tres periodos: va desde un cuadro febril inespecífico con cefalea, malestar generalizado, debilidad, náuseas y vómitos para seguir con un lapso breve de remisión y luego llegar a un cuadro de fiebre hemorrágica con hemorragia de vías gastrointestinales y hematemesis, ictericia, hemorragia, inestabilidad cardiovascular, albuminuria, oliguria y miocarditis; la mitad de los pacientes mueren.</w:t>
      </w:r>
    </w:p>
    <w:p w14:paraId="61560C7D" w14:textId="77777777" w:rsidR="0072615D" w:rsidRDefault="0072615D">
      <w:pPr>
        <w:pStyle w:val="BodyText"/>
        <w:spacing w:after="260"/>
        <w:ind w:firstLine="360"/>
      </w:pPr>
      <w:r>
        <w:t>La fiebre por virus Mayaro y Oropouche aparecen en zonas de América Central y del Sur; ambas causan un síndrome febril similar al de la influenza (gripa).</w:t>
      </w:r>
    </w:p>
    <w:p w14:paraId="3D2A124B" w14:textId="77777777" w:rsidR="0072615D" w:rsidRDefault="0072615D">
      <w:pPr>
        <w:pStyle w:val="Heading31"/>
        <w:keepNext/>
        <w:keepLines/>
        <w:spacing w:after="320" w:line="211" w:lineRule="auto"/>
        <w:jc w:val="center"/>
      </w:pPr>
      <w:r>
        <w:rPr>
          <w:noProof/>
        </w:rPr>
        <mc:AlternateContent>
          <mc:Choice Requires="wps">
            <w:drawing>
              <wp:anchor distT="0" distB="0" distL="114300" distR="114300" simplePos="0" relativeHeight="251692032" behindDoc="0" locked="0" layoutInCell="1" allowOverlap="1" wp14:anchorId="16069C7A" wp14:editId="16ADABB3">
                <wp:simplePos x="0" y="0"/>
                <wp:positionH relativeFrom="page">
                  <wp:posOffset>4189095</wp:posOffset>
                </wp:positionH>
                <wp:positionV relativeFrom="paragraph">
                  <wp:posOffset>584200</wp:posOffset>
                </wp:positionV>
                <wp:extent cx="588010" cy="475615"/>
                <wp:effectExtent l="0" t="0" r="0" b="0"/>
                <wp:wrapSquare wrapText="left"/>
                <wp:docPr id="486" name="Shape 486"/>
                <wp:cNvGraphicFramePr/>
                <a:graphic xmlns:a="http://schemas.openxmlformats.org/drawingml/2006/main">
                  <a:graphicData uri="http://schemas.microsoft.com/office/word/2010/wordprocessingShape">
                    <wps:wsp>
                      <wps:cNvSpPr txBox="1"/>
                      <wps:spPr>
                        <a:xfrm>
                          <a:off x="0" y="0"/>
                          <a:ext cx="588010" cy="475615"/>
                        </a:xfrm>
                        <a:prstGeom prst="rect">
                          <a:avLst/>
                        </a:prstGeom>
                        <a:solidFill>
                          <a:srgbClr val="231F20"/>
                        </a:solidFill>
                      </wps:spPr>
                      <wps:txbx>
                        <w:txbxContent>
                          <w:p w14:paraId="57130B11"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6" w:lineRule="auto"/>
                              <w:ind w:firstLine="0"/>
                              <w:rPr>
                                <w:sz w:val="24"/>
                                <w:szCs w:val="24"/>
                              </w:rPr>
                            </w:pPr>
                            <w:r>
                              <w:rPr>
                                <w:rFonts w:ascii="Arial" w:eastAsia="Arial" w:hAnsi="Arial" w:cs="Arial"/>
                                <w:b/>
                                <w:bCs/>
                                <w:color w:val="FFFFFF"/>
                                <w:w w:val="70"/>
                                <w:sz w:val="24"/>
                                <w:szCs w:val="24"/>
                              </w:rPr>
                              <w:t>Periodo de incubación en días</w:t>
                            </w:r>
                          </w:p>
                        </w:txbxContent>
                      </wps:txbx>
                      <wps:bodyPr lIns="0" tIns="0" rIns="0" bIns="0"/>
                    </wps:wsp>
                  </a:graphicData>
                </a:graphic>
              </wp:anchor>
            </w:drawing>
          </mc:Choice>
          <mc:Fallback>
            <w:pict>
              <v:shape w14:anchorId="16069C7A" id="Shape 486" o:spid="_x0000_s1058" type="#_x0000_t202" style="position:absolute;left:0;text-align:left;margin-left:329.85pt;margin-top:46pt;width:46.3pt;height:37.45pt;z-index:2516920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" fillcolor="#231f20" stroked="f">
                <v:textbox inset="0,0,0,0">
                  <w:txbxContent>
                    <w:p w14:paraId="57130B11" w14:textId="77777777" w:rsidR="0072615D" w:rsidRDefault="0072615D">
                      <w:pPr>
                        <w:pStyle w:val="Other0"/>
                        <w:pBdr>
                          <w:top w:val="single" w:sz="0" w:space="0" w:color="231F20"/>
                          <w:left w:val="single" w:sz="0" w:space="0" w:color="231F20"/>
                          <w:bottom w:val="single" w:sz="0" w:space="0" w:color="231F20"/>
                          <w:right w:val="single" w:sz="0" w:space="0" w:color="231F20"/>
                        </w:pBdr>
                        <w:shd w:val="clear" w:color="auto" w:fill="231F20"/>
                        <w:spacing w:line="206" w:lineRule="auto"/>
                        <w:ind w:firstLine="0"/>
                        <w:rPr>
                          <w:sz w:val="24"/>
                          <w:szCs w:val="24"/>
                        </w:rPr>
                      </w:pPr>
                      <w:r>
                        <w:rPr>
                          <w:rFonts w:ascii="Arial" w:eastAsia="Arial" w:hAnsi="Arial" w:cs="Arial"/>
                          <w:b/>
                          <w:bCs/>
                          <w:color w:val="FFFFFF"/>
                          <w:w w:val="70"/>
                          <w:sz w:val="24"/>
                          <w:szCs w:val="24"/>
                        </w:rPr>
                        <w:t>Periodo de incubación en días</w:t>
                      </w:r>
                    </w:p>
                  </w:txbxContent>
                </v:textbox>
                <w10:wrap type="square" side="left" anchorx="page"/>
              </v:shape>
            </w:pict>
          </mc:Fallback>
        </mc:AlternateContent>
      </w:r>
      <w:bookmarkStart w:id="599" w:name="bookmark599"/>
      <w:bookmarkStart w:id="600" w:name="bookmark600"/>
      <w:bookmarkStart w:id="601" w:name="bookmark601"/>
      <w:r>
        <w:rPr>
          <w:b w:val="0"/>
          <w:bCs w:val="0"/>
        </w:rPr>
        <w:t xml:space="preserve">Cuadro 3-2. </w:t>
      </w:r>
      <w:r>
        <w:t>Enfermedades febriles agudas y fiebres hemorrágicas</w:t>
      </w:r>
      <w:r>
        <w:br/>
        <w:t>que no se caracterizan por encefalitis, causadas por arbovirus</w:t>
      </w:r>
      <w:r>
        <w:br/>
        <w:t>en el hemisferio occidental</w:t>
      </w:r>
      <w:bookmarkEnd w:id="599"/>
      <w:bookmarkEnd w:id="600"/>
      <w:bookmarkEnd w:id="601"/>
    </w:p>
    <w:p w14:paraId="120C9CE4" w14:textId="77777777" w:rsidR="0072615D" w:rsidRDefault="0072615D">
      <w:pPr>
        <w:pStyle w:val="Heading41"/>
        <w:keepNext/>
        <w:keepLines/>
        <w:pBdr>
          <w:top w:val="single" w:sz="0" w:space="0" w:color="231F20"/>
          <w:left w:val="single" w:sz="0" w:space="0" w:color="231F20"/>
          <w:bottom w:val="single" w:sz="0" w:space="0" w:color="231F20"/>
          <w:right w:val="single" w:sz="0" w:space="0" w:color="231F20"/>
        </w:pBdr>
        <w:shd w:val="clear" w:color="auto" w:fill="231F20"/>
        <w:ind w:left="1460"/>
      </w:pPr>
      <w:bookmarkStart w:id="602" w:name="bookmark604"/>
      <w:r>
        <w:rPr>
          <w:color w:val="FFFFFF"/>
        </w:rPr>
        <w:t>Distribución geográfica</w:t>
      </w:r>
      <w:bookmarkEnd w:id="602"/>
    </w:p>
    <w:p w14:paraId="08EBA1E9" w14:textId="77777777" w:rsidR="0072615D" w:rsidRDefault="0072615D">
      <w:pPr>
        <w:pStyle w:val="Heading41"/>
        <w:keepNext/>
        <w:keepLines/>
        <w:pBdr>
          <w:top w:val="single" w:sz="0" w:space="0" w:color="231F20"/>
          <w:left w:val="single" w:sz="0" w:space="0" w:color="231F20"/>
          <w:bottom w:val="single" w:sz="0" w:space="0" w:color="231F20"/>
          <w:right w:val="single" w:sz="0" w:space="0" w:color="231F20"/>
        </w:pBdr>
        <w:shd w:val="clear" w:color="auto" w:fill="231F20"/>
        <w:tabs>
          <w:tab w:val="left" w:pos="3682"/>
        </w:tabs>
        <w:spacing w:after="120" w:line="211" w:lineRule="auto"/>
      </w:pPr>
      <w:bookmarkStart w:id="603" w:name="bookmark602"/>
      <w:bookmarkStart w:id="604" w:name="bookmark603"/>
      <w:bookmarkStart w:id="605" w:name="bookmark605"/>
      <w:r>
        <w:rPr>
          <w:color w:val="FFFFFF"/>
        </w:rPr>
        <w:t>Enfermedad</w:t>
      </w:r>
      <w:r>
        <w:rPr>
          <w:color w:val="FFFFFF"/>
          <w:vertAlign w:val="superscript"/>
        </w:rPr>
        <w:t>1</w:t>
      </w:r>
      <w:r>
        <w:rPr>
          <w:color w:val="FFFFFF"/>
        </w:rPr>
        <w:t xml:space="preserve"> del virus</w:t>
      </w:r>
      <w:r>
        <w:rPr>
          <w:color w:val="FFFFFF"/>
        </w:rPr>
        <w:tab/>
        <w:t>Síndrome clínico</w:t>
      </w:r>
      <w:bookmarkEnd w:id="603"/>
      <w:bookmarkEnd w:id="604"/>
      <w:bookmarkEnd w:id="605"/>
    </w:p>
    <w:tbl>
      <w:tblPr>
        <w:tblOverlap w:val="never"/>
        <w:tblW w:w="0" w:type="auto"/>
        <w:jc w:val="center"/>
        <w:tblLayout w:type="fixed"/>
        <w:tblCellMar>
          <w:left w:w="10" w:type="dxa"/>
          <w:right w:w="10" w:type="dxa"/>
        </w:tblCellMar>
        <w:tblLook w:val="04A0" w:firstRow="1" w:lastRow="0" w:firstColumn="1" w:lastColumn="0" w:noHBand="0" w:noVBand="1"/>
      </w:tblPr>
      <w:tblGrid>
        <w:gridCol w:w="1291"/>
        <w:gridCol w:w="2246"/>
        <w:gridCol w:w="2395"/>
        <w:gridCol w:w="466"/>
      </w:tblGrid>
      <w:tr w:rsidR="0072615D" w14:paraId="7DD49ABE" w14:textId="77777777">
        <w:tblPrEx>
          <w:tblCellMar>
            <w:top w:w="0" w:type="dxa"/>
            <w:bottom w:w="0" w:type="dxa"/>
          </w:tblCellMar>
        </w:tblPrEx>
        <w:trPr>
          <w:trHeight w:hRule="exact" w:val="216"/>
          <w:jc w:val="center"/>
        </w:trPr>
        <w:tc>
          <w:tcPr>
            <w:tcW w:w="1291" w:type="dxa"/>
            <w:shd w:val="clear" w:color="auto" w:fill="FFFFFF"/>
          </w:tcPr>
          <w:p w14:paraId="52AF1B4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Fiebre por</w:t>
            </w:r>
          </w:p>
        </w:tc>
        <w:tc>
          <w:tcPr>
            <w:tcW w:w="2246" w:type="dxa"/>
            <w:shd w:val="clear" w:color="auto" w:fill="FFFFFF"/>
          </w:tcPr>
          <w:p w14:paraId="22B605A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Dakota del Sur, estados en</w:t>
            </w:r>
          </w:p>
        </w:tc>
        <w:tc>
          <w:tcPr>
            <w:tcW w:w="2395" w:type="dxa"/>
            <w:shd w:val="clear" w:color="auto" w:fill="FFFFFF"/>
          </w:tcPr>
          <w:p w14:paraId="3C048EF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Enfermedad febril que puede</w:t>
            </w:r>
          </w:p>
        </w:tc>
        <w:tc>
          <w:tcPr>
            <w:tcW w:w="466" w:type="dxa"/>
            <w:shd w:val="clear" w:color="auto" w:fill="FFFFFF"/>
          </w:tcPr>
          <w:p w14:paraId="15EE9B9D"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1-14</w:t>
            </w:r>
          </w:p>
        </w:tc>
      </w:tr>
      <w:tr w:rsidR="0072615D" w14:paraId="360593C4" w14:textId="77777777">
        <w:tblPrEx>
          <w:tblCellMar>
            <w:top w:w="0" w:type="dxa"/>
            <w:bottom w:w="0" w:type="dxa"/>
          </w:tblCellMar>
        </w:tblPrEx>
        <w:trPr>
          <w:trHeight w:hRule="exact" w:val="850"/>
          <w:jc w:val="center"/>
        </w:trPr>
        <w:tc>
          <w:tcPr>
            <w:tcW w:w="1291" w:type="dxa"/>
            <w:shd w:val="clear" w:color="auto" w:fill="FFFFFF"/>
          </w:tcPr>
          <w:p w14:paraId="60415A84" w14:textId="77777777" w:rsidR="0072615D" w:rsidRDefault="0072615D">
            <w:pPr>
              <w:pStyle w:val="Other0"/>
              <w:spacing w:line="283" w:lineRule="auto"/>
              <w:ind w:firstLine="0"/>
              <w:rPr>
                <w:sz w:val="16"/>
                <w:szCs w:val="16"/>
              </w:rPr>
            </w:pPr>
            <w:r>
              <w:rPr>
                <w:rFonts w:ascii="Times New Roman" w:eastAsia="Times New Roman" w:hAnsi="Times New Roman" w:cs="Times New Roman"/>
                <w:sz w:val="16"/>
                <w:szCs w:val="16"/>
              </w:rPr>
              <w:t>garrapata de Colorado</w:t>
            </w:r>
          </w:p>
        </w:tc>
        <w:tc>
          <w:tcPr>
            <w:tcW w:w="2246" w:type="dxa"/>
            <w:shd w:val="clear" w:color="auto" w:fill="FFFFFF"/>
            <w:vAlign w:val="bottom"/>
          </w:tcPr>
          <w:p w14:paraId="463A5E95" w14:textId="77777777" w:rsidR="0072615D" w:rsidRDefault="0072615D">
            <w:pPr>
              <w:pStyle w:val="Other0"/>
              <w:spacing w:line="283" w:lineRule="auto"/>
              <w:ind w:left="160" w:firstLine="0"/>
              <w:rPr>
                <w:sz w:val="16"/>
                <w:szCs w:val="16"/>
              </w:rPr>
            </w:pPr>
            <w:r>
              <w:rPr>
                <w:rFonts w:ascii="Times New Roman" w:eastAsia="Times New Roman" w:hAnsi="Times New Roman" w:cs="Times New Roman"/>
                <w:sz w:val="16"/>
                <w:szCs w:val="16"/>
              </w:rPr>
              <w:t>que están las Montañas Rocosas y zona del Pacífico; porción occidental de Canadá; Asia</w:t>
            </w:r>
          </w:p>
        </w:tc>
        <w:tc>
          <w:tcPr>
            <w:tcW w:w="2395" w:type="dxa"/>
            <w:shd w:val="clear" w:color="auto" w:fill="FFFFFF"/>
          </w:tcPr>
          <w:p w14:paraId="484B51CB" w14:textId="77777777" w:rsidR="0072615D" w:rsidRDefault="0072615D">
            <w:pPr>
              <w:pStyle w:val="Other0"/>
              <w:spacing w:line="240" w:lineRule="auto"/>
              <w:ind w:firstLine="200"/>
              <w:rPr>
                <w:sz w:val="16"/>
                <w:szCs w:val="16"/>
              </w:rPr>
            </w:pPr>
            <w:r>
              <w:rPr>
                <w:rFonts w:ascii="Times New Roman" w:eastAsia="Times New Roman" w:hAnsi="Times New Roman" w:cs="Times New Roman"/>
                <w:sz w:val="16"/>
                <w:szCs w:val="16"/>
              </w:rPr>
              <w:t>ser bifásica</w:t>
            </w:r>
          </w:p>
        </w:tc>
        <w:tc>
          <w:tcPr>
            <w:tcW w:w="466" w:type="dxa"/>
            <w:shd w:val="clear" w:color="auto" w:fill="FFFFFF"/>
          </w:tcPr>
          <w:p w14:paraId="0C8DC685" w14:textId="77777777" w:rsidR="0072615D" w:rsidRDefault="0072615D">
            <w:pPr>
              <w:rPr>
                <w:sz w:val="10"/>
                <w:szCs w:val="10"/>
              </w:rPr>
            </w:pPr>
          </w:p>
        </w:tc>
      </w:tr>
      <w:tr w:rsidR="0072615D" w14:paraId="3A43E1ED" w14:textId="77777777">
        <w:tblPrEx>
          <w:tblCellMar>
            <w:top w:w="0" w:type="dxa"/>
            <w:bottom w:w="0" w:type="dxa"/>
          </w:tblCellMar>
        </w:tblPrEx>
        <w:trPr>
          <w:trHeight w:hRule="exact" w:val="1080"/>
          <w:jc w:val="center"/>
        </w:trPr>
        <w:tc>
          <w:tcPr>
            <w:tcW w:w="1291" w:type="dxa"/>
            <w:shd w:val="clear" w:color="auto" w:fill="FFFFFF"/>
          </w:tcPr>
          <w:p w14:paraId="0F028991" w14:textId="77777777" w:rsidR="0072615D" w:rsidRDefault="0072615D">
            <w:pPr>
              <w:pStyle w:val="Other0"/>
              <w:spacing w:line="283" w:lineRule="auto"/>
              <w:ind w:firstLine="0"/>
              <w:rPr>
                <w:sz w:val="16"/>
                <w:szCs w:val="16"/>
              </w:rPr>
            </w:pPr>
            <w:r>
              <w:rPr>
                <w:rFonts w:ascii="Times New Roman" w:eastAsia="Times New Roman" w:hAnsi="Times New Roman" w:cs="Times New Roman"/>
                <w:sz w:val="16"/>
                <w:szCs w:val="16"/>
              </w:rPr>
              <w:t>Dengue y dengue hemorrágico</w:t>
            </w:r>
          </w:p>
        </w:tc>
        <w:tc>
          <w:tcPr>
            <w:tcW w:w="2246" w:type="dxa"/>
            <w:shd w:val="clear" w:color="auto" w:fill="FFFFFF"/>
          </w:tcPr>
          <w:p w14:paraId="6F643E77" w14:textId="77777777" w:rsidR="0072615D" w:rsidRDefault="0072615D">
            <w:pPr>
              <w:pStyle w:val="Other0"/>
              <w:spacing w:line="283" w:lineRule="auto"/>
              <w:ind w:left="160" w:hanging="160"/>
              <w:rPr>
                <w:sz w:val="16"/>
                <w:szCs w:val="16"/>
              </w:rPr>
            </w:pPr>
            <w:r>
              <w:rPr>
                <w:rFonts w:ascii="Times New Roman" w:eastAsia="Times New Roman" w:hAnsi="Times New Roman" w:cs="Times New Roman"/>
                <w:sz w:val="16"/>
                <w:szCs w:val="16"/>
              </w:rPr>
              <w:t>Áreas tropicales en todo el mundo: países del Caribe, América Central y del Sur, Asia, Australia, Oceanía, África</w:t>
            </w:r>
            <w:r>
              <w:rPr>
                <w:rFonts w:ascii="Times New Roman" w:eastAsia="Times New Roman" w:hAnsi="Times New Roman" w:cs="Times New Roman"/>
                <w:sz w:val="16"/>
                <w:szCs w:val="16"/>
                <w:vertAlign w:val="superscript"/>
              </w:rPr>
              <w:t>2</w:t>
            </w:r>
          </w:p>
        </w:tc>
        <w:tc>
          <w:tcPr>
            <w:tcW w:w="2395" w:type="dxa"/>
            <w:shd w:val="clear" w:color="auto" w:fill="FFFFFF"/>
          </w:tcPr>
          <w:p w14:paraId="73BD3D4F" w14:textId="77777777" w:rsidR="0072615D" w:rsidRDefault="0072615D">
            <w:pPr>
              <w:pStyle w:val="Other0"/>
              <w:spacing w:line="283" w:lineRule="auto"/>
              <w:ind w:left="200" w:hanging="200"/>
              <w:rPr>
                <w:sz w:val="16"/>
                <w:szCs w:val="16"/>
              </w:rPr>
            </w:pPr>
            <w:r>
              <w:rPr>
                <w:rFonts w:ascii="Times New Roman" w:eastAsia="Times New Roman" w:hAnsi="Times New Roman" w:cs="Times New Roman"/>
                <w:sz w:val="16"/>
                <w:szCs w:val="16"/>
              </w:rPr>
              <w:t>Enfermedad febril que puede ser bifásica con erupción; fiebre hemorrágica y choque</w:t>
            </w:r>
          </w:p>
        </w:tc>
        <w:tc>
          <w:tcPr>
            <w:tcW w:w="466" w:type="dxa"/>
            <w:shd w:val="clear" w:color="auto" w:fill="FFFFFF"/>
          </w:tcPr>
          <w:p w14:paraId="3DE5F70F" w14:textId="77777777" w:rsidR="0072615D" w:rsidRDefault="0072615D">
            <w:pPr>
              <w:pStyle w:val="Other0"/>
              <w:spacing w:line="240" w:lineRule="auto"/>
              <w:ind w:firstLine="0"/>
              <w:jc w:val="right"/>
              <w:rPr>
                <w:sz w:val="16"/>
                <w:szCs w:val="16"/>
              </w:rPr>
            </w:pPr>
            <w:r>
              <w:rPr>
                <w:rFonts w:ascii="Times New Roman" w:eastAsia="Times New Roman" w:hAnsi="Times New Roman" w:cs="Times New Roman"/>
                <w:sz w:val="16"/>
                <w:szCs w:val="16"/>
              </w:rPr>
              <w:t>2-7</w:t>
            </w:r>
          </w:p>
        </w:tc>
      </w:tr>
      <w:tr w:rsidR="0072615D" w14:paraId="2B0D667C" w14:textId="77777777">
        <w:tblPrEx>
          <w:tblCellMar>
            <w:top w:w="0" w:type="dxa"/>
            <w:bottom w:w="0" w:type="dxa"/>
          </w:tblCellMar>
        </w:tblPrEx>
        <w:trPr>
          <w:trHeight w:hRule="exact" w:val="451"/>
          <w:jc w:val="center"/>
        </w:trPr>
        <w:tc>
          <w:tcPr>
            <w:tcW w:w="1291" w:type="dxa"/>
            <w:shd w:val="clear" w:color="auto" w:fill="FFFFFF"/>
          </w:tcPr>
          <w:p w14:paraId="593F1504"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Fiebre amarilla</w:t>
            </w:r>
          </w:p>
        </w:tc>
        <w:tc>
          <w:tcPr>
            <w:tcW w:w="2246" w:type="dxa"/>
            <w:shd w:val="clear" w:color="auto" w:fill="FFFFFF"/>
            <w:vAlign w:val="bottom"/>
          </w:tcPr>
          <w:p w14:paraId="64162513" w14:textId="77777777" w:rsidR="0072615D" w:rsidRDefault="0072615D">
            <w:pPr>
              <w:pStyle w:val="Other0"/>
              <w:spacing w:line="283" w:lineRule="auto"/>
              <w:ind w:left="160" w:hanging="160"/>
              <w:rPr>
                <w:sz w:val="16"/>
                <w:szCs w:val="16"/>
              </w:rPr>
            </w:pPr>
            <w:r>
              <w:rPr>
                <w:rFonts w:ascii="Times New Roman" w:eastAsia="Times New Roman" w:hAnsi="Times New Roman" w:cs="Times New Roman"/>
                <w:sz w:val="16"/>
                <w:szCs w:val="16"/>
              </w:rPr>
              <w:t xml:space="preserve">Zonas tropicales de América del Sur </w:t>
            </w:r>
            <w:r>
              <w:rPr>
                <w:rFonts w:ascii="Times New Roman" w:eastAsia="Times New Roman" w:hAnsi="Times New Roman" w:cs="Times New Roman"/>
                <w:i/>
                <w:iCs/>
                <w:sz w:val="15"/>
                <w:szCs w:val="15"/>
              </w:rPr>
              <w:t>y</w:t>
            </w:r>
            <w:r>
              <w:rPr>
                <w:rFonts w:ascii="Times New Roman" w:eastAsia="Times New Roman" w:hAnsi="Times New Roman" w:cs="Times New Roman"/>
                <w:sz w:val="16"/>
                <w:szCs w:val="16"/>
              </w:rPr>
              <w:t xml:space="preserve"> África</w:t>
            </w:r>
            <w:r>
              <w:rPr>
                <w:rFonts w:ascii="Times New Roman" w:eastAsia="Times New Roman" w:hAnsi="Times New Roman" w:cs="Times New Roman"/>
                <w:sz w:val="16"/>
                <w:szCs w:val="16"/>
                <w:vertAlign w:val="superscript"/>
              </w:rPr>
              <w:t>2</w:t>
            </w:r>
          </w:p>
        </w:tc>
        <w:tc>
          <w:tcPr>
            <w:tcW w:w="2395" w:type="dxa"/>
            <w:shd w:val="clear" w:color="auto" w:fill="FFFFFF"/>
            <w:vAlign w:val="bottom"/>
          </w:tcPr>
          <w:p w14:paraId="409935F3" w14:textId="77777777" w:rsidR="0072615D" w:rsidRDefault="0072615D">
            <w:pPr>
              <w:pStyle w:val="Other0"/>
              <w:spacing w:line="283" w:lineRule="auto"/>
              <w:ind w:left="200" w:hanging="200"/>
              <w:rPr>
                <w:sz w:val="16"/>
                <w:szCs w:val="16"/>
              </w:rPr>
            </w:pPr>
            <w:r>
              <w:rPr>
                <w:rFonts w:ascii="Times New Roman" w:eastAsia="Times New Roman" w:hAnsi="Times New Roman" w:cs="Times New Roman"/>
                <w:sz w:val="16"/>
                <w:szCs w:val="16"/>
              </w:rPr>
              <w:t>Enfermedad febril, hepatitis, fiebre hemorrágica</w:t>
            </w:r>
          </w:p>
        </w:tc>
        <w:tc>
          <w:tcPr>
            <w:tcW w:w="466" w:type="dxa"/>
            <w:shd w:val="clear" w:color="auto" w:fill="FFFFFF"/>
          </w:tcPr>
          <w:p w14:paraId="50B78245" w14:textId="77777777" w:rsidR="0072615D" w:rsidRDefault="0072615D">
            <w:pPr>
              <w:pStyle w:val="Other0"/>
              <w:spacing w:line="240" w:lineRule="auto"/>
              <w:ind w:firstLine="0"/>
              <w:jc w:val="right"/>
              <w:rPr>
                <w:sz w:val="16"/>
                <w:szCs w:val="16"/>
              </w:rPr>
            </w:pPr>
            <w:r>
              <w:rPr>
                <w:rFonts w:ascii="Times New Roman" w:eastAsia="Times New Roman" w:hAnsi="Times New Roman" w:cs="Times New Roman"/>
                <w:sz w:val="16"/>
                <w:szCs w:val="16"/>
              </w:rPr>
              <w:t>3-6</w:t>
            </w:r>
          </w:p>
        </w:tc>
      </w:tr>
      <w:tr w:rsidR="0072615D" w14:paraId="756BC22C" w14:textId="77777777">
        <w:tblPrEx>
          <w:tblCellMar>
            <w:top w:w="0" w:type="dxa"/>
            <w:bottom w:w="0" w:type="dxa"/>
          </w:tblCellMar>
        </w:tblPrEx>
        <w:trPr>
          <w:trHeight w:hRule="exact" w:val="211"/>
          <w:jc w:val="center"/>
        </w:trPr>
        <w:tc>
          <w:tcPr>
            <w:tcW w:w="1291" w:type="dxa"/>
            <w:shd w:val="clear" w:color="auto" w:fill="FFFFFF"/>
            <w:vAlign w:val="bottom"/>
          </w:tcPr>
          <w:p w14:paraId="3C217F9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Fiebre Mayaro</w:t>
            </w:r>
          </w:p>
        </w:tc>
        <w:tc>
          <w:tcPr>
            <w:tcW w:w="2246" w:type="dxa"/>
            <w:shd w:val="clear" w:color="auto" w:fill="FFFFFF"/>
            <w:vAlign w:val="bottom"/>
          </w:tcPr>
          <w:p w14:paraId="6C285D7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América Central y del Sur</w:t>
            </w:r>
          </w:p>
        </w:tc>
        <w:tc>
          <w:tcPr>
            <w:tcW w:w="2395" w:type="dxa"/>
            <w:shd w:val="clear" w:color="auto" w:fill="FFFFFF"/>
            <w:vAlign w:val="bottom"/>
          </w:tcPr>
          <w:p w14:paraId="6397162B"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Enfermedad febril y poliartritis</w:t>
            </w:r>
          </w:p>
        </w:tc>
        <w:tc>
          <w:tcPr>
            <w:tcW w:w="466" w:type="dxa"/>
            <w:shd w:val="clear" w:color="auto" w:fill="FFFFFF"/>
            <w:vAlign w:val="bottom"/>
          </w:tcPr>
          <w:p w14:paraId="363A4B69"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1-12</w:t>
            </w:r>
          </w:p>
        </w:tc>
      </w:tr>
      <w:tr w:rsidR="0072615D" w14:paraId="109EE554" w14:textId="77777777">
        <w:tblPrEx>
          <w:tblCellMar>
            <w:top w:w="0" w:type="dxa"/>
            <w:bottom w:w="0" w:type="dxa"/>
          </w:tblCellMar>
        </w:tblPrEx>
        <w:trPr>
          <w:trHeight w:hRule="exact" w:val="451"/>
          <w:jc w:val="center"/>
        </w:trPr>
        <w:tc>
          <w:tcPr>
            <w:tcW w:w="1291" w:type="dxa"/>
            <w:tcBorders>
              <w:bottom w:val="single" w:sz="4" w:space="0" w:color="auto"/>
            </w:tcBorders>
            <w:shd w:val="clear" w:color="auto" w:fill="FFFFFF"/>
          </w:tcPr>
          <w:p w14:paraId="420519AE"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Fiebre por virus</w:t>
            </w:r>
          </w:p>
          <w:p w14:paraId="58B70040"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Oropouche</w:t>
            </w:r>
          </w:p>
        </w:tc>
        <w:tc>
          <w:tcPr>
            <w:tcW w:w="2246" w:type="dxa"/>
            <w:tcBorders>
              <w:bottom w:val="single" w:sz="4" w:space="0" w:color="auto"/>
            </w:tcBorders>
            <w:shd w:val="clear" w:color="auto" w:fill="FFFFFF"/>
          </w:tcPr>
          <w:p w14:paraId="7F91817F"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América Central y del Sur</w:t>
            </w:r>
          </w:p>
        </w:tc>
        <w:tc>
          <w:tcPr>
            <w:tcW w:w="2395" w:type="dxa"/>
            <w:tcBorders>
              <w:bottom w:val="single" w:sz="4" w:space="0" w:color="auto"/>
            </w:tcBorders>
            <w:shd w:val="clear" w:color="auto" w:fill="FFFFFF"/>
          </w:tcPr>
          <w:p w14:paraId="0C21D4B5" w14:textId="77777777" w:rsidR="0072615D" w:rsidRDefault="0072615D">
            <w:pPr>
              <w:pStyle w:val="Other0"/>
              <w:spacing w:line="240" w:lineRule="auto"/>
              <w:ind w:firstLine="0"/>
              <w:rPr>
                <w:sz w:val="16"/>
                <w:szCs w:val="16"/>
              </w:rPr>
            </w:pPr>
            <w:r>
              <w:rPr>
                <w:rFonts w:ascii="Times New Roman" w:eastAsia="Times New Roman" w:hAnsi="Times New Roman" w:cs="Times New Roman"/>
                <w:sz w:val="16"/>
                <w:szCs w:val="16"/>
              </w:rPr>
              <w:t>Enfermedad febril</w:t>
            </w:r>
          </w:p>
        </w:tc>
        <w:tc>
          <w:tcPr>
            <w:tcW w:w="466" w:type="dxa"/>
            <w:tcBorders>
              <w:bottom w:val="single" w:sz="4" w:space="0" w:color="auto"/>
            </w:tcBorders>
            <w:shd w:val="clear" w:color="auto" w:fill="FFFFFF"/>
          </w:tcPr>
          <w:p w14:paraId="08E9E911" w14:textId="77777777" w:rsidR="0072615D" w:rsidRDefault="0072615D">
            <w:pPr>
              <w:pStyle w:val="Other0"/>
              <w:spacing w:line="240" w:lineRule="auto"/>
              <w:ind w:firstLine="0"/>
              <w:jc w:val="right"/>
              <w:rPr>
                <w:sz w:val="16"/>
                <w:szCs w:val="16"/>
              </w:rPr>
            </w:pPr>
            <w:r>
              <w:rPr>
                <w:rFonts w:ascii="Times New Roman" w:eastAsia="Times New Roman" w:hAnsi="Times New Roman" w:cs="Times New Roman"/>
                <w:sz w:val="16"/>
                <w:szCs w:val="16"/>
              </w:rPr>
              <w:t>2-6</w:t>
            </w:r>
          </w:p>
        </w:tc>
      </w:tr>
    </w:tbl>
    <w:p w14:paraId="3AD08B2D" w14:textId="77777777" w:rsidR="0072615D" w:rsidRDefault="0072615D">
      <w:pPr>
        <w:pStyle w:val="Tablecaption0"/>
        <w:numPr>
          <w:ilvl w:val="0"/>
          <w:numId w:val="55"/>
        </w:numPr>
        <w:tabs>
          <w:tab w:val="left" w:pos="-12"/>
        </w:tabs>
        <w:spacing w:line="221" w:lineRule="auto"/>
        <w:ind w:left="0"/>
      </w:pPr>
      <w:r>
        <w:t>Todas son transmitidas por mosquitos excepto la fiebre por garrapatas de Colorado en que intervienen estos artrópodos, y la fiebre por virus Oropouche, transmitida por una variedad de jejenes.</w:t>
      </w:r>
    </w:p>
    <w:p w14:paraId="7C25F5A5" w14:textId="6D781802" w:rsidR="00C31EB8" w:rsidRDefault="0072615D">
      <w:r>
        <w:t xml:space="preserve">En la actualidad se han detectado en Estados Unidos mosquitos vectores </w:t>
      </w:r>
      <w:r>
        <w:rPr>
          <w:i/>
          <w:iCs/>
        </w:rPr>
        <w:t>Aedes aegypti</w:t>
      </w:r>
      <w:r>
        <w:t xml:space="preserve"> (fiebre amarilla y dengue) y </w:t>
      </w:r>
      <w:r>
        <w:rPr>
          <w:i/>
          <w:iCs/>
        </w:rPr>
        <w:t>Aedes albopictus</w:t>
      </w:r>
      <w:r>
        <w:t xml:space="preserve"> (dengue) que pueden transmitir el virus ya introducido por otras vías.</w:t>
      </w:r>
      <w:r>
        <w:br w:type="page"/>
      </w:r>
    </w:p>
    <w:sectPr w:rsidR="00C31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DE197" w14:textId="77777777" w:rsidR="0048489D" w:rsidRDefault="0048489D" w:rsidP="0072615D">
      <w:pPr>
        <w:spacing w:after="0" w:line="240" w:lineRule="auto"/>
      </w:pPr>
      <w:r>
        <w:separator/>
      </w:r>
    </w:p>
  </w:endnote>
  <w:endnote w:type="continuationSeparator" w:id="0">
    <w:p w14:paraId="027DCA19" w14:textId="77777777" w:rsidR="0048489D" w:rsidRDefault="0048489D" w:rsidP="00726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F6C3" w14:textId="77777777" w:rsidR="0072615D" w:rsidRDefault="0072615D">
    <w:pPr>
      <w:spacing w:line="1" w:lineRule="exact"/>
    </w:pPr>
    <w:r>
      <w:rPr>
        <w:noProof/>
      </w:rPr>
      <mc:AlternateContent>
        <mc:Choice Requires="wps">
          <w:drawing>
            <wp:anchor distT="0" distB="0" distL="0" distR="0" simplePos="0" relativeHeight="251805696" behindDoc="1" locked="0" layoutInCell="1" allowOverlap="1" wp14:anchorId="16F28464" wp14:editId="70CDB842">
              <wp:simplePos x="0" y="0"/>
              <wp:positionH relativeFrom="page">
                <wp:posOffset>7239000</wp:posOffset>
              </wp:positionH>
              <wp:positionV relativeFrom="page">
                <wp:posOffset>5099050</wp:posOffset>
              </wp:positionV>
              <wp:extent cx="408305" cy="82550"/>
              <wp:effectExtent l="0" t="0" r="0" b="0"/>
              <wp:wrapNone/>
              <wp:docPr id="56" name="Shape 56"/>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6B51F41" w14:textId="77777777" w:rsidR="0072615D" w:rsidRDefault="0072615D">
                          <w:pPr>
                            <w:pStyle w:val="Headerorfooter20"/>
                            <w:rPr>
                              <w:sz w:val="16"/>
                              <w:szCs w:val="16"/>
                            </w:rPr>
                          </w:pPr>
                          <w:r>
                            <w:rPr>
                              <w:i/>
                              <w:iCs/>
                              <w:color w:val="231F20"/>
                              <w:sz w:val="16"/>
                              <w:szCs w:val="16"/>
                            </w:rPr>
                            <w:t>continúa</w:t>
                          </w:r>
                        </w:p>
                      </w:txbxContent>
                    </wps:txbx>
                    <wps:bodyPr wrap="none" lIns="0" tIns="0" rIns="0" bIns="0">
                      <a:spAutoFit/>
                    </wps:bodyPr>
                  </wps:wsp>
                </a:graphicData>
              </a:graphic>
            </wp:anchor>
          </w:drawing>
        </mc:Choice>
        <mc:Fallback>
          <w:pict>
            <v:shapetype w14:anchorId="16F28464" id="_x0000_t202" coordsize="21600,21600" o:spt="202" path="m,l,21600r21600,l21600,xe">
              <v:stroke joinstyle="miter"/>
              <v:path gradientshapeok="t" o:connecttype="rect"/>
            </v:shapetype>
            <v:shape id="Shape 56" o:spid="_x0000_s1075" type="#_x0000_t202" style="position:absolute;margin-left:570pt;margin-top:401.5pt;width:32.15pt;height:6.5pt;z-index:-251510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" filled="f" stroked="f">
              <v:textbox style="mso-fit-shape-to-text:t" inset="0,0,0,0">
                <w:txbxContent>
                  <w:p w14:paraId="16B51F41" w14:textId="77777777" w:rsidR="0072615D" w:rsidRDefault="0072615D">
                    <w:pPr>
                      <w:pStyle w:val="Headerorfooter20"/>
                      <w:rPr>
                        <w:sz w:val="16"/>
                        <w:szCs w:val="16"/>
                      </w:rPr>
                    </w:pPr>
                    <w:r>
                      <w:rPr>
                        <w:i/>
                        <w:iCs/>
                        <w:color w:val="231F20"/>
                        <w:sz w:val="16"/>
                        <w:szCs w:val="16"/>
                      </w:rPr>
                      <w:t>continúa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348E" w14:textId="77777777" w:rsidR="0072615D" w:rsidRDefault="0072615D">
    <w:pPr>
      <w:spacing w:line="1" w:lineRule="exact"/>
    </w:pPr>
    <w:r>
      <w:rPr>
        <w:noProof/>
      </w:rPr>
      <mc:AlternateContent>
        <mc:Choice Requires="wps">
          <w:drawing>
            <wp:anchor distT="0" distB="0" distL="0" distR="0" simplePos="0" relativeHeight="251804672" behindDoc="1" locked="0" layoutInCell="1" allowOverlap="1" wp14:anchorId="1F22A434" wp14:editId="0F022BD8">
              <wp:simplePos x="0" y="0"/>
              <wp:positionH relativeFrom="page">
                <wp:posOffset>7239000</wp:posOffset>
              </wp:positionH>
              <wp:positionV relativeFrom="page">
                <wp:posOffset>5099050</wp:posOffset>
              </wp:positionV>
              <wp:extent cx="408305" cy="82550"/>
              <wp:effectExtent l="0" t="0" r="0" b="0"/>
              <wp:wrapNone/>
              <wp:docPr id="54" name="Shape 54"/>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751E1C20" w14:textId="77777777" w:rsidR="0072615D" w:rsidRDefault="0072615D">
                          <w:pPr>
                            <w:pStyle w:val="Headerorfooter20"/>
                            <w:rPr>
                              <w:sz w:val="16"/>
                              <w:szCs w:val="16"/>
                            </w:rPr>
                          </w:pPr>
                          <w:r>
                            <w:rPr>
                              <w:i/>
                              <w:iCs/>
                              <w:color w:val="231F20"/>
                              <w:sz w:val="16"/>
                              <w:szCs w:val="16"/>
                            </w:rPr>
                            <w:t>continúa</w:t>
                          </w:r>
                        </w:p>
                      </w:txbxContent>
                    </wps:txbx>
                    <wps:bodyPr wrap="none" lIns="0" tIns="0" rIns="0" bIns="0">
                      <a:spAutoFit/>
                    </wps:bodyPr>
                  </wps:wsp>
                </a:graphicData>
              </a:graphic>
            </wp:anchor>
          </w:drawing>
        </mc:Choice>
        <mc:Fallback>
          <w:pict>
            <v:shapetype w14:anchorId="1F22A434" id="_x0000_t202" coordsize="21600,21600" o:spt="202" path="m,l,21600r21600,l21600,xe">
              <v:stroke joinstyle="miter"/>
              <v:path gradientshapeok="t" o:connecttype="rect"/>
            </v:shapetype>
            <v:shape id="Shape 54" o:spid="_x0000_s1076" type="#_x0000_t202" style="position:absolute;margin-left:570pt;margin-top:401.5pt;width:32.15pt;height:6.5pt;z-index:-2515118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" filled="f" stroked="f">
              <v:textbox style="mso-fit-shape-to-text:t" inset="0,0,0,0">
                <w:txbxContent>
                  <w:p w14:paraId="751E1C20" w14:textId="77777777" w:rsidR="0072615D" w:rsidRDefault="0072615D">
                    <w:pPr>
                      <w:pStyle w:val="Headerorfooter20"/>
                      <w:rPr>
                        <w:sz w:val="16"/>
                        <w:szCs w:val="16"/>
                      </w:rPr>
                    </w:pPr>
                    <w:r>
                      <w:rPr>
                        <w:i/>
                        <w:iCs/>
                        <w:color w:val="231F20"/>
                        <w:sz w:val="16"/>
                        <w:szCs w:val="16"/>
                      </w:rPr>
                      <w:t>continúa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EB7A" w14:textId="77777777" w:rsidR="0072615D" w:rsidRDefault="0072615D">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5554" w14:textId="77777777" w:rsidR="0072615D" w:rsidRDefault="0072615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ECEA" w14:textId="77777777" w:rsidR="0072615D" w:rsidRDefault="0072615D">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E9EF" w14:textId="77777777" w:rsidR="0072615D" w:rsidRDefault="0072615D">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15EC" w14:textId="77777777" w:rsidR="0072615D" w:rsidRDefault="0072615D">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8085F" w14:textId="77777777" w:rsidR="0072615D" w:rsidRDefault="0072615D">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5B5F" w14:textId="77777777" w:rsidR="0072615D" w:rsidRDefault="0072615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176C" w14:textId="77777777" w:rsidR="0072615D" w:rsidRDefault="0072615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6017" w14:textId="77777777" w:rsidR="0072615D" w:rsidRDefault="0072615D">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7132" w14:textId="77777777" w:rsidR="0072615D" w:rsidRDefault="0072615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61BF" w14:textId="77777777" w:rsidR="0072615D" w:rsidRDefault="0072615D"/>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6CCA" w14:textId="77777777" w:rsidR="0072615D" w:rsidRDefault="0072615D"/>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971F" w14:textId="77777777" w:rsidR="0072615D" w:rsidRDefault="0072615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B7DD" w14:textId="77777777" w:rsidR="0072615D" w:rsidRDefault="0072615D">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964E" w14:textId="77777777" w:rsidR="0072615D" w:rsidRDefault="0072615D">
    <w:pPr>
      <w:spacing w:line="1" w:lineRule="exact"/>
    </w:pPr>
    <w:r>
      <w:rPr>
        <w:noProof/>
      </w:rPr>
      <mc:AlternateContent>
        <mc:Choice Requires="wps">
          <w:drawing>
            <wp:anchor distT="0" distB="0" distL="0" distR="0" simplePos="0" relativeHeight="251817984" behindDoc="1" locked="0" layoutInCell="1" allowOverlap="1" wp14:anchorId="2D74F061" wp14:editId="7A367687">
              <wp:simplePos x="0" y="0"/>
              <wp:positionH relativeFrom="page">
                <wp:posOffset>7239000</wp:posOffset>
              </wp:positionH>
              <wp:positionV relativeFrom="page">
                <wp:posOffset>5005070</wp:posOffset>
              </wp:positionV>
              <wp:extent cx="408305" cy="82550"/>
              <wp:effectExtent l="0" t="0" r="0" b="0"/>
              <wp:wrapNone/>
              <wp:docPr id="94" name="Shape 94"/>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7D7D185E"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2D74F061" id="_x0000_t202" coordsize="21600,21600" o:spt="202" path="m,l,21600r21600,l21600,xe">
              <v:stroke joinstyle="miter"/>
              <v:path gradientshapeok="t" o:connecttype="rect"/>
            </v:shapetype>
            <v:shape id="Shape 94" o:spid="_x0000_s1087" type="#_x0000_t202" style="position:absolute;margin-left:570pt;margin-top:394.1pt;width:32.15pt;height:6.5pt;z-index:-251498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" filled="f" stroked="f">
              <v:textbox style="mso-fit-shape-to-text:t" inset="0,0,0,0">
                <w:txbxContent>
                  <w:p w14:paraId="7D7D185E"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B52D" w14:textId="77777777" w:rsidR="0072615D" w:rsidRDefault="0072615D">
    <w:pPr>
      <w:spacing w:line="1" w:lineRule="exact"/>
    </w:pPr>
    <w:r>
      <w:rPr>
        <w:noProof/>
      </w:rPr>
      <mc:AlternateContent>
        <mc:Choice Requires="wps">
          <w:drawing>
            <wp:anchor distT="0" distB="0" distL="0" distR="0" simplePos="0" relativeHeight="251816960" behindDoc="1" locked="0" layoutInCell="1" allowOverlap="1" wp14:anchorId="166E0937" wp14:editId="16643350">
              <wp:simplePos x="0" y="0"/>
              <wp:positionH relativeFrom="page">
                <wp:posOffset>7239000</wp:posOffset>
              </wp:positionH>
              <wp:positionV relativeFrom="page">
                <wp:posOffset>5005070</wp:posOffset>
              </wp:positionV>
              <wp:extent cx="408305" cy="82550"/>
              <wp:effectExtent l="0" t="0" r="0" b="0"/>
              <wp:wrapNone/>
              <wp:docPr id="92" name="Shape 92"/>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443ED7C5"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166E0937" id="_x0000_t202" coordsize="21600,21600" o:spt="202" path="m,l,21600r21600,l21600,xe">
              <v:stroke joinstyle="miter"/>
              <v:path gradientshapeok="t" o:connecttype="rect"/>
            </v:shapetype>
            <v:shape id="Shape 92" o:spid="_x0000_s1088" type="#_x0000_t202" style="position:absolute;margin-left:570pt;margin-top:394.1pt;width:32.15pt;height:6.5pt;z-index:-251499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" filled="f" stroked="f">
              <v:textbox style="mso-fit-shape-to-text:t" inset="0,0,0,0">
                <w:txbxContent>
                  <w:p w14:paraId="443ED7C5"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E22C" w14:textId="77777777" w:rsidR="0072615D" w:rsidRDefault="0072615D">
    <w:pPr>
      <w:spacing w:line="1" w:lineRule="exact"/>
    </w:pPr>
    <w:r>
      <w:rPr>
        <w:noProof/>
      </w:rPr>
      <mc:AlternateContent>
        <mc:Choice Requires="wps">
          <w:drawing>
            <wp:anchor distT="0" distB="0" distL="0" distR="0" simplePos="0" relativeHeight="251819008" behindDoc="1" locked="0" layoutInCell="1" allowOverlap="1" wp14:anchorId="1D113D9C" wp14:editId="39755054">
              <wp:simplePos x="0" y="0"/>
              <wp:positionH relativeFrom="page">
                <wp:posOffset>7239000</wp:posOffset>
              </wp:positionH>
              <wp:positionV relativeFrom="page">
                <wp:posOffset>5005070</wp:posOffset>
              </wp:positionV>
              <wp:extent cx="408305" cy="82550"/>
              <wp:effectExtent l="0" t="0" r="0" b="0"/>
              <wp:wrapNone/>
              <wp:docPr id="102" name="Shape 102"/>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249EB11F"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1D113D9C" id="_x0000_t202" coordsize="21600,21600" o:spt="202" path="m,l,21600r21600,l21600,xe">
              <v:stroke joinstyle="miter"/>
              <v:path gradientshapeok="t" o:connecttype="rect"/>
            </v:shapetype>
            <v:shape id="Shape 102" o:spid="_x0000_s1089" type="#_x0000_t202" style="position:absolute;margin-left:570pt;margin-top:394.1pt;width:32.15pt;height:6.5pt;z-index:-251497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" filled="f" stroked="f">
              <v:textbox style="mso-fit-shape-to-text:t" inset="0,0,0,0">
                <w:txbxContent>
                  <w:p w14:paraId="249EB11F"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DBAE" w14:textId="77777777" w:rsidR="0072615D" w:rsidRDefault="0072615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60E3" w14:textId="77777777" w:rsidR="0072615D" w:rsidRDefault="0072615D">
    <w:pPr>
      <w:spacing w:line="1" w:lineRule="exac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4CDF" w14:textId="77777777" w:rsidR="0072615D" w:rsidRDefault="0072615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EEE2" w14:textId="77777777" w:rsidR="0072615D" w:rsidRDefault="0072615D">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5714" w14:textId="77777777" w:rsidR="0072615D" w:rsidRDefault="0072615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5338" w14:textId="77777777" w:rsidR="0072615D" w:rsidRDefault="0072615D">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A709" w14:textId="77777777" w:rsidR="0072615D" w:rsidRDefault="0072615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9B3F" w14:textId="77777777" w:rsidR="0072615D" w:rsidRDefault="0072615D">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0113" w14:textId="77777777" w:rsidR="0072615D" w:rsidRDefault="0072615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4AD0" w14:textId="77777777" w:rsidR="0072615D" w:rsidRDefault="0072615D">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D1A2" w14:textId="77777777" w:rsidR="0072615D" w:rsidRDefault="0072615D"/>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FC2C" w14:textId="77777777" w:rsidR="0072615D" w:rsidRDefault="0072615D"/>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669D" w14:textId="77777777" w:rsidR="0072615D" w:rsidRDefault="0072615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51BF" w14:textId="77777777" w:rsidR="0072615D" w:rsidRDefault="0072615D"/>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1034" w14:textId="77777777" w:rsidR="0072615D" w:rsidRDefault="0072615D">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69B4" w14:textId="77777777" w:rsidR="0072615D" w:rsidRDefault="0072615D">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0170" w14:textId="77777777" w:rsidR="0072615D" w:rsidRDefault="0072615D">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0EC6" w14:textId="77777777" w:rsidR="0072615D" w:rsidRDefault="0072615D">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947C" w14:textId="77777777" w:rsidR="0072615D" w:rsidRDefault="0072615D">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1516" w14:textId="77777777" w:rsidR="0072615D" w:rsidRDefault="0072615D">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1203F" w14:textId="77777777" w:rsidR="0072615D" w:rsidRDefault="0072615D">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01056" w14:textId="77777777" w:rsidR="0072615D" w:rsidRDefault="0072615D">
    <w:pPr>
      <w:spacing w:line="1" w:lineRule="exact"/>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F0F8" w14:textId="77777777" w:rsidR="0072615D" w:rsidRDefault="0072615D">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0ADC" w14:textId="77777777" w:rsidR="0072615D" w:rsidRDefault="0072615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D0B0" w14:textId="77777777" w:rsidR="0072615D" w:rsidRDefault="0072615D">
    <w:pPr>
      <w:spacing w:line="1" w:lineRule="exac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E94E" w14:textId="77777777" w:rsidR="0072615D" w:rsidRDefault="0072615D">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5EA0" w14:textId="77777777" w:rsidR="0072615D" w:rsidRDefault="0072615D">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86E4" w14:textId="77777777" w:rsidR="0072615D" w:rsidRDefault="0072615D"/>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C3A0" w14:textId="77777777" w:rsidR="0072615D" w:rsidRDefault="0072615D"/>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D8E31" w14:textId="77777777" w:rsidR="0072615D" w:rsidRDefault="0072615D">
    <w:pPr>
      <w:spacing w:line="1" w:lineRule="exact"/>
    </w:pPr>
    <w:r>
      <w:rPr>
        <w:noProof/>
      </w:rPr>
      <mc:AlternateContent>
        <mc:Choice Requires="wps">
          <w:drawing>
            <wp:anchor distT="0" distB="0" distL="0" distR="0" simplePos="0" relativeHeight="251849728" behindDoc="1" locked="0" layoutInCell="1" allowOverlap="1" wp14:anchorId="7078B576" wp14:editId="61D66E92">
              <wp:simplePos x="0" y="0"/>
              <wp:positionH relativeFrom="page">
                <wp:posOffset>7239000</wp:posOffset>
              </wp:positionH>
              <wp:positionV relativeFrom="page">
                <wp:posOffset>4605655</wp:posOffset>
              </wp:positionV>
              <wp:extent cx="408305" cy="82550"/>
              <wp:effectExtent l="0" t="0" r="0" b="0"/>
              <wp:wrapNone/>
              <wp:docPr id="212" name="Shape 212"/>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4A03DF8"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7078B576" id="_x0000_t202" coordsize="21600,21600" o:spt="202" path="m,l,21600r21600,l21600,xe">
              <v:stroke joinstyle="miter"/>
              <v:path gradientshapeok="t" o:connecttype="rect"/>
            </v:shapetype>
            <v:shape id="Shape 212" o:spid="_x0000_s1118" type="#_x0000_t202" style="position:absolute;margin-left:570pt;margin-top:362.65pt;width:32.15pt;height:6.5pt;z-index:-251466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" filled="f" stroked="f">
              <v:textbox style="mso-fit-shape-to-text:t" inset="0,0,0,0">
                <w:txbxContent>
                  <w:p w14:paraId="14A03DF8"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81A3" w14:textId="77777777" w:rsidR="0072615D" w:rsidRDefault="0072615D">
    <w:pPr>
      <w:spacing w:line="1" w:lineRule="exact"/>
    </w:pPr>
    <w:r>
      <w:rPr>
        <w:noProof/>
      </w:rPr>
      <mc:AlternateContent>
        <mc:Choice Requires="wps">
          <w:drawing>
            <wp:anchor distT="0" distB="0" distL="0" distR="0" simplePos="0" relativeHeight="251848704" behindDoc="1" locked="0" layoutInCell="1" allowOverlap="1" wp14:anchorId="7A5CB6DE" wp14:editId="51E06F10">
              <wp:simplePos x="0" y="0"/>
              <wp:positionH relativeFrom="page">
                <wp:posOffset>7239000</wp:posOffset>
              </wp:positionH>
              <wp:positionV relativeFrom="page">
                <wp:posOffset>4605655</wp:posOffset>
              </wp:positionV>
              <wp:extent cx="408305" cy="82550"/>
              <wp:effectExtent l="0" t="0" r="0" b="0"/>
              <wp:wrapNone/>
              <wp:docPr id="210" name="Shape 210"/>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4430815"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7A5CB6DE" id="_x0000_t202" coordsize="21600,21600" o:spt="202" path="m,l,21600r21600,l21600,xe">
              <v:stroke joinstyle="miter"/>
              <v:path gradientshapeok="t" o:connecttype="rect"/>
            </v:shapetype>
            <v:shape id="Shape 210" o:spid="_x0000_s1119" type="#_x0000_t202" style="position:absolute;margin-left:570pt;margin-top:362.65pt;width:32.15pt;height:6.5pt;z-index:-251467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" filled="f" stroked="f">
              <v:textbox style="mso-fit-shape-to-text:t" inset="0,0,0,0">
                <w:txbxContent>
                  <w:p w14:paraId="64430815"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B7E2B" w14:textId="77777777" w:rsidR="0072615D" w:rsidRDefault="0072615D">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E717A" w14:textId="77777777" w:rsidR="0072615D" w:rsidRDefault="0072615D">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DD4E" w14:textId="77777777" w:rsidR="0072615D" w:rsidRDefault="0072615D">
    <w:pPr>
      <w:spacing w:line="1" w:lineRule="exact"/>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EB75" w14:textId="77777777" w:rsidR="0072615D" w:rsidRDefault="0072615D">
    <w:pPr>
      <w:spacing w:line="1" w:lineRule="exac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6C21D" w14:textId="77777777" w:rsidR="0072615D" w:rsidRDefault="0072615D">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A0F8" w14:textId="77777777" w:rsidR="0072615D" w:rsidRDefault="0072615D">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6AF5" w14:textId="77777777" w:rsidR="0072615D" w:rsidRDefault="0072615D">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BC1A" w14:textId="77777777" w:rsidR="0072615D" w:rsidRDefault="0072615D">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B234" w14:textId="77777777" w:rsidR="0072615D" w:rsidRDefault="0072615D">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68A9" w14:textId="77777777" w:rsidR="0072615D" w:rsidRDefault="0072615D">
    <w:pPr>
      <w:spacing w:line="1" w:lineRule="exact"/>
    </w:pPr>
    <w:r>
      <w:rPr>
        <w:noProof/>
      </w:rPr>
      <mc:AlternateContent>
        <mc:Choice Requires="wps">
          <w:drawing>
            <wp:anchor distT="0" distB="0" distL="0" distR="0" simplePos="0" relativeHeight="251860992" behindDoc="1" locked="0" layoutInCell="1" allowOverlap="1" wp14:anchorId="7A8DEAF4" wp14:editId="317B8236">
              <wp:simplePos x="0" y="0"/>
              <wp:positionH relativeFrom="page">
                <wp:posOffset>731520</wp:posOffset>
              </wp:positionH>
              <wp:positionV relativeFrom="page">
                <wp:posOffset>7543800</wp:posOffset>
              </wp:positionV>
              <wp:extent cx="4321810" cy="344170"/>
              <wp:effectExtent l="0" t="0" r="0" b="0"/>
              <wp:wrapNone/>
              <wp:docPr id="247" name="Shape 247"/>
              <wp:cNvGraphicFramePr/>
              <a:graphic xmlns:a="http://schemas.openxmlformats.org/drawingml/2006/main">
                <a:graphicData uri="http://schemas.microsoft.com/office/word/2010/wordprocessingShape">
                  <wps:wsp>
                    <wps:cNvSpPr txBox="1"/>
                    <wps:spPr>
                      <a:xfrm>
                        <a:off x="0" y="0"/>
                        <a:ext cx="4321810" cy="344170"/>
                      </a:xfrm>
                      <a:prstGeom prst="rect">
                        <a:avLst/>
                      </a:prstGeom>
                      <a:noFill/>
                    </wps:spPr>
                    <wps:txbx>
                      <w:txbxContent>
                        <w:p w14:paraId="252C036F" w14:textId="77777777" w:rsidR="0072615D" w:rsidRDefault="0072615D">
                          <w:pPr>
                            <w:pStyle w:val="Headerorfooter0"/>
                            <w:rPr>
                              <w:sz w:val="15"/>
                              <w:szCs w:val="15"/>
                            </w:rPr>
                          </w:pPr>
                          <w:r>
                            <w:rPr>
                              <w:rFonts w:ascii="Times New Roman" w:eastAsia="Times New Roman" w:hAnsi="Times New Roman" w:cs="Times New Roman"/>
                              <w:sz w:val="15"/>
                              <w:szCs w:val="15"/>
                            </w:rPr>
                            <w:t>* Centers for Disease Control and Prevention. Immunization of health-care workers: recommendations of the</w:t>
                          </w:r>
                        </w:p>
                        <w:p w14:paraId="248C82FB" w14:textId="77777777" w:rsidR="0072615D" w:rsidRDefault="0072615D">
                          <w:pPr>
                            <w:pStyle w:val="Headerorfooter0"/>
                            <w:rPr>
                              <w:sz w:val="15"/>
                              <w:szCs w:val="15"/>
                            </w:rPr>
                          </w:pPr>
                          <w:r>
                            <w:rPr>
                              <w:rFonts w:ascii="Times New Roman" w:eastAsia="Times New Roman" w:hAnsi="Times New Roman" w:cs="Times New Roman"/>
                              <w:sz w:val="15"/>
                              <w:szCs w:val="15"/>
                              <w:shd w:val="clear" w:color="auto" w:fill="FFFFFF"/>
                            </w:rPr>
                            <w:t>Advisory Committee on Immunization Practices and the Hospital Infection Control Practices Advisory</w:t>
                          </w:r>
                        </w:p>
                        <w:p w14:paraId="3D899FDD" w14:textId="77777777" w:rsidR="0072615D" w:rsidRDefault="0072615D">
                          <w:pPr>
                            <w:pStyle w:val="Headerorfooter0"/>
                            <w:rPr>
                              <w:sz w:val="15"/>
                              <w:szCs w:val="15"/>
                            </w:rPr>
                          </w:pPr>
                          <w:r>
                            <w:rPr>
                              <w:rFonts w:ascii="Times New Roman" w:eastAsia="Times New Roman" w:hAnsi="Times New Roman" w:cs="Times New Roman"/>
                              <w:sz w:val="15"/>
                              <w:szCs w:val="15"/>
                            </w:rPr>
                            <w:t xml:space="preserve">Committee (HICPAC). </w:t>
                          </w:r>
                          <w:r>
                            <w:rPr>
                              <w:rFonts w:ascii="Times New Roman" w:eastAsia="Times New Roman" w:hAnsi="Times New Roman" w:cs="Times New Roman"/>
                              <w:i/>
                              <w:iCs/>
                              <w:sz w:val="15"/>
                              <w:szCs w:val="15"/>
                            </w:rPr>
                            <w:t>MMWR Recomm Rep.</w:t>
                          </w:r>
                          <w:r>
                            <w:rPr>
                              <w:rFonts w:ascii="Times New Roman" w:eastAsia="Times New Roman" w:hAnsi="Times New Roman" w:cs="Times New Roman"/>
                              <w:sz w:val="15"/>
                              <w:szCs w:val="15"/>
                            </w:rPr>
                            <w:t xml:space="preserve"> 1997:46(RR-18):1-42</w:t>
                          </w:r>
                        </w:p>
                      </w:txbxContent>
                    </wps:txbx>
                    <wps:bodyPr wrap="none" lIns="0" tIns="0" rIns="0" bIns="0">
                      <a:spAutoFit/>
                    </wps:bodyPr>
                  </wps:wsp>
                </a:graphicData>
              </a:graphic>
            </wp:anchor>
          </w:drawing>
        </mc:Choice>
        <mc:Fallback>
          <w:pict>
            <v:shapetype w14:anchorId="7A8DEAF4" id="_x0000_t202" coordsize="21600,21600" o:spt="202" path="m,l,21600r21600,l21600,xe">
              <v:stroke joinstyle="miter"/>
              <v:path gradientshapeok="t" o:connecttype="rect"/>
            </v:shapetype>
            <v:shape id="Shape 247" o:spid="_x0000_s1129" type="#_x0000_t202" style="position:absolute;margin-left:57.6pt;margin-top:594pt;width:340.3pt;height:27.1pt;z-index:-251455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" filled="f" stroked="f">
              <v:textbox style="mso-fit-shape-to-text:t" inset="0,0,0,0">
                <w:txbxContent>
                  <w:p w14:paraId="252C036F" w14:textId="77777777" w:rsidR="0072615D" w:rsidRDefault="0072615D">
                    <w:pPr>
                      <w:pStyle w:val="Headerorfooter0"/>
                      <w:rPr>
                        <w:sz w:val="15"/>
                        <w:szCs w:val="15"/>
                      </w:rPr>
                    </w:pPr>
                    <w:r>
                      <w:rPr>
                        <w:rFonts w:ascii="Times New Roman" w:eastAsia="Times New Roman" w:hAnsi="Times New Roman" w:cs="Times New Roman"/>
                        <w:sz w:val="15"/>
                        <w:szCs w:val="15"/>
                      </w:rPr>
                      <w:t>* Centers for Disease Control and Prevention. Immunization of health-care workers: recommendations of the</w:t>
                    </w:r>
                  </w:p>
                  <w:p w14:paraId="248C82FB" w14:textId="77777777" w:rsidR="0072615D" w:rsidRDefault="0072615D">
                    <w:pPr>
                      <w:pStyle w:val="Headerorfooter0"/>
                      <w:rPr>
                        <w:sz w:val="15"/>
                        <w:szCs w:val="15"/>
                      </w:rPr>
                    </w:pPr>
                    <w:r>
                      <w:rPr>
                        <w:rFonts w:ascii="Times New Roman" w:eastAsia="Times New Roman" w:hAnsi="Times New Roman" w:cs="Times New Roman"/>
                        <w:sz w:val="15"/>
                        <w:szCs w:val="15"/>
                        <w:shd w:val="clear" w:color="auto" w:fill="FFFFFF"/>
                      </w:rPr>
                      <w:t>Advisory Committee on Immunization Practices and the Hospital Infection Control Practices Advisory</w:t>
                    </w:r>
                  </w:p>
                  <w:p w14:paraId="3D899FDD" w14:textId="77777777" w:rsidR="0072615D" w:rsidRDefault="0072615D">
                    <w:pPr>
                      <w:pStyle w:val="Headerorfooter0"/>
                      <w:rPr>
                        <w:sz w:val="15"/>
                        <w:szCs w:val="15"/>
                      </w:rPr>
                    </w:pPr>
                    <w:r>
                      <w:rPr>
                        <w:rFonts w:ascii="Times New Roman" w:eastAsia="Times New Roman" w:hAnsi="Times New Roman" w:cs="Times New Roman"/>
                        <w:sz w:val="15"/>
                        <w:szCs w:val="15"/>
                      </w:rPr>
                      <w:t xml:space="preserve">Committee (HICPAC). </w:t>
                    </w:r>
                    <w:r>
                      <w:rPr>
                        <w:rFonts w:ascii="Times New Roman" w:eastAsia="Times New Roman" w:hAnsi="Times New Roman" w:cs="Times New Roman"/>
                        <w:i/>
                        <w:iCs/>
                        <w:sz w:val="15"/>
                        <w:szCs w:val="15"/>
                      </w:rPr>
                      <w:t>MMWR Recomm Rep.</w:t>
                    </w:r>
                    <w:r>
                      <w:rPr>
                        <w:rFonts w:ascii="Times New Roman" w:eastAsia="Times New Roman" w:hAnsi="Times New Roman" w:cs="Times New Roman"/>
                        <w:sz w:val="15"/>
                        <w:szCs w:val="15"/>
                      </w:rPr>
                      <w:t xml:space="preserve"> 1997:46(RR-18):1-42</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BBAB" w14:textId="77777777" w:rsidR="0072615D" w:rsidRDefault="0072615D">
    <w:pPr>
      <w:spacing w:line="1" w:lineRule="exact"/>
    </w:pPr>
    <w:r>
      <w:rPr>
        <w:noProof/>
      </w:rPr>
      <mc:AlternateContent>
        <mc:Choice Requires="wps">
          <w:drawing>
            <wp:anchor distT="0" distB="0" distL="0" distR="0" simplePos="0" relativeHeight="251858944" behindDoc="1" locked="0" layoutInCell="1" allowOverlap="1" wp14:anchorId="6A3F16EC" wp14:editId="115F5C9D">
              <wp:simplePos x="0" y="0"/>
              <wp:positionH relativeFrom="page">
                <wp:posOffset>731520</wp:posOffset>
              </wp:positionH>
              <wp:positionV relativeFrom="page">
                <wp:posOffset>7543800</wp:posOffset>
              </wp:positionV>
              <wp:extent cx="4321810" cy="344170"/>
              <wp:effectExtent l="0" t="0" r="0" b="0"/>
              <wp:wrapNone/>
              <wp:docPr id="242" name="Shape 242"/>
              <wp:cNvGraphicFramePr/>
              <a:graphic xmlns:a="http://schemas.openxmlformats.org/drawingml/2006/main">
                <a:graphicData uri="http://schemas.microsoft.com/office/word/2010/wordprocessingShape">
                  <wps:wsp>
                    <wps:cNvSpPr txBox="1"/>
                    <wps:spPr>
                      <a:xfrm>
                        <a:off x="0" y="0"/>
                        <a:ext cx="4321810" cy="344170"/>
                      </a:xfrm>
                      <a:prstGeom prst="rect">
                        <a:avLst/>
                      </a:prstGeom>
                      <a:noFill/>
                    </wps:spPr>
                    <wps:txbx>
                      <w:txbxContent>
                        <w:p w14:paraId="5B1F3F9F" w14:textId="77777777" w:rsidR="0072615D" w:rsidRDefault="0072615D">
                          <w:pPr>
                            <w:pStyle w:val="Headerorfooter0"/>
                            <w:rPr>
                              <w:sz w:val="15"/>
                              <w:szCs w:val="15"/>
                            </w:rPr>
                          </w:pPr>
                          <w:r>
                            <w:rPr>
                              <w:rFonts w:ascii="Times New Roman" w:eastAsia="Times New Roman" w:hAnsi="Times New Roman" w:cs="Times New Roman"/>
                              <w:sz w:val="15"/>
                              <w:szCs w:val="15"/>
                            </w:rPr>
                            <w:t>* Centers for Disease Control and Prevention. Immunization of health-care workers: recommendations of the</w:t>
                          </w:r>
                        </w:p>
                        <w:p w14:paraId="58D8A248" w14:textId="77777777" w:rsidR="0072615D" w:rsidRDefault="0072615D">
                          <w:pPr>
                            <w:pStyle w:val="Headerorfooter0"/>
                            <w:rPr>
                              <w:sz w:val="15"/>
                              <w:szCs w:val="15"/>
                            </w:rPr>
                          </w:pPr>
                          <w:r>
                            <w:rPr>
                              <w:rFonts w:ascii="Times New Roman" w:eastAsia="Times New Roman" w:hAnsi="Times New Roman" w:cs="Times New Roman"/>
                              <w:sz w:val="15"/>
                              <w:szCs w:val="15"/>
                              <w:shd w:val="clear" w:color="auto" w:fill="FFFFFF"/>
                            </w:rPr>
                            <w:t>Advisory Committee on Immunization Practices and the Hospital Infection Control Practices Advisory</w:t>
                          </w:r>
                        </w:p>
                        <w:p w14:paraId="09D6971A" w14:textId="77777777" w:rsidR="0072615D" w:rsidRDefault="0072615D">
                          <w:pPr>
                            <w:pStyle w:val="Headerorfooter0"/>
                            <w:rPr>
                              <w:sz w:val="15"/>
                              <w:szCs w:val="15"/>
                            </w:rPr>
                          </w:pPr>
                          <w:r>
                            <w:rPr>
                              <w:rFonts w:ascii="Times New Roman" w:eastAsia="Times New Roman" w:hAnsi="Times New Roman" w:cs="Times New Roman"/>
                              <w:sz w:val="15"/>
                              <w:szCs w:val="15"/>
                            </w:rPr>
                            <w:t xml:space="preserve">Committee (HICPAC). </w:t>
                          </w:r>
                          <w:r>
                            <w:rPr>
                              <w:rFonts w:ascii="Times New Roman" w:eastAsia="Times New Roman" w:hAnsi="Times New Roman" w:cs="Times New Roman"/>
                              <w:i/>
                              <w:iCs/>
                              <w:sz w:val="15"/>
                              <w:szCs w:val="15"/>
                            </w:rPr>
                            <w:t>MMWR Recomm Rep.</w:t>
                          </w:r>
                          <w:r>
                            <w:rPr>
                              <w:rFonts w:ascii="Times New Roman" w:eastAsia="Times New Roman" w:hAnsi="Times New Roman" w:cs="Times New Roman"/>
                              <w:sz w:val="15"/>
                              <w:szCs w:val="15"/>
                            </w:rPr>
                            <w:t xml:space="preserve"> 1997:46(RR-18):1-42</w:t>
                          </w:r>
                        </w:p>
                      </w:txbxContent>
                    </wps:txbx>
                    <wps:bodyPr wrap="none" lIns="0" tIns="0" rIns="0" bIns="0">
                      <a:spAutoFit/>
                    </wps:bodyPr>
                  </wps:wsp>
                </a:graphicData>
              </a:graphic>
            </wp:anchor>
          </w:drawing>
        </mc:Choice>
        <mc:Fallback>
          <w:pict>
            <v:shapetype w14:anchorId="6A3F16EC" id="_x0000_t202" coordsize="21600,21600" o:spt="202" path="m,l,21600r21600,l21600,xe">
              <v:stroke joinstyle="miter"/>
              <v:path gradientshapeok="t" o:connecttype="rect"/>
            </v:shapetype>
            <v:shape id="Shape 242" o:spid="_x0000_s1130" type="#_x0000_t202" style="position:absolute;margin-left:57.6pt;margin-top:594pt;width:340.3pt;height:27.1pt;z-index:-251457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" filled="f" stroked="f">
              <v:textbox style="mso-fit-shape-to-text:t" inset="0,0,0,0">
                <w:txbxContent>
                  <w:p w14:paraId="5B1F3F9F" w14:textId="77777777" w:rsidR="0072615D" w:rsidRDefault="0072615D">
                    <w:pPr>
                      <w:pStyle w:val="Headerorfooter0"/>
                      <w:rPr>
                        <w:sz w:val="15"/>
                        <w:szCs w:val="15"/>
                      </w:rPr>
                    </w:pPr>
                    <w:r>
                      <w:rPr>
                        <w:rFonts w:ascii="Times New Roman" w:eastAsia="Times New Roman" w:hAnsi="Times New Roman" w:cs="Times New Roman"/>
                        <w:sz w:val="15"/>
                        <w:szCs w:val="15"/>
                      </w:rPr>
                      <w:t>* Centers for Disease Control and Prevention. Immunization of health-care workers: recommendations of the</w:t>
                    </w:r>
                  </w:p>
                  <w:p w14:paraId="58D8A248" w14:textId="77777777" w:rsidR="0072615D" w:rsidRDefault="0072615D">
                    <w:pPr>
                      <w:pStyle w:val="Headerorfooter0"/>
                      <w:rPr>
                        <w:sz w:val="15"/>
                        <w:szCs w:val="15"/>
                      </w:rPr>
                    </w:pPr>
                    <w:r>
                      <w:rPr>
                        <w:rFonts w:ascii="Times New Roman" w:eastAsia="Times New Roman" w:hAnsi="Times New Roman" w:cs="Times New Roman"/>
                        <w:sz w:val="15"/>
                        <w:szCs w:val="15"/>
                        <w:shd w:val="clear" w:color="auto" w:fill="FFFFFF"/>
                      </w:rPr>
                      <w:t>Advisory Committee on Immunization Practices and the Hospital Infection Control Practices Advisory</w:t>
                    </w:r>
                  </w:p>
                  <w:p w14:paraId="09D6971A" w14:textId="77777777" w:rsidR="0072615D" w:rsidRDefault="0072615D">
                    <w:pPr>
                      <w:pStyle w:val="Headerorfooter0"/>
                      <w:rPr>
                        <w:sz w:val="15"/>
                        <w:szCs w:val="15"/>
                      </w:rPr>
                    </w:pPr>
                    <w:r>
                      <w:rPr>
                        <w:rFonts w:ascii="Times New Roman" w:eastAsia="Times New Roman" w:hAnsi="Times New Roman" w:cs="Times New Roman"/>
                        <w:sz w:val="15"/>
                        <w:szCs w:val="15"/>
                      </w:rPr>
                      <w:t xml:space="preserve">Committee (HICPAC). </w:t>
                    </w:r>
                    <w:r>
                      <w:rPr>
                        <w:rFonts w:ascii="Times New Roman" w:eastAsia="Times New Roman" w:hAnsi="Times New Roman" w:cs="Times New Roman"/>
                        <w:i/>
                        <w:iCs/>
                        <w:sz w:val="15"/>
                        <w:szCs w:val="15"/>
                      </w:rPr>
                      <w:t>MMWR Recomm Rep.</w:t>
                    </w:r>
                    <w:r>
                      <w:rPr>
                        <w:rFonts w:ascii="Times New Roman" w:eastAsia="Times New Roman" w:hAnsi="Times New Roman" w:cs="Times New Roman"/>
                        <w:sz w:val="15"/>
                        <w:szCs w:val="15"/>
                      </w:rPr>
                      <w:t xml:space="preserve"> 1997:46(RR-18):1-42</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3303" w14:textId="77777777" w:rsidR="0072615D" w:rsidRDefault="0072615D">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EC2F" w14:textId="77777777" w:rsidR="0072615D" w:rsidRDefault="0072615D">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A4E4" w14:textId="77777777" w:rsidR="0072615D" w:rsidRDefault="0072615D">
    <w:pPr>
      <w:spacing w:line="1" w:lineRule="exact"/>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90ED" w14:textId="77777777" w:rsidR="0072615D" w:rsidRDefault="0072615D">
    <w:pPr>
      <w:spacing w:line="1" w:lineRule="exact"/>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D4AB" w14:textId="77777777" w:rsidR="0072615D" w:rsidRDefault="0072615D">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D224" w14:textId="77777777" w:rsidR="0072615D" w:rsidRDefault="0072615D">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12BA" w14:textId="77777777" w:rsidR="0072615D" w:rsidRDefault="0072615D">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25AF" w14:textId="77777777" w:rsidR="0072615D" w:rsidRDefault="0072615D">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553D" w14:textId="77777777" w:rsidR="0072615D" w:rsidRDefault="0072615D">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5AA7" w14:textId="77777777" w:rsidR="0072615D" w:rsidRDefault="0072615D">
    <w:pPr>
      <w:spacing w:line="1" w:lineRule="exact"/>
    </w:pPr>
    <w:r>
      <w:rPr>
        <w:noProof/>
      </w:rPr>
      <mc:AlternateContent>
        <mc:Choice Requires="wps">
          <w:drawing>
            <wp:anchor distT="0" distB="0" distL="0" distR="0" simplePos="0" relativeHeight="251870208" behindDoc="1" locked="0" layoutInCell="1" allowOverlap="1" wp14:anchorId="13ADF8AE" wp14:editId="1429E79B">
              <wp:simplePos x="0" y="0"/>
              <wp:positionH relativeFrom="page">
                <wp:posOffset>7239000</wp:posOffset>
              </wp:positionH>
              <wp:positionV relativeFrom="page">
                <wp:posOffset>4605655</wp:posOffset>
              </wp:positionV>
              <wp:extent cx="408305" cy="82550"/>
              <wp:effectExtent l="0" t="0" r="0" b="0"/>
              <wp:wrapNone/>
              <wp:docPr id="271" name="Shape 271"/>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7F0ECDE4"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13ADF8AE" id="_x0000_t202" coordsize="21600,21600" o:spt="202" path="m,l,21600r21600,l21600,xe">
              <v:stroke joinstyle="miter"/>
              <v:path gradientshapeok="t" o:connecttype="rect"/>
            </v:shapetype>
            <v:shape id="Shape 271" o:spid="_x0000_s1138" type="#_x0000_t202" style="position:absolute;margin-left:570pt;margin-top:362.65pt;width:32.15pt;height:6.5pt;z-index:-2514462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" filled="f" stroked="f">
              <v:textbox style="mso-fit-shape-to-text:t" inset="0,0,0,0">
                <w:txbxContent>
                  <w:p w14:paraId="7F0ECDE4"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EF29" w14:textId="77777777" w:rsidR="0072615D" w:rsidRDefault="0072615D">
    <w:pPr>
      <w:spacing w:line="1" w:lineRule="exact"/>
    </w:pPr>
    <w:r>
      <w:rPr>
        <w:noProof/>
      </w:rPr>
      <mc:AlternateContent>
        <mc:Choice Requires="wps">
          <w:drawing>
            <wp:anchor distT="0" distB="0" distL="0" distR="0" simplePos="0" relativeHeight="251869184" behindDoc="1" locked="0" layoutInCell="1" allowOverlap="1" wp14:anchorId="26A6E839" wp14:editId="6C278E0C">
              <wp:simplePos x="0" y="0"/>
              <wp:positionH relativeFrom="page">
                <wp:posOffset>7239000</wp:posOffset>
              </wp:positionH>
              <wp:positionV relativeFrom="page">
                <wp:posOffset>4605655</wp:posOffset>
              </wp:positionV>
              <wp:extent cx="408305" cy="82550"/>
              <wp:effectExtent l="0" t="0" r="0" b="0"/>
              <wp:wrapNone/>
              <wp:docPr id="269" name="Shape 269"/>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CA1EEA4"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26A6E839" id="_x0000_t202" coordsize="21600,21600" o:spt="202" path="m,l,21600r21600,l21600,xe">
              <v:stroke joinstyle="miter"/>
              <v:path gradientshapeok="t" o:connecttype="rect"/>
            </v:shapetype>
            <v:shape id="Shape 269" o:spid="_x0000_s1139" type="#_x0000_t202" style="position:absolute;margin-left:570pt;margin-top:362.65pt;width:32.15pt;height:6.5pt;z-index:-2514472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" filled="f" stroked="f">
              <v:textbox style="mso-fit-shape-to-text:t" inset="0,0,0,0">
                <w:txbxContent>
                  <w:p w14:paraId="1CA1EEA4"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A84" w14:textId="77777777" w:rsidR="0072615D" w:rsidRDefault="0072615D">
    <w:pPr>
      <w:spacing w:line="1" w:lineRule="exact"/>
    </w:pPr>
    <w:r>
      <w:rPr>
        <w:noProof/>
      </w:rPr>
      <mc:AlternateContent>
        <mc:Choice Requires="wps">
          <w:drawing>
            <wp:anchor distT="0" distB="0" distL="0" distR="0" simplePos="0" relativeHeight="251872256" behindDoc="1" locked="0" layoutInCell="1" allowOverlap="1" wp14:anchorId="44815D2B" wp14:editId="31E0095F">
              <wp:simplePos x="0" y="0"/>
              <wp:positionH relativeFrom="page">
                <wp:posOffset>7239000</wp:posOffset>
              </wp:positionH>
              <wp:positionV relativeFrom="page">
                <wp:posOffset>5005070</wp:posOffset>
              </wp:positionV>
              <wp:extent cx="408305" cy="82550"/>
              <wp:effectExtent l="0" t="0" r="0" b="0"/>
              <wp:wrapNone/>
              <wp:docPr id="275" name="Shape 275"/>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C7BB70D"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44815D2B" id="_x0000_t202" coordsize="21600,21600" o:spt="202" path="m,l,21600r21600,l21600,xe">
              <v:stroke joinstyle="miter"/>
              <v:path gradientshapeok="t" o:connecttype="rect"/>
            </v:shapetype>
            <v:shape id="Shape 275" o:spid="_x0000_s1140" type="#_x0000_t202" style="position:absolute;margin-left:570pt;margin-top:394.1pt;width:32.15pt;height:6.5pt;z-index:-2514442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" filled="f" stroked="f">
              <v:textbox style="mso-fit-shape-to-text:t" inset="0,0,0,0">
                <w:txbxContent>
                  <w:p w14:paraId="1C7BB70D"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9B5A" w14:textId="77777777" w:rsidR="0072615D" w:rsidRDefault="0072615D">
    <w:pPr>
      <w:spacing w:line="1" w:lineRule="exact"/>
    </w:pPr>
    <w:r>
      <w:rPr>
        <w:noProof/>
      </w:rPr>
      <mc:AlternateContent>
        <mc:Choice Requires="wps">
          <w:drawing>
            <wp:anchor distT="0" distB="0" distL="0" distR="0" simplePos="0" relativeHeight="251871232" behindDoc="1" locked="0" layoutInCell="1" allowOverlap="1" wp14:anchorId="7AD457AD" wp14:editId="3F3483B4">
              <wp:simplePos x="0" y="0"/>
              <wp:positionH relativeFrom="page">
                <wp:posOffset>7239000</wp:posOffset>
              </wp:positionH>
              <wp:positionV relativeFrom="page">
                <wp:posOffset>5005070</wp:posOffset>
              </wp:positionV>
              <wp:extent cx="408305" cy="82550"/>
              <wp:effectExtent l="0" t="0" r="0" b="0"/>
              <wp:wrapNone/>
              <wp:docPr id="273" name="Shape 273"/>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591769E3"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7AD457AD" id="_x0000_t202" coordsize="21600,21600" o:spt="202" path="m,l,21600r21600,l21600,xe">
              <v:stroke joinstyle="miter"/>
              <v:path gradientshapeok="t" o:connecttype="rect"/>
            </v:shapetype>
            <v:shape id="Shape 273" o:spid="_x0000_s1141" type="#_x0000_t202" style="position:absolute;margin-left:570pt;margin-top:394.1pt;width:32.15pt;height:6.5pt;z-index:-2514452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" filled="f" stroked="f">
              <v:textbox style="mso-fit-shape-to-text:t" inset="0,0,0,0">
                <w:txbxContent>
                  <w:p w14:paraId="591769E3"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C7E4" w14:textId="77777777" w:rsidR="0072615D" w:rsidRDefault="0072615D">
    <w:pPr>
      <w:spacing w:line="1" w:lineRule="exact"/>
    </w:pPr>
    <w:r>
      <w:rPr>
        <w:noProof/>
      </w:rPr>
      <mc:AlternateContent>
        <mc:Choice Requires="wps">
          <w:drawing>
            <wp:anchor distT="0" distB="0" distL="0" distR="0" simplePos="0" relativeHeight="251874304" behindDoc="1" locked="0" layoutInCell="1" allowOverlap="1" wp14:anchorId="5CAD73F8" wp14:editId="0546DA4C">
              <wp:simplePos x="0" y="0"/>
              <wp:positionH relativeFrom="page">
                <wp:posOffset>7239000</wp:posOffset>
              </wp:positionH>
              <wp:positionV relativeFrom="page">
                <wp:posOffset>4605655</wp:posOffset>
              </wp:positionV>
              <wp:extent cx="408305" cy="82550"/>
              <wp:effectExtent l="0" t="0" r="0" b="0"/>
              <wp:wrapNone/>
              <wp:docPr id="279" name="Shape 279"/>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046F4833"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5CAD73F8" id="_x0000_t202" coordsize="21600,21600" o:spt="202" path="m,l,21600r21600,l21600,xe">
              <v:stroke joinstyle="miter"/>
              <v:path gradientshapeok="t" o:connecttype="rect"/>
            </v:shapetype>
            <v:shape id="Shape 279" o:spid="_x0000_s1142" type="#_x0000_t202" style="position:absolute;margin-left:570pt;margin-top:362.65pt;width:32.15pt;height:6.5pt;z-index:-2514421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" filled="f" stroked="f">
              <v:textbox style="mso-fit-shape-to-text:t" inset="0,0,0,0">
                <w:txbxContent>
                  <w:p w14:paraId="046F4833"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BC12" w14:textId="77777777" w:rsidR="0072615D" w:rsidRDefault="0072615D">
    <w:pPr>
      <w:spacing w:line="1" w:lineRule="exact"/>
    </w:pPr>
    <w:r>
      <w:rPr>
        <w:noProof/>
      </w:rPr>
      <mc:AlternateContent>
        <mc:Choice Requires="wps">
          <w:drawing>
            <wp:anchor distT="0" distB="0" distL="0" distR="0" simplePos="0" relativeHeight="251873280" behindDoc="1" locked="0" layoutInCell="1" allowOverlap="1" wp14:anchorId="0A3149FD" wp14:editId="1FF0211D">
              <wp:simplePos x="0" y="0"/>
              <wp:positionH relativeFrom="page">
                <wp:posOffset>7239000</wp:posOffset>
              </wp:positionH>
              <wp:positionV relativeFrom="page">
                <wp:posOffset>4605655</wp:posOffset>
              </wp:positionV>
              <wp:extent cx="408305" cy="82550"/>
              <wp:effectExtent l="0" t="0" r="0" b="0"/>
              <wp:wrapNone/>
              <wp:docPr id="277" name="Shape 277"/>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522AF67C"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0A3149FD" id="_x0000_t202" coordsize="21600,21600" o:spt="202" path="m,l,21600r21600,l21600,xe">
              <v:stroke joinstyle="miter"/>
              <v:path gradientshapeok="t" o:connecttype="rect"/>
            </v:shapetype>
            <v:shape id="Shape 277" o:spid="_x0000_s1143" type="#_x0000_t202" style="position:absolute;margin-left:570pt;margin-top:362.65pt;width:32.15pt;height:6.5pt;z-index:-2514432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" filled="f" stroked="f">
              <v:textbox style="mso-fit-shape-to-text:t" inset="0,0,0,0">
                <w:txbxContent>
                  <w:p w14:paraId="522AF67C"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E547" w14:textId="77777777" w:rsidR="0072615D" w:rsidRDefault="0072615D">
    <w:pPr>
      <w:spacing w:line="1" w:lineRule="exac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FD98" w14:textId="77777777" w:rsidR="0072615D" w:rsidRDefault="0072615D">
    <w:pPr>
      <w:spacing w:line="1" w:lineRule="exact"/>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760D" w14:textId="77777777" w:rsidR="0072615D" w:rsidRDefault="0072615D">
    <w:pPr>
      <w:spacing w:line="1" w:lineRule="exact"/>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CCE3" w14:textId="77777777" w:rsidR="0072615D" w:rsidRDefault="0072615D">
    <w:pPr>
      <w:spacing w:line="1" w:lineRule="exact"/>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0C90" w14:textId="77777777" w:rsidR="0072615D" w:rsidRDefault="0072615D">
    <w:pPr>
      <w:spacing w:line="1" w:lineRule="exact"/>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97406" w14:textId="77777777" w:rsidR="0072615D" w:rsidRDefault="0072615D"/>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8293" w14:textId="77777777" w:rsidR="0072615D" w:rsidRDefault="0072615D"/>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6E76" w14:textId="77777777" w:rsidR="0072615D" w:rsidRDefault="0072615D">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D14A" w14:textId="77777777" w:rsidR="0072615D" w:rsidRDefault="0072615D">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D2C00" w14:textId="77777777" w:rsidR="0072615D" w:rsidRDefault="0072615D"/>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8BFF" w14:textId="77777777" w:rsidR="0072615D" w:rsidRDefault="0072615D"/>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D4D2" w14:textId="77777777" w:rsidR="0072615D" w:rsidRDefault="0072615D">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E9B3" w14:textId="77777777" w:rsidR="0072615D" w:rsidRDefault="0072615D">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5AADF" w14:textId="77777777" w:rsidR="0072615D" w:rsidRDefault="0072615D">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47E1" w14:textId="77777777" w:rsidR="0072615D" w:rsidRDefault="0072615D"/>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8971" w14:textId="77777777" w:rsidR="0072615D" w:rsidRDefault="0072615D"/>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BB64" w14:textId="77777777" w:rsidR="0072615D" w:rsidRDefault="0072615D">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1AA6" w14:textId="77777777" w:rsidR="0072615D" w:rsidRDefault="0072615D">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528C3" w14:textId="77777777" w:rsidR="0072615D" w:rsidRDefault="0072615D"/>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2A00D" w14:textId="77777777" w:rsidR="0072615D" w:rsidRDefault="0072615D"/>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F714" w14:textId="77777777" w:rsidR="0072615D" w:rsidRDefault="0072615D">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D535" w14:textId="77777777" w:rsidR="0072615D" w:rsidRDefault="0072615D">
    <w:pPr>
      <w:spacing w:line="1" w:lineRule="exact"/>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D4EC0" w14:textId="77777777" w:rsidR="0072615D" w:rsidRDefault="0072615D">
    <w:pPr>
      <w:spacing w:line="1" w:lineRule="exact"/>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1CFB9" w14:textId="77777777" w:rsidR="0072615D" w:rsidRDefault="0072615D">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AA8E" w14:textId="77777777" w:rsidR="0072615D" w:rsidRDefault="0072615D"/>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C7D8" w14:textId="77777777" w:rsidR="0072615D" w:rsidRDefault="0072615D"/>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C120" w14:textId="77777777" w:rsidR="0072615D" w:rsidRDefault="0072615D">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F96B" w14:textId="77777777" w:rsidR="0072615D" w:rsidRDefault="0072615D">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7B44" w14:textId="77777777" w:rsidR="0072615D" w:rsidRDefault="0072615D">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39420" w14:textId="77777777" w:rsidR="0072615D" w:rsidRDefault="0072615D">
    <w:pPr>
      <w:spacing w:line="1" w:lineRule="exact"/>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F558" w14:textId="77777777" w:rsidR="0072615D" w:rsidRDefault="0072615D">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4082" w14:textId="77777777" w:rsidR="0072615D" w:rsidRDefault="0072615D"/>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E44B" w14:textId="77777777" w:rsidR="0072615D" w:rsidRDefault="0072615D"/>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EB17" w14:textId="77777777" w:rsidR="0072615D" w:rsidRDefault="0072615D">
    <w:pPr>
      <w:spacing w:line="1" w:lineRule="exac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4AAF" w14:textId="77777777" w:rsidR="0072615D" w:rsidRDefault="0072615D">
    <w:pPr>
      <w:spacing w:line="1" w:lineRule="exact"/>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60036" w14:textId="77777777" w:rsidR="0072615D" w:rsidRDefault="0072615D"/>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A90E" w14:textId="77777777" w:rsidR="0072615D" w:rsidRDefault="0072615D"/>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ADE7" w14:textId="77777777" w:rsidR="0072615D" w:rsidRDefault="0072615D">
    <w:pPr>
      <w:spacing w:line="1" w:lineRule="exact"/>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58861" w14:textId="77777777" w:rsidR="0072615D" w:rsidRDefault="0072615D">
    <w:pPr>
      <w:spacing w:line="1" w:lineRule="exact"/>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2353" w14:textId="77777777" w:rsidR="0072615D" w:rsidRDefault="0072615D">
    <w:pPr>
      <w:spacing w:line="1" w:lineRule="exact"/>
    </w:pPr>
    <w:r>
      <w:rPr>
        <w:noProof/>
      </w:rPr>
      <mc:AlternateContent>
        <mc:Choice Requires="wps">
          <w:drawing>
            <wp:anchor distT="0" distB="0" distL="0" distR="0" simplePos="0" relativeHeight="251912192" behindDoc="1" locked="0" layoutInCell="1" allowOverlap="1" wp14:anchorId="40858F64" wp14:editId="5EDAC4F8">
              <wp:simplePos x="0" y="0"/>
              <wp:positionH relativeFrom="page">
                <wp:posOffset>7239000</wp:posOffset>
              </wp:positionH>
              <wp:positionV relativeFrom="page">
                <wp:posOffset>5005070</wp:posOffset>
              </wp:positionV>
              <wp:extent cx="408305" cy="82550"/>
              <wp:effectExtent l="0" t="0" r="0" b="0"/>
              <wp:wrapNone/>
              <wp:docPr id="410" name="Shape 410"/>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E0871C7"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40858F64" id="_x0000_t202" coordsize="21600,21600" o:spt="202" path="m,l,21600r21600,l21600,xe">
              <v:stroke joinstyle="miter"/>
              <v:path gradientshapeok="t" o:connecttype="rect"/>
            </v:shapetype>
            <v:shape id="Shape 410" o:spid="_x0000_s1179" type="#_x0000_t202" style="position:absolute;margin-left:570pt;margin-top:394.1pt;width:32.15pt;height:6.5pt;z-index:-251404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" filled="f" stroked="f">
              <v:textbox style="mso-fit-shape-to-text:t" inset="0,0,0,0">
                <w:txbxContent>
                  <w:p w14:paraId="1E0871C7"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A2AB" w14:textId="77777777" w:rsidR="0072615D" w:rsidRDefault="0072615D">
    <w:pPr>
      <w:spacing w:line="1" w:lineRule="exact"/>
    </w:pPr>
    <w:r>
      <w:rPr>
        <w:noProof/>
      </w:rPr>
      <mc:AlternateContent>
        <mc:Choice Requires="wps">
          <w:drawing>
            <wp:anchor distT="0" distB="0" distL="0" distR="0" simplePos="0" relativeHeight="251911168" behindDoc="1" locked="0" layoutInCell="1" allowOverlap="1" wp14:anchorId="09C34F8A" wp14:editId="24CF14C3">
              <wp:simplePos x="0" y="0"/>
              <wp:positionH relativeFrom="page">
                <wp:posOffset>7239000</wp:posOffset>
              </wp:positionH>
              <wp:positionV relativeFrom="page">
                <wp:posOffset>5005070</wp:posOffset>
              </wp:positionV>
              <wp:extent cx="408305" cy="82550"/>
              <wp:effectExtent l="0" t="0" r="0" b="0"/>
              <wp:wrapNone/>
              <wp:docPr id="408" name="Shape 408"/>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6BACDB9A"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09C34F8A" id="_x0000_t202" coordsize="21600,21600" o:spt="202" path="m,l,21600r21600,l21600,xe">
              <v:stroke joinstyle="miter"/>
              <v:path gradientshapeok="t" o:connecttype="rect"/>
            </v:shapetype>
            <v:shape id="Shape 408" o:spid="_x0000_s1180" type="#_x0000_t202" style="position:absolute;margin-left:570pt;margin-top:394.1pt;width:32.15pt;height:6.5pt;z-index:-2514053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Vthg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" filled="f" stroked="f">
              <v:textbox style="mso-fit-shape-to-text:t" inset="0,0,0,0">
                <w:txbxContent>
                  <w:p w14:paraId="6BACDB9A"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B6B7E" w14:textId="77777777" w:rsidR="0072615D" w:rsidRDefault="0072615D"/>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510B7" w14:textId="77777777" w:rsidR="0072615D" w:rsidRDefault="0072615D"/>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57BD" w14:textId="77777777" w:rsidR="0072615D" w:rsidRDefault="0072615D">
    <w:pPr>
      <w:spacing w:line="1" w:lineRule="exact"/>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038F" w14:textId="77777777" w:rsidR="0072615D" w:rsidRDefault="0072615D">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B34D" w14:textId="77777777" w:rsidR="0072615D" w:rsidRDefault="0072615D">
    <w:pPr>
      <w:spacing w:line="1" w:lineRule="exact"/>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F45B" w14:textId="77777777" w:rsidR="0072615D" w:rsidRDefault="0072615D"/>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5F74" w14:textId="77777777" w:rsidR="0072615D" w:rsidRDefault="0072615D"/>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BC16" w14:textId="77777777" w:rsidR="0072615D" w:rsidRDefault="0072615D">
    <w:pPr>
      <w:spacing w:line="1" w:lineRule="exact"/>
    </w:pPr>
    <w:r>
      <w:rPr>
        <w:noProof/>
      </w:rPr>
      <mc:AlternateContent>
        <mc:Choice Requires="wps">
          <w:drawing>
            <wp:anchor distT="0" distB="0" distL="0" distR="0" simplePos="0" relativeHeight="251919360" behindDoc="1" locked="0" layoutInCell="1" allowOverlap="1" wp14:anchorId="05295525" wp14:editId="1DB4168E">
              <wp:simplePos x="0" y="0"/>
              <wp:positionH relativeFrom="page">
                <wp:posOffset>7239000</wp:posOffset>
              </wp:positionH>
              <wp:positionV relativeFrom="page">
                <wp:posOffset>4605655</wp:posOffset>
              </wp:positionV>
              <wp:extent cx="408305" cy="82550"/>
              <wp:effectExtent l="0" t="0" r="0" b="0"/>
              <wp:wrapNone/>
              <wp:docPr id="429" name="Shape 429"/>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11EEF2BF"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05295525" id="_x0000_t202" coordsize="21600,21600" o:spt="202" path="m,l,21600r21600,l21600,xe">
              <v:stroke joinstyle="miter"/>
              <v:path gradientshapeok="t" o:connecttype="rect"/>
            </v:shapetype>
            <v:shape id="Shape 429" o:spid="_x0000_s1186" type="#_x0000_t202" style="position:absolute;margin-left:570pt;margin-top:362.65pt;width:32.15pt;height:6.5pt;z-index:-251397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" filled="f" stroked="f">
              <v:textbox style="mso-fit-shape-to-text:t" inset="0,0,0,0">
                <w:txbxContent>
                  <w:p w14:paraId="11EEF2BF"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F17B" w14:textId="77777777" w:rsidR="0072615D" w:rsidRDefault="0072615D">
    <w:pPr>
      <w:spacing w:line="1" w:lineRule="exact"/>
    </w:pPr>
    <w:r>
      <w:rPr>
        <w:noProof/>
      </w:rPr>
      <mc:AlternateContent>
        <mc:Choice Requires="wps">
          <w:drawing>
            <wp:anchor distT="0" distB="0" distL="0" distR="0" simplePos="0" relativeHeight="251918336" behindDoc="1" locked="0" layoutInCell="1" allowOverlap="1" wp14:anchorId="20D1FC36" wp14:editId="32C5670E">
              <wp:simplePos x="0" y="0"/>
              <wp:positionH relativeFrom="page">
                <wp:posOffset>7239000</wp:posOffset>
              </wp:positionH>
              <wp:positionV relativeFrom="page">
                <wp:posOffset>4605655</wp:posOffset>
              </wp:positionV>
              <wp:extent cx="408305" cy="82550"/>
              <wp:effectExtent l="0" t="0" r="0" b="0"/>
              <wp:wrapNone/>
              <wp:docPr id="427" name="Shape 427"/>
              <wp:cNvGraphicFramePr/>
              <a:graphic xmlns:a="http://schemas.openxmlformats.org/drawingml/2006/main">
                <a:graphicData uri="http://schemas.microsoft.com/office/word/2010/wordprocessingShape">
                  <wps:wsp>
                    <wps:cNvSpPr txBox="1"/>
                    <wps:spPr>
                      <a:xfrm>
                        <a:off x="0" y="0"/>
                        <a:ext cx="408305" cy="82550"/>
                      </a:xfrm>
                      <a:prstGeom prst="rect">
                        <a:avLst/>
                      </a:prstGeom>
                      <a:noFill/>
                    </wps:spPr>
                    <wps:txbx>
                      <w:txbxContent>
                        <w:p w14:paraId="2732757E"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wps:txbx>
                    <wps:bodyPr wrap="none" lIns="0" tIns="0" rIns="0" bIns="0">
                      <a:spAutoFit/>
                    </wps:bodyPr>
                  </wps:wsp>
                </a:graphicData>
              </a:graphic>
            </wp:anchor>
          </w:drawing>
        </mc:Choice>
        <mc:Fallback>
          <w:pict>
            <v:shapetype w14:anchorId="20D1FC36" id="_x0000_t202" coordsize="21600,21600" o:spt="202" path="m,l,21600r21600,l21600,xe">
              <v:stroke joinstyle="miter"/>
              <v:path gradientshapeok="t" o:connecttype="rect"/>
            </v:shapetype>
            <v:shape id="Shape 427" o:spid="_x0000_s1187" type="#_x0000_t202" style="position:absolute;margin-left:570pt;margin-top:362.65pt;width:32.15pt;height:6.5pt;z-index:-251398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" filled="f" stroked="f">
              <v:textbox style="mso-fit-shape-to-text:t" inset="0,0,0,0">
                <w:txbxContent>
                  <w:p w14:paraId="2732757E" w14:textId="77777777" w:rsidR="0072615D" w:rsidRDefault="0072615D">
                    <w:pPr>
                      <w:pStyle w:val="Headerorfooter0"/>
                      <w:rPr>
                        <w:sz w:val="16"/>
                        <w:szCs w:val="16"/>
                      </w:rPr>
                    </w:pPr>
                    <w:r>
                      <w:rPr>
                        <w:rFonts w:ascii="Times New Roman" w:eastAsia="Times New Roman" w:hAnsi="Times New Roman" w:cs="Times New Roman"/>
                        <w:i/>
                        <w:iCs/>
                        <w:sz w:val="16"/>
                        <w:szCs w:val="16"/>
                      </w:rPr>
                      <w:t>continúa</w:t>
                    </w:r>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36AD" w14:textId="77777777" w:rsidR="0072615D" w:rsidRDefault="0072615D">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A9D3" w14:textId="77777777" w:rsidR="0072615D" w:rsidRDefault="0072615D">
    <w:pPr>
      <w:spacing w:line="1" w:lineRule="exact"/>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2343" w14:textId="77777777" w:rsidR="0072615D" w:rsidRDefault="0072615D"/>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1D3B" w14:textId="77777777" w:rsidR="0072615D" w:rsidRDefault="0072615D"/>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A856" w14:textId="77777777" w:rsidR="0072615D" w:rsidRDefault="0072615D">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9BF5" w14:textId="77777777" w:rsidR="0072615D" w:rsidRDefault="0072615D">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E1BBF" w14:textId="77777777" w:rsidR="0072615D" w:rsidRDefault="0072615D">
    <w:pPr>
      <w:spacing w:line="1" w:lineRule="exact"/>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C068" w14:textId="77777777" w:rsidR="0072615D" w:rsidRDefault="0072615D"/>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AB0B" w14:textId="77777777" w:rsidR="0072615D" w:rsidRDefault="0072615D"/>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6CB5" w14:textId="77777777" w:rsidR="0072615D" w:rsidRDefault="0072615D">
    <w:pPr>
      <w:spacing w:line="1" w:lineRule="exact"/>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9475" w14:textId="77777777" w:rsidR="0072615D" w:rsidRDefault="0072615D">
    <w:pPr>
      <w:spacing w:line="1" w:lineRule="exact"/>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293B" w14:textId="77777777" w:rsidR="0072615D" w:rsidRDefault="0072615D">
    <w:pPr>
      <w:spacing w:line="1" w:lineRule="exact"/>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A574" w14:textId="77777777" w:rsidR="0072615D" w:rsidRDefault="0072615D">
    <w:pPr>
      <w:spacing w:line="1" w:lineRule="exact"/>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F493" w14:textId="77777777" w:rsidR="0072615D" w:rsidRDefault="0072615D">
    <w:pPr>
      <w:spacing w:line="1" w:lineRule="exact"/>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DF4B5" w14:textId="77777777" w:rsidR="0072615D" w:rsidRDefault="0072615D">
    <w:pPr>
      <w:spacing w:line="1" w:lineRule="exact"/>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B5DD" w14:textId="77777777" w:rsidR="0072615D" w:rsidRDefault="0072615D">
    <w:pPr>
      <w:spacing w:line="1" w:lineRule="exact"/>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2A4C" w14:textId="77777777" w:rsidR="0072615D" w:rsidRDefault="0072615D">
    <w:pPr>
      <w:spacing w:line="1" w:lineRule="exact"/>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AD4A" w14:textId="77777777" w:rsidR="0072615D" w:rsidRDefault="0072615D">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59A5" w14:textId="77777777" w:rsidR="0072615D" w:rsidRDefault="0072615D">
    <w:pPr>
      <w:spacing w:line="1" w:lineRule="exact"/>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23FA" w14:textId="77777777" w:rsidR="0072615D" w:rsidRDefault="0072615D">
    <w:pPr>
      <w:spacing w:line="1" w:lineRule="exact"/>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38B9" w14:textId="77777777" w:rsidR="0072615D" w:rsidRDefault="0072615D">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01242" w14:textId="77777777" w:rsidR="0048489D" w:rsidRDefault="0048489D" w:rsidP="0072615D">
      <w:pPr>
        <w:spacing w:after="0" w:line="240" w:lineRule="auto"/>
      </w:pPr>
      <w:r>
        <w:separator/>
      </w:r>
    </w:p>
  </w:footnote>
  <w:footnote w:type="continuationSeparator" w:id="0">
    <w:p w14:paraId="320311F7" w14:textId="77777777" w:rsidR="0048489D" w:rsidRDefault="0048489D" w:rsidP="0072615D">
      <w:pPr>
        <w:spacing w:after="0" w:line="240" w:lineRule="auto"/>
      </w:pPr>
      <w:r>
        <w:continuationSeparator/>
      </w:r>
    </w:p>
  </w:footnote>
  <w:footnote w:id="1">
    <w:p w14:paraId="1FA09F10" w14:textId="77777777" w:rsidR="0072615D" w:rsidRDefault="0072615D">
      <w:pPr>
        <w:pStyle w:val="Footnote0"/>
      </w:pPr>
      <w:r>
        <w:footnoteRef/>
      </w:r>
      <w:r>
        <w:t xml:space="preserve"> Véase el apéndice I, Directorio de recursos.</w:t>
      </w:r>
    </w:p>
  </w:footnote>
  <w:footnote w:id="2">
    <w:p w14:paraId="7002E2A8" w14:textId="77777777" w:rsidR="0072615D" w:rsidRDefault="0072615D">
      <w:pPr>
        <w:pStyle w:val="Footnote0"/>
        <w:pBdr>
          <w:top w:val="single" w:sz="4" w:space="0" w:color="auto"/>
        </w:pBdr>
      </w:pPr>
      <w:r>
        <w:t xml:space="preserve">VICP, </w:t>
      </w:r>
      <w:r>
        <w:rPr>
          <w:i/>
          <w:iCs/>
        </w:rPr>
        <w:t>Vaccine Injury Compensation Program;</w:t>
      </w:r>
      <w:r>
        <w:t xml:space="preserve"> VIS, </w:t>
      </w:r>
      <w:r>
        <w:rPr>
          <w:i/>
          <w:iCs/>
        </w:rPr>
        <w:t>Vaccine Information Statements</w:t>
      </w:r>
      <w:r>
        <w:t xml:space="preserve"> (declaraciones de información sobre vacunas).</w:t>
      </w:r>
    </w:p>
  </w:footnote>
  <w:footnote w:id="3">
    <w:p w14:paraId="39BE2990" w14:textId="77777777" w:rsidR="0072615D" w:rsidRDefault="0072615D">
      <w:pPr>
        <w:pStyle w:val="Footnote0"/>
        <w:tabs>
          <w:tab w:val="left" w:pos="-117"/>
        </w:tabs>
        <w:ind w:hanging="280"/>
      </w:pPr>
      <w:r>
        <w:rPr>
          <w:sz w:val="8"/>
          <w:szCs w:val="8"/>
          <w:vertAlign w:val="superscript"/>
        </w:rPr>
        <w:footnoteRef/>
      </w:r>
      <w:r>
        <w:rPr>
          <w:sz w:val="8"/>
          <w:szCs w:val="8"/>
        </w:rPr>
        <w:tab/>
      </w:r>
      <w:r>
        <w:t>Obligatorio según la Ley Nacional de Lesiones por Vacunas en Niños.</w:t>
      </w:r>
    </w:p>
  </w:footnote>
  <w:footnote w:id="4">
    <w:p w14:paraId="4F4D4DC2" w14:textId="77777777" w:rsidR="0072615D" w:rsidRDefault="0072615D">
      <w:pPr>
        <w:pStyle w:val="Footnote0"/>
        <w:tabs>
          <w:tab w:val="left" w:pos="-107"/>
        </w:tabs>
        <w:ind w:hanging="280"/>
      </w:pPr>
      <w:r>
        <w:rPr>
          <w:sz w:val="8"/>
          <w:szCs w:val="8"/>
        </w:rPr>
        <w:footnoteRef/>
      </w:r>
      <w:r>
        <w:rPr>
          <w:sz w:val="8"/>
          <w:szCs w:val="8"/>
        </w:rPr>
        <w:tab/>
      </w:r>
      <w:r>
        <w:t xml:space="preserve">Obligatorio según las normas de los </w:t>
      </w:r>
      <w:r>
        <w:rPr>
          <w:i/>
          <w:iCs/>
        </w:rPr>
        <w:t>Centers for Diasese Control and Prevention</w:t>
      </w:r>
      <w:r>
        <w:t xml:space="preserve"> (CDC) en caso de vacunas adquiridas por un contrato con tales centros.</w:t>
      </w:r>
    </w:p>
  </w:footnote>
  <w:footnote w:id="5">
    <w:p w14:paraId="63ACDA26" w14:textId="77777777" w:rsidR="0072615D" w:rsidRDefault="0072615D">
      <w:pPr>
        <w:pStyle w:val="Footnote0"/>
        <w:tabs>
          <w:tab w:val="left" w:pos="-112"/>
        </w:tabs>
        <w:ind w:hanging="280"/>
      </w:pPr>
      <w:r>
        <w:rPr>
          <w:sz w:val="8"/>
          <w:szCs w:val="8"/>
          <w:vertAlign w:val="superscript"/>
        </w:rPr>
        <w:footnoteRef/>
      </w:r>
      <w:r>
        <w:rPr>
          <w:sz w:val="8"/>
          <w:szCs w:val="8"/>
        </w:rPr>
        <w:tab/>
      </w:r>
      <w:r>
        <w:t xml:space="preserve">Recomendado por la </w:t>
      </w:r>
      <w:r>
        <w:rPr>
          <w:i/>
          <w:iCs/>
        </w:rPr>
        <w:t>American Academy of Pediatrics.</w:t>
      </w:r>
    </w:p>
  </w:footnote>
  <w:footnote w:id="6">
    <w:p w14:paraId="7939D95D" w14:textId="77777777" w:rsidR="0072615D" w:rsidRDefault="0072615D">
      <w:pPr>
        <w:pStyle w:val="Footnote0"/>
        <w:pBdr>
          <w:top w:val="single" w:sz="4" w:space="0" w:color="auto"/>
        </w:pBdr>
        <w:ind w:left="180"/>
        <w:jc w:val="both"/>
      </w:pPr>
      <w:r>
        <w:t xml:space="preserve">VICP, </w:t>
      </w:r>
      <w:r>
        <w:rPr>
          <w:i/>
          <w:iCs/>
        </w:rPr>
        <w:t>Vaccine Injury Compensation Program;</w:t>
      </w:r>
      <w:r>
        <w:t xml:space="preserve"> VIS, </w:t>
      </w:r>
      <w:r>
        <w:rPr>
          <w:i/>
          <w:iCs/>
        </w:rPr>
        <w:t>Vaccine Information Statements</w:t>
      </w:r>
      <w:r>
        <w:t xml:space="preserve"> (declaraciones de información sobre vacunas).</w:t>
      </w:r>
    </w:p>
  </w:footnote>
  <w:footnote w:id="7">
    <w:p w14:paraId="3B54C4C3" w14:textId="77777777" w:rsidR="0072615D" w:rsidRDefault="0072615D">
      <w:pPr>
        <w:pStyle w:val="Footnote0"/>
        <w:tabs>
          <w:tab w:val="left" w:pos="163"/>
        </w:tabs>
      </w:pPr>
      <w:r>
        <w:rPr>
          <w:sz w:val="8"/>
          <w:szCs w:val="8"/>
          <w:vertAlign w:val="superscript"/>
        </w:rPr>
        <w:footnoteRef/>
      </w:r>
      <w:r>
        <w:rPr>
          <w:sz w:val="8"/>
          <w:szCs w:val="8"/>
        </w:rPr>
        <w:tab/>
      </w:r>
      <w:r>
        <w:t>Obligatorio según la Ley Nacional de Lesiones por Vacunas en Niños.</w:t>
      </w:r>
    </w:p>
  </w:footnote>
  <w:footnote w:id="8">
    <w:p w14:paraId="3E0D4FF8" w14:textId="77777777" w:rsidR="0072615D" w:rsidRDefault="0072615D">
      <w:pPr>
        <w:pStyle w:val="Footnote0"/>
        <w:tabs>
          <w:tab w:val="left" w:pos="173"/>
        </w:tabs>
        <w:ind w:left="180" w:hanging="180"/>
      </w:pPr>
      <w:r>
        <w:rPr>
          <w:sz w:val="8"/>
          <w:szCs w:val="8"/>
        </w:rPr>
        <w:footnoteRef/>
      </w:r>
      <w:r>
        <w:rPr>
          <w:sz w:val="8"/>
          <w:szCs w:val="8"/>
        </w:rPr>
        <w:tab/>
      </w:r>
      <w:r>
        <w:t xml:space="preserve">Obligatorio según las normas de los </w:t>
      </w:r>
      <w:r>
        <w:rPr>
          <w:i/>
          <w:iCs/>
        </w:rPr>
        <w:t>Centers for Diasese Control and Prevention</w:t>
      </w:r>
      <w:r>
        <w:t xml:space="preserve"> (CDC) en caso de vacunas adquiridas por un contrato con tales centros.</w:t>
      </w:r>
    </w:p>
  </w:footnote>
  <w:footnote w:id="9">
    <w:p w14:paraId="1FC1C2D9" w14:textId="77777777" w:rsidR="0072615D" w:rsidRDefault="0072615D">
      <w:pPr>
        <w:pStyle w:val="Footnote0"/>
        <w:tabs>
          <w:tab w:val="left" w:pos="168"/>
        </w:tabs>
      </w:pPr>
      <w:r>
        <w:rPr>
          <w:sz w:val="8"/>
          <w:szCs w:val="8"/>
          <w:vertAlign w:val="superscript"/>
        </w:rPr>
        <w:footnoteRef/>
      </w:r>
      <w:r>
        <w:rPr>
          <w:sz w:val="8"/>
          <w:szCs w:val="8"/>
        </w:rPr>
        <w:tab/>
      </w:r>
      <w:r>
        <w:t xml:space="preserve">Recomendado por la </w:t>
      </w:r>
      <w:r>
        <w:rPr>
          <w:i/>
          <w:iCs/>
        </w:rPr>
        <w:t>American Academy of Pediatrics.</w:t>
      </w:r>
    </w:p>
  </w:footnote>
  <w:footnote w:id="10">
    <w:p w14:paraId="675CCBEE" w14:textId="77777777" w:rsidR="0072615D" w:rsidRDefault="0072615D">
      <w:pPr>
        <w:pStyle w:val="Footnote0"/>
        <w:spacing w:line="266" w:lineRule="auto"/>
      </w:pPr>
      <w:r>
        <w:footnoteRef/>
      </w:r>
      <w:r>
        <w:t xml:space="preserve"> Centers for Disease Control and Prevention. </w:t>
      </w:r>
      <w:r>
        <w:rPr>
          <w:i/>
          <w:iCs/>
        </w:rPr>
        <w:t>Vaccine Management Recommendations for Handling and Storage of Selected Biologicals.</w:t>
      </w:r>
      <w:r>
        <w:t xml:space="preserve"> Atlanta, GA: US Department of Health and Human Services, Public Health Service; 1999.</w:t>
      </w:r>
    </w:p>
  </w:footnote>
  <w:footnote w:id="11">
    <w:p w14:paraId="6E086624" w14:textId="77777777" w:rsidR="0072615D" w:rsidRDefault="0072615D">
      <w:pPr>
        <w:pStyle w:val="Footnote0"/>
      </w:pPr>
      <w:r>
        <w:footnoteRef/>
      </w:r>
      <w:r>
        <w:t xml:space="preserve"> Se puede obtener de 3M Pharmaceuticals, St Paul, Minn.</w:t>
      </w:r>
    </w:p>
  </w:footnote>
  <w:footnote w:id="12">
    <w:p w14:paraId="53435682" w14:textId="77777777" w:rsidR="0072615D" w:rsidRDefault="0072615D">
      <w:pPr>
        <w:pStyle w:val="Footnote0"/>
        <w:spacing w:line="266" w:lineRule="auto"/>
      </w:pPr>
      <w:r>
        <w:footnoteRef/>
      </w:r>
      <w:r>
        <w:t xml:space="preserve"> Para revisar el tema de inyecciones intramusculares véase Centers for Disease Control and Prevention. </w:t>
      </w:r>
      <w:r>
        <w:rPr>
          <w:i/>
          <w:iCs/>
        </w:rPr>
        <w:t>Epidemiology and Prevention of Vaccine Preventable Disease.</w:t>
      </w:r>
      <w:r>
        <w:t xml:space="preserve"> Atlanta, GA: Centers for Disease Control and Prevention; 2002. Si se desean copias, solicitarlas a Public Health Foundation en 877-252-1200 o visitar la página Web </w:t>
      </w:r>
      <w:hyperlink r:id="rId1" w:history="1">
        <w:r>
          <w:t>www.cdc.gov/nip/publications/pink/</w:t>
        </w:r>
      </w:hyperlink>
      <w:r>
        <w:t>.</w:t>
      </w:r>
    </w:p>
  </w:footnote>
  <w:footnote w:id="13">
    <w:p w14:paraId="595A9490" w14:textId="77777777" w:rsidR="0072615D" w:rsidRDefault="0072615D">
      <w:pPr>
        <w:pStyle w:val="Footnote0"/>
        <w:spacing w:line="266" w:lineRule="auto"/>
      </w:pPr>
      <w:r>
        <w:footnoteRef/>
      </w:r>
      <w:r>
        <w:t xml:space="preserve"> American Academy of Pediatrics, Committee on Infectious Diseases. En cuanto a las vacunas por combinación para inmunizar niños, conviene consultar las recomendaciones del Advisory Committee on Immunization Practices (ACIP), la American Academy of Pediatrics (AAP), y la American Academy of Family Physicians (AAFP). </w:t>
      </w:r>
      <w:r>
        <w:rPr>
          <w:i/>
          <w:iCs/>
        </w:rPr>
        <w:t>Pediatrics.</w:t>
      </w:r>
      <w:r>
        <w:t xml:space="preserve"> 1999;103:1064-1077.</w:t>
      </w:r>
    </w:p>
    <w:p w14:paraId="03024244" w14:textId="77777777" w:rsidR="0072615D" w:rsidRDefault="0072615D">
      <w:pPr>
        <w:pStyle w:val="Footnote0"/>
        <w:spacing w:line="266" w:lineRule="auto"/>
      </w:pPr>
      <w:r>
        <w:t xml:space="preserve">+ Centers for Disease Control and Prevention. Recommended adult immunization schedule-United States, 2002-2003. </w:t>
      </w:r>
      <w:r>
        <w:rPr>
          <w:i/>
          <w:iCs/>
        </w:rPr>
        <w:t>MMWR Morb Mortal Wkly Rep.</w:t>
      </w:r>
      <w:r>
        <w:t xml:space="preserve"> 2002;51:904-908.</w:t>
      </w:r>
    </w:p>
  </w:footnote>
  <w:footnote w:id="14">
    <w:p w14:paraId="08B4D80A" w14:textId="77777777" w:rsidR="0072615D" w:rsidRDefault="0072615D">
      <w:pPr>
        <w:pStyle w:val="Footnote0"/>
        <w:spacing w:line="266" w:lineRule="auto"/>
      </w:pPr>
      <w:r>
        <w:footnoteRef/>
      </w:r>
      <w:r>
        <w:t xml:space="preserve"> Halsey NA, Hyman SL y el Conference Writing Panel. Measles-mumps-rubella vaccine and autistic spectrum disorder: report from the New Challenges in Immunizations Conference convened in Oak Brook, Illinois, June 12-13, 2000. </w:t>
      </w:r>
      <w:r>
        <w:rPr>
          <w:i/>
          <w:iCs/>
        </w:rPr>
        <w:t>Pediatrics</w:t>
      </w:r>
      <w:r>
        <w:t xml:space="preserve"> 2001;107(5). Visitar: </w:t>
      </w:r>
      <w:hyperlink r:id="rId2" w:history="1">
        <w:r>
          <w:t>www.pediatrics.org/cgi/content/full/107/5/e84</w:t>
        </w:r>
      </w:hyperlink>
      <w:r>
        <w:t>.</w:t>
      </w:r>
    </w:p>
  </w:footnote>
  <w:footnote w:id="15">
    <w:p w14:paraId="1CD0A6FE" w14:textId="77777777" w:rsidR="0072615D" w:rsidRDefault="0072615D">
      <w:pPr>
        <w:pStyle w:val="Footnote0"/>
        <w:pBdr>
          <w:top w:val="single" w:sz="4" w:space="0" w:color="auto"/>
        </w:pBdr>
        <w:spacing w:line="266" w:lineRule="auto"/>
      </w:pPr>
      <w:r>
        <w:footnoteRef/>
      </w:r>
      <w:r>
        <w:t xml:space="preserve"> Ver apéndice I.</w:t>
      </w:r>
    </w:p>
    <w:p w14:paraId="0BA320F4" w14:textId="77777777" w:rsidR="0072615D" w:rsidRDefault="0072615D">
      <w:pPr>
        <w:pStyle w:val="Footnote0"/>
        <w:spacing w:line="266" w:lineRule="auto"/>
      </w:pPr>
      <w:r>
        <w:t>+ Centers for Disease Control and Prevention. Surveillance for safety after inmunization: Vaccine Adverse Event. Reporting System (VAERS) -United States, 1999-2001. MMWR Surveill Summ. 2003; 52(55-1):1-24</w:t>
      </w:r>
    </w:p>
  </w:footnote>
  <w:footnote w:id="16">
    <w:p w14:paraId="0C33EE33" w14:textId="77777777" w:rsidR="0072615D" w:rsidRDefault="0072615D">
      <w:pPr>
        <w:pStyle w:val="Footnote0"/>
        <w:spacing w:line="266" w:lineRule="auto"/>
      </w:pPr>
      <w:r>
        <w:footnoteRef/>
      </w:r>
      <w:r>
        <w:t xml:space="preserve"> National Immunization Program. </w:t>
      </w:r>
      <w:r>
        <w:rPr>
          <w:i/>
          <w:iCs/>
        </w:rPr>
        <w:t>Six Common Misconceptions About Vaccination and How to Respond to Them.</w:t>
      </w:r>
      <w:r>
        <w:t xml:space="preserve"> Atlanta, GA: Centers for Disease Control and Prevention: 1996. Visitar: </w:t>
      </w:r>
      <w:hyperlink r:id="rId3" w:history="1">
        <w:r>
          <w:t>www.cdc.gov/nip/publications/6mishome.htm</w:t>
        </w:r>
      </w:hyperlink>
      <w:r>
        <w:t xml:space="preserve"> (actualización de finales de 2003).</w:t>
      </w:r>
    </w:p>
    <w:p w14:paraId="3F45C32D" w14:textId="77777777" w:rsidR="0072615D" w:rsidRDefault="0072615D">
      <w:pPr>
        <w:pStyle w:val="Footnote0"/>
        <w:spacing w:line="266" w:lineRule="auto"/>
      </w:pPr>
      <w:r>
        <w:t>+ Si se desean copias, solicitarlas a la American Academy of Pediatrics en el número 866-843-2271.</w:t>
      </w:r>
    </w:p>
  </w:footnote>
  <w:footnote w:id="17">
    <w:p w14:paraId="725D70B8" w14:textId="77777777" w:rsidR="0072615D" w:rsidRDefault="0072615D">
      <w:pPr>
        <w:pStyle w:val="Footnote0"/>
        <w:tabs>
          <w:tab w:val="left" w:pos="163"/>
        </w:tabs>
        <w:ind w:left="240" w:hanging="240"/>
      </w:pPr>
      <w:r>
        <w:rPr>
          <w:sz w:val="16"/>
          <w:szCs w:val="16"/>
          <w:vertAlign w:val="superscript"/>
        </w:rPr>
        <w:footnoteRef/>
      </w:r>
      <w:r>
        <w:rPr>
          <w:sz w:val="16"/>
          <w:szCs w:val="16"/>
        </w:rPr>
        <w:tab/>
      </w:r>
      <w:r>
        <w:t xml:space="preserve">Publicado por Centers for Disease Control and Prevention. Availability of immune globulin intravenous for treatment of immune deficient patients: United States, 1997-1998. </w:t>
      </w:r>
      <w:r>
        <w:rPr>
          <w:i/>
          <w:iCs/>
        </w:rPr>
        <w:t xml:space="preserve">MMWR Morb Mortal Wkly Rep. </w:t>
      </w:r>
      <w:r>
        <w:t>1999;48:159-162</w:t>
      </w:r>
    </w:p>
  </w:footnote>
  <w:footnote w:id="18">
    <w:p w14:paraId="05BA436D" w14:textId="77777777" w:rsidR="0072615D" w:rsidRDefault="0072615D">
      <w:pPr>
        <w:pStyle w:val="Footnote0"/>
        <w:tabs>
          <w:tab w:val="left" w:pos="158"/>
        </w:tabs>
        <w:spacing w:line="470" w:lineRule="auto"/>
      </w:pPr>
      <w:r>
        <w:rPr>
          <w:sz w:val="8"/>
          <w:szCs w:val="8"/>
          <w:vertAlign w:val="superscript"/>
        </w:rPr>
        <w:footnoteRef/>
      </w:r>
      <w:r>
        <w:rPr>
          <w:sz w:val="8"/>
          <w:szCs w:val="8"/>
        </w:rPr>
        <w:tab/>
      </w:r>
      <w:r>
        <w:t>Aprobado únicamente por NIH Consensus Development Conference.</w:t>
      </w:r>
    </w:p>
  </w:footnote>
  <w:footnote w:id="19">
    <w:p w14:paraId="55B95462" w14:textId="77777777" w:rsidR="0072615D" w:rsidRDefault="0072615D">
      <w:pPr>
        <w:pStyle w:val="Footnote0"/>
        <w:spacing w:line="266" w:lineRule="auto"/>
      </w:pPr>
      <w:r>
        <w:footnoteRef/>
      </w:r>
      <w:r>
        <w:t xml:space="preserve"> US Public Health Service and Infectious Diseases Society of America. Guidelines for preventing opportunistic infections among HIV-infected persons-2002. </w:t>
      </w:r>
      <w:r>
        <w:rPr>
          <w:i/>
          <w:iCs/>
        </w:rPr>
        <w:t>MMWR Recomm Rep.</w:t>
      </w:r>
      <w:r>
        <w:t xml:space="preserve"> 2002;51(RR-8):1-46.</w:t>
      </w:r>
    </w:p>
  </w:footnote>
  <w:footnote w:id="20">
    <w:p w14:paraId="41E71EC0" w14:textId="77777777" w:rsidR="0072615D" w:rsidRDefault="0072615D">
      <w:pPr>
        <w:pStyle w:val="Footnote0"/>
        <w:spacing w:line="266" w:lineRule="auto"/>
      </w:pPr>
      <w:r>
        <w:footnoteRef/>
      </w:r>
      <w:r>
        <w:t xml:space="preserve"> Los antihistamínicos pueden inhibir las reacciones a la prueba de escarificación, picadura y punción y también la prueba intradérmica; por tal motivo será mejor no practicar tal prueba durante 24 h, como mínimo, o de preferencia, 48 h después de la administración de dichos fármacos.</w:t>
      </w:r>
    </w:p>
  </w:footnote>
  <w:footnote w:id="21">
    <w:p w14:paraId="5A937BD9" w14:textId="77777777" w:rsidR="0072615D" w:rsidRDefault="0072615D">
      <w:pPr>
        <w:pStyle w:val="Footnote0"/>
        <w:tabs>
          <w:tab w:val="left" w:pos="149"/>
        </w:tabs>
        <w:ind w:left="240" w:hanging="240"/>
      </w:pPr>
      <w:r>
        <w:rPr>
          <w:sz w:val="8"/>
          <w:szCs w:val="8"/>
          <w:vertAlign w:val="superscript"/>
        </w:rPr>
        <w:footnoteRef/>
      </w:r>
      <w:r>
        <w:rPr>
          <w:sz w:val="8"/>
          <w:szCs w:val="8"/>
        </w:rPr>
        <w:tab/>
      </w:r>
      <w:r>
        <w:t>Además de la adrenalina son de máxima importancia conservar la ventilación (libre tránsito de aire) y la administración de oxígeno.</w:t>
      </w:r>
    </w:p>
  </w:footnote>
  <w:footnote w:id="22">
    <w:p w14:paraId="67031456" w14:textId="77777777" w:rsidR="0072615D" w:rsidRDefault="0072615D">
      <w:pPr>
        <w:pStyle w:val="Footnote0"/>
        <w:tabs>
          <w:tab w:val="left" w:pos="173"/>
        </w:tabs>
        <w:spacing w:after="720"/>
        <w:ind w:left="240" w:hanging="240"/>
      </w:pPr>
      <w:r>
        <w:rPr>
          <w:sz w:val="8"/>
          <w:szCs w:val="8"/>
          <w:vertAlign w:val="superscript"/>
        </w:rPr>
        <w:footnoteRef/>
      </w:r>
      <w:r>
        <w:rPr>
          <w:sz w:val="8"/>
          <w:szCs w:val="8"/>
        </w:rPr>
        <w:tab/>
      </w:r>
      <w:r>
        <w:t>Si se aplica en forma inyectable algún agente que causa reacción anafiláctica, puede inyectarse la adrenalina en el mismo sitio para lentificar la absorción.</w:t>
      </w:r>
    </w:p>
    <w:p w14:paraId="7C3025A5" w14:textId="77777777" w:rsidR="0072615D" w:rsidRDefault="0072615D">
      <w:pPr>
        <w:pStyle w:val="Footnote0"/>
        <w:spacing w:line="269" w:lineRule="auto"/>
        <w:rPr>
          <w:sz w:val="19"/>
          <w:szCs w:val="19"/>
        </w:rPr>
      </w:pPr>
      <w:r>
        <w:rPr>
          <w:rFonts w:ascii="Garamond" w:eastAsia="Garamond" w:hAnsi="Garamond" w:cs="Garamond"/>
          <w:sz w:val="19"/>
          <w:szCs w:val="19"/>
        </w:rPr>
        <w:t>utilizarla. Los corticosteroides pueden usarse en todos los casos de anafilaxia, excepto en los benignos y que han mejorado a breve plazo con las medidas iniciales (cuadro 1-12). Sin embargo, no hay datos que corroboren la utilidad de ellos para combatir dicho cuadro y, por tal razón, no se les considera como fármacos de primera línea.</w:t>
      </w:r>
    </w:p>
    <w:p w14:paraId="5E211530" w14:textId="77777777" w:rsidR="0072615D" w:rsidRDefault="0072615D">
      <w:pPr>
        <w:pStyle w:val="Footnote0"/>
        <w:spacing w:line="269" w:lineRule="auto"/>
        <w:ind w:firstLine="360"/>
        <w:rPr>
          <w:sz w:val="19"/>
          <w:szCs w:val="19"/>
        </w:rPr>
      </w:pPr>
      <w:r>
        <w:rPr>
          <w:rFonts w:ascii="Garamond" w:eastAsia="Garamond" w:hAnsi="Garamond" w:cs="Garamond"/>
          <w:sz w:val="19"/>
          <w:szCs w:val="19"/>
        </w:rPr>
        <w:t>Es importante observar durante varias horas en una instalación apropiada a todo niño que muestra signos y síntomas de anafilaxia sistémica, sea cual sea su gravedad. La anafilaxia bifásica y tardía puede aliviarse con la administración temprana de corticosteroides ingeribles; sin embargo, no se ha corroborado plenamente la utilidad de dichos productos contra los dos cuadros mencionados. Por esa causa, habrá que observar a los pacientes incluso después de que han cedido los síntomas inmediatos. No se ha definido un periodo específico de observación pero sería razonable observar durante 4 h a la persona en caso de episodios leves y quizá inclusive 24 h en el caso de episodios graves.</w:t>
      </w:r>
    </w:p>
    <w:p w14:paraId="3636C228" w14:textId="77777777" w:rsidR="0072615D" w:rsidRDefault="0072615D">
      <w:pPr>
        <w:pStyle w:val="Footnote0"/>
        <w:spacing w:line="269" w:lineRule="auto"/>
        <w:ind w:firstLine="360"/>
        <w:rPr>
          <w:sz w:val="19"/>
          <w:szCs w:val="19"/>
        </w:rPr>
      </w:pPr>
      <w:r>
        <w:rPr>
          <w:rFonts w:ascii="Garamond" w:eastAsia="Garamond" w:hAnsi="Garamond" w:cs="Garamond"/>
          <w:sz w:val="19"/>
          <w:szCs w:val="19"/>
        </w:rPr>
        <w:t>La anafilaxia que surge en sujetos que ya han estado recibiendo agentes de bloqueo adrenérgicos beta constituye una situación peculiar. En dichas personas es probable que las manifestaciones sean más profundas y casi no mejoren con la adrenalina y otros agonistas adrenérgicos beta. Quizá convenga un esquema más intensivo con dicha catecolamina para superar el bloqueo de receptores en algunos pacientes. Algunos expertos recomiendan el uso de glucagon IV contra manifestaciones cardiovasculares, y atropina inhalada para tratar la bradicardia o el broncospasmo.</w:t>
      </w:r>
    </w:p>
  </w:footnote>
  <w:footnote w:id="23">
    <w:p w14:paraId="6DC34BB3" w14:textId="77777777" w:rsidR="0072615D" w:rsidRDefault="0072615D">
      <w:pPr>
        <w:pStyle w:val="Footnote0"/>
        <w:spacing w:line="266" w:lineRule="auto"/>
      </w:pPr>
      <w:r>
        <w:footnoteRef/>
      </w:r>
      <w:r>
        <w:t xml:space="preserve"> American Academy of Pediatrics, Committee on Infectious Diseases. Immunization of preterm and low birth weight infants. </w:t>
      </w:r>
      <w:r>
        <w:rPr>
          <w:i/>
          <w:iCs/>
        </w:rPr>
        <w:t>Pediatrics.</w:t>
      </w:r>
      <w:r>
        <w:t xml:space="preserve"> En prensa.</w:t>
      </w:r>
    </w:p>
  </w:footnote>
  <w:footnote w:id="24">
    <w:p w14:paraId="783C03B1" w14:textId="77777777" w:rsidR="0072615D" w:rsidRDefault="0072615D">
      <w:pPr>
        <w:pStyle w:val="Footnote0"/>
        <w:spacing w:line="266" w:lineRule="auto"/>
      </w:pPr>
      <w:r>
        <w:footnoteRef/>
      </w:r>
      <w:r>
        <w:t xml:space="preserve"> American Academy of Pediatrics, Committee on Infectious Diseases. Prevención de poliomielitis: recomendaciones para el uso exclusivo de la vacuna del virus poliomielítico inactivado para inmunizaciones de rutina. Pediatrics. 1999;104:1404-1406.</w:t>
      </w:r>
    </w:p>
  </w:footnote>
  <w:footnote w:id="25">
    <w:p w14:paraId="31668C45" w14:textId="77777777" w:rsidR="0072615D" w:rsidRDefault="0072615D">
      <w:pPr>
        <w:pStyle w:val="Footnote0"/>
        <w:spacing w:line="266" w:lineRule="auto"/>
      </w:pPr>
      <w:r>
        <w:footnoteRef/>
      </w:r>
      <w:r>
        <w:t xml:space="preserve"> Center for Disease Control and Prevention. Guidelines for preventing opportunistic infections among hematopoietic stem cell transplant recipients. Recommendations of CDC, the Infectious Disease Society of America, and the American Society of Blood and Marrow Transplantation. </w:t>
      </w:r>
      <w:r>
        <w:rPr>
          <w:i/>
          <w:iCs/>
        </w:rPr>
        <w:t xml:space="preserve">MMWR Recomm Rep. </w:t>
      </w:r>
      <w:r>
        <w:t>2000;49(RR-10):1-128.</w:t>
      </w:r>
    </w:p>
  </w:footnote>
  <w:footnote w:id="26">
    <w:p w14:paraId="46200D5B" w14:textId="77777777" w:rsidR="0072615D" w:rsidRDefault="0072615D">
      <w:pPr>
        <w:pStyle w:val="Footnote0"/>
        <w:spacing w:line="266" w:lineRule="auto"/>
      </w:pPr>
      <w:r>
        <w:footnoteRef/>
      </w:r>
      <w:r>
        <w:t xml:space="preserve"> American Academy of Pediatrics, Committee on Infectious Diseases. Varicella vaccine update. </w:t>
      </w:r>
      <w:r>
        <w:rPr>
          <w:i/>
          <w:iCs/>
        </w:rPr>
        <w:t xml:space="preserve">Pediatrics. </w:t>
      </w:r>
      <w:r>
        <w:t>2000;105:136-141.</w:t>
      </w:r>
    </w:p>
  </w:footnote>
  <w:footnote w:id="27">
    <w:p w14:paraId="56AD312D" w14:textId="77777777" w:rsidR="0072615D" w:rsidRDefault="0072615D">
      <w:pPr>
        <w:pStyle w:val="Footnote0"/>
        <w:spacing w:line="266" w:lineRule="auto"/>
      </w:pPr>
      <w:r>
        <w:footnoteRef/>
      </w:r>
      <w:r>
        <w:t xml:space="preserve"> Centers for Disease Control and Prevention. Vaccine-preventable diseases: improving vaccination coverage in children, adolescents, and adults. A report on recommendations from the Task Force on Community Preventive Service. MMWR Recomm Rep. 1999;48(RR-8):1-15</w:t>
      </w:r>
    </w:p>
  </w:footnote>
  <w:footnote w:id="28">
    <w:p w14:paraId="4D447260" w14:textId="77777777" w:rsidR="0072615D" w:rsidRDefault="0072615D">
      <w:pPr>
        <w:pStyle w:val="Footnote0"/>
        <w:spacing w:line="266" w:lineRule="auto"/>
      </w:pPr>
      <w:r>
        <w:footnoteRef/>
      </w:r>
      <w:r>
        <w:t xml:space="preserve"> Centers for Disease Control and Prevention. Vaccine-preventable diseases: improving vaccination coverage in children, adolescents, and adults. A report on recommendations from the Task Force on Community Preventive Service. MMWR Recomm Rep. 1999;48(RR-8):1-15</w:t>
      </w:r>
    </w:p>
  </w:footnote>
  <w:footnote w:id="29">
    <w:p w14:paraId="55E49D59" w14:textId="77777777" w:rsidR="0072615D" w:rsidRDefault="0072615D">
      <w:pPr>
        <w:pStyle w:val="Footnote0"/>
        <w:spacing w:line="266" w:lineRule="auto"/>
      </w:pPr>
      <w:r>
        <w:footnoteRef/>
      </w:r>
      <w:r>
        <w:t xml:space="preserve"> American Academy of Pediatrics, Committee on Infectious Diseases. Varicella vaccine update. </w:t>
      </w:r>
      <w:r>
        <w:rPr>
          <w:i/>
          <w:iCs/>
        </w:rPr>
        <w:t xml:space="preserve">Pediatrics. </w:t>
      </w:r>
      <w:r>
        <w:t>2000;105:136-141</w:t>
      </w:r>
    </w:p>
  </w:footnote>
  <w:footnote w:id="30">
    <w:p w14:paraId="3E753C52" w14:textId="77777777" w:rsidR="0072615D" w:rsidRDefault="0072615D">
      <w:pPr>
        <w:pStyle w:val="Footnote0"/>
        <w:spacing w:line="269" w:lineRule="auto"/>
      </w:pPr>
      <w:r>
        <w:footnoteRef/>
      </w:r>
      <w:r>
        <w:t xml:space="preserve"> Centers for Disease Control and Prevention. Targeted tuberculin testing and treatment of latent tuberculosis infection. </w:t>
      </w:r>
      <w:r>
        <w:rPr>
          <w:i/>
          <w:iCs/>
        </w:rPr>
        <w:t>MMWR Recomm Rep.</w:t>
      </w:r>
      <w:r>
        <w:t xml:space="preserve"> 2000;49(RR-6):1-54.</w:t>
      </w:r>
    </w:p>
    <w:p w14:paraId="3297D93A" w14:textId="77777777" w:rsidR="0072615D" w:rsidRDefault="0072615D">
      <w:pPr>
        <w:pStyle w:val="Footnote0"/>
        <w:spacing w:line="305" w:lineRule="auto"/>
      </w:pPr>
      <w:r>
        <w:rPr>
          <w:sz w:val="8"/>
          <w:szCs w:val="8"/>
          <w:vertAlign w:val="superscript"/>
        </w:rPr>
        <w:t>+</w:t>
      </w:r>
      <w:r>
        <w:rPr>
          <w:sz w:val="8"/>
          <w:szCs w:val="8"/>
        </w:rPr>
        <w:t xml:space="preserve"> </w:t>
      </w:r>
      <w:r>
        <w:t xml:space="preserve">Centers for Disease Control and Prevention. The role of BGC vaccine in the prevention and control of tuberculosis in the United States: a joint statement by the Advisory Council for the Elimination of Tuberculosis and the Advisory Committee on Inmunization Practices. </w:t>
      </w:r>
      <w:r>
        <w:rPr>
          <w:i/>
          <w:iCs/>
        </w:rPr>
        <w:t>MMWR Recomm Rep.</w:t>
      </w:r>
      <w:r>
        <w:t xml:space="preserve"> 1996:45 (RR-4):1-18</w:t>
      </w:r>
    </w:p>
  </w:footnote>
  <w:footnote w:id="31">
    <w:p w14:paraId="06754BD5" w14:textId="77777777" w:rsidR="0072615D" w:rsidRDefault="0072615D">
      <w:pPr>
        <w:pStyle w:val="Footnote0"/>
        <w:spacing w:line="269" w:lineRule="auto"/>
      </w:pPr>
      <w:r>
        <w:footnoteRef/>
      </w:r>
      <w:r>
        <w:t xml:space="preserve"> Centers for Disease Control and Prevention. Targeted tuberculin testing and treatment of latent tuberculosis infection. </w:t>
      </w:r>
      <w:r>
        <w:rPr>
          <w:i/>
          <w:iCs/>
        </w:rPr>
        <w:t>MMWR Recomm Rep.</w:t>
      </w:r>
      <w:r>
        <w:t xml:space="preserve"> 2000;49(RR-6):1-54.</w:t>
      </w:r>
    </w:p>
    <w:p w14:paraId="5CEAE1F9" w14:textId="77777777" w:rsidR="0072615D" w:rsidRDefault="0072615D">
      <w:pPr>
        <w:pStyle w:val="Footnote0"/>
        <w:spacing w:line="305" w:lineRule="auto"/>
      </w:pPr>
      <w:r>
        <w:rPr>
          <w:sz w:val="8"/>
          <w:szCs w:val="8"/>
          <w:vertAlign w:val="superscript"/>
        </w:rPr>
        <w:t>+</w:t>
      </w:r>
      <w:r>
        <w:rPr>
          <w:sz w:val="8"/>
          <w:szCs w:val="8"/>
        </w:rPr>
        <w:t xml:space="preserve"> </w:t>
      </w:r>
      <w:r>
        <w:t xml:space="preserve">Centers for Disease Control and Prevention. The role of BGC vaccine in the prevention and control of tuberculosis in the United States: a joint statement by the Advisory Council for the Elimination of Tuberculosis and the Advisory Committee on Inmunization Practices. </w:t>
      </w:r>
      <w:r>
        <w:rPr>
          <w:i/>
          <w:iCs/>
        </w:rPr>
        <w:t>MMWR Recomm Rep.</w:t>
      </w:r>
      <w:r>
        <w:t xml:space="preserve"> 1996:45 (RR-4):1-18</w:t>
      </w:r>
    </w:p>
  </w:footnote>
  <w:footnote w:id="32">
    <w:p w14:paraId="39EC051E" w14:textId="77777777" w:rsidR="0072615D" w:rsidRDefault="0072615D">
      <w:pPr>
        <w:pStyle w:val="Footnote0"/>
        <w:spacing w:line="266" w:lineRule="auto"/>
      </w:pPr>
      <w:r>
        <w:footnoteRef/>
      </w:r>
      <w:r>
        <w:t xml:space="preserve"> Center for Disease Control and Prevention. Yellow fever vaccine. Recommendations of the Advisory Committee on Immunization Practices, 2002. </w:t>
      </w:r>
      <w:r>
        <w:rPr>
          <w:i/>
          <w:iCs/>
        </w:rPr>
        <w:t>MMWR Recomm Rep.</w:t>
      </w:r>
      <w:r>
        <w:t xml:space="preserve"> 2002;51(RR-17):1-10.</w:t>
      </w:r>
    </w:p>
  </w:footnote>
  <w:footnote w:id="33">
    <w:p w14:paraId="2E8D2CD0" w14:textId="77777777" w:rsidR="0072615D" w:rsidRDefault="0072615D">
      <w:pPr>
        <w:pStyle w:val="Footnote0"/>
        <w:spacing w:line="266" w:lineRule="auto"/>
        <w:ind w:left="140" w:hanging="140"/>
      </w:pPr>
      <w:r>
        <w:footnoteRef/>
      </w:r>
      <w:r>
        <w:t xml:space="preserve"> Centers for Disease Control and Prevention. Biological and Chemical terrorism: strategic plan for preparedness and response. Recommendations of the CDC Strategic Planning Workgroup. </w:t>
      </w:r>
      <w:r>
        <w:rPr>
          <w:i/>
          <w:iCs/>
        </w:rPr>
        <w:t>MMWR Recomm Rep.</w:t>
      </w:r>
      <w:r>
        <w:t xml:space="preserve"> 2000;49(RR-4):1-14</w:t>
      </w:r>
    </w:p>
    <w:p w14:paraId="78FCE407" w14:textId="77777777" w:rsidR="0072615D" w:rsidRDefault="0072615D">
      <w:pPr>
        <w:pStyle w:val="Footnote0"/>
        <w:spacing w:line="266" w:lineRule="auto"/>
        <w:ind w:left="140" w:hanging="140"/>
      </w:pPr>
      <w:r>
        <w:t xml:space="preserve">t Centers for Disease Control and Prevention. Notice to readers: new classification for deaths and injuries involving terrorism. </w:t>
      </w:r>
      <w:r>
        <w:rPr>
          <w:i/>
          <w:iCs/>
        </w:rPr>
        <w:t>MMWR Morb Mortal Wkly Rep.</w:t>
      </w:r>
      <w:r>
        <w:t xml:space="preserve"> 2002;51 (Special Issue):18-19; or </w:t>
      </w:r>
      <w:hyperlink r:id="rId4" w:history="1">
        <w:r>
          <w:t>www.cdc.gov/nchs/about/otheract/icd9/appendix1.htm</w:t>
        </w:r>
      </w:hyperlink>
    </w:p>
  </w:footnote>
  <w:footnote w:id="34">
    <w:p w14:paraId="18C4D0CA" w14:textId="77777777" w:rsidR="0072615D" w:rsidRDefault="0072615D">
      <w:pPr>
        <w:pStyle w:val="Footnote0"/>
        <w:spacing w:line="266" w:lineRule="auto"/>
      </w:pPr>
      <w:r>
        <w:footnoteRef/>
      </w:r>
      <w:r>
        <w:t xml:space="preserve"> American Academy of Pediatrics, Committee on Environmental Health and Committee on Infectious Disease. Chemical-biological terrorism and its impact on children: a subject review. </w:t>
      </w:r>
      <w:r>
        <w:rPr>
          <w:i/>
          <w:iCs/>
        </w:rPr>
        <w:t>Pediatrics</w:t>
      </w:r>
      <w:r>
        <w:t xml:space="preserve"> 2000;105:662-670</w:t>
      </w:r>
    </w:p>
  </w:footnote>
  <w:footnote w:id="35">
    <w:p w14:paraId="518A8CC1" w14:textId="77777777" w:rsidR="0072615D" w:rsidRDefault="0072615D">
      <w:pPr>
        <w:pStyle w:val="Footnote0"/>
        <w:ind w:left="400"/>
      </w:pPr>
      <w:r>
        <w:t xml:space="preserve">VIH, virus de inmunodeficiencia humana; HCV, virus de hepatitis C; HBV, virus de hepatitis B; HTLV, virus linfotrópico T humano </w:t>
      </w:r>
      <w:r>
        <w:rPr>
          <w:i/>
          <w:iCs/>
        </w:rPr>
        <w:t>(human T-lymphotropic virus)';</w:t>
      </w:r>
      <w:r>
        <w:t xml:space="preserve"> vCJD, variante de enfermedad de Creutzfeldt-Jakob; HBsAg, antígeno de superficie de hepatitis B; anti-HBc, anticuerpo contra el antígeno central de hepatitis B </w:t>
      </w:r>
      <w:r>
        <w:rPr>
          <w:i/>
          <w:iCs/>
        </w:rPr>
        <w:t>(antibody to hepatitis B core antigen)';</w:t>
      </w:r>
      <w:r>
        <w:t xml:space="preserve"> ALT, transaminasa de alanina </w:t>
      </w:r>
      <w:r>
        <w:rPr>
          <w:i/>
          <w:iCs/>
        </w:rPr>
        <w:t>(alanine transaminase)';</w:t>
      </w:r>
      <w:r>
        <w:t xml:space="preserve"> FDA, </w:t>
      </w:r>
      <w:r>
        <w:rPr>
          <w:i/>
          <w:iCs/>
        </w:rPr>
        <w:t>Food and Drug Administration</w:t>
      </w:r>
      <w:r>
        <w:t xml:space="preserve"> de Estados Unidos.</w:t>
      </w:r>
    </w:p>
  </w:footnote>
  <w:footnote w:id="36">
    <w:p w14:paraId="4B46AADE" w14:textId="77777777" w:rsidR="0072615D" w:rsidRDefault="0072615D">
      <w:pPr>
        <w:pStyle w:val="Footnote0"/>
        <w:spacing w:line="283" w:lineRule="auto"/>
        <w:ind w:left="400" w:hanging="180"/>
      </w:pPr>
      <w:r>
        <w:rPr>
          <w:sz w:val="8"/>
          <w:szCs w:val="8"/>
          <w:vertAlign w:val="superscript"/>
        </w:rPr>
        <w:footnoteRef/>
      </w:r>
      <w:r>
        <w:rPr>
          <w:sz w:val="8"/>
          <w:szCs w:val="8"/>
        </w:rPr>
        <w:t xml:space="preserve"> </w:t>
      </w:r>
      <w:r>
        <w:t>La detección sistemática de donadores de plasma (como actividad lucrativa) es semejante pero no idéntica. Por ejemplo, HTLV-I y HTLV-II son agentes transportados por células, no se busca anticuerpos contra HTLV-I/II en plasma donado. Se estudia a los donantes en busca de sífilis cuando menos cada cuatro meses.</w:t>
      </w:r>
    </w:p>
  </w:footnote>
  <w:footnote w:id="37">
    <w:p w14:paraId="7115EFEC" w14:textId="77777777" w:rsidR="0072615D" w:rsidRDefault="0072615D">
      <w:pPr>
        <w:pStyle w:val="Footnote0"/>
        <w:pBdr>
          <w:top w:val="single" w:sz="4" w:space="0" w:color="auto"/>
        </w:pBdr>
        <w:spacing w:line="252" w:lineRule="auto"/>
        <w:ind w:left="200"/>
      </w:pPr>
      <w:r>
        <w:t xml:space="preserve">VIH, virus de inmunodeficiencia humana; HCV, virus de hepatitis C; HBV, virus de hepatitis B; HTLV, virus linfotrópico T humano; CMV, virus citomegálico; HAV, virus de hepatitis A; HGV, virus de hepatitis G; TTV, virus transmitido por transfusión </w:t>
      </w:r>
      <w:r>
        <w:rPr>
          <w:i/>
          <w:iCs/>
        </w:rPr>
        <w:t>(transfusion-transmitted virus')';</w:t>
      </w:r>
      <w:r>
        <w:t xml:space="preserve"> HHV, virus herpético humano </w:t>
      </w:r>
      <w:r>
        <w:rPr>
          <w:i/>
          <w:iCs/>
        </w:rPr>
        <w:t>(human herpesvirus);</w:t>
      </w:r>
      <w:r>
        <w:t xml:space="preserve"> CJD, enfermedad de Creutzfeldt-Jakob; vCJD, variante de enfermedad de Creutzfeldt-Jakob.</w:t>
      </w:r>
    </w:p>
  </w:footnote>
  <w:footnote w:id="38">
    <w:p w14:paraId="71A21270" w14:textId="77777777" w:rsidR="0072615D" w:rsidRDefault="0072615D">
      <w:pPr>
        <w:pStyle w:val="Footnote0"/>
        <w:tabs>
          <w:tab w:val="left" w:pos="168"/>
        </w:tabs>
        <w:spacing w:line="283" w:lineRule="auto"/>
        <w:ind w:left="200" w:hanging="200"/>
      </w:pPr>
      <w:r>
        <w:rPr>
          <w:sz w:val="8"/>
          <w:szCs w:val="8"/>
          <w:vertAlign w:val="superscript"/>
        </w:rPr>
        <w:footnoteRef/>
      </w:r>
      <w:r>
        <w:rPr>
          <w:sz w:val="8"/>
          <w:szCs w:val="8"/>
        </w:rPr>
        <w:tab/>
      </w:r>
      <w:r>
        <w:t xml:space="preserve">Si se desea más información, consultar Goodnough LT, Brecher ME, Kanter MH, AuBuchon JP. Transfusion medicine: first of two parts: blood transfusion. </w:t>
      </w:r>
      <w:r>
        <w:rPr>
          <w:i/>
          <w:iCs/>
        </w:rPr>
        <w:t>N Engl J Med</w:t>
      </w:r>
      <w:r>
        <w:t xml:space="preserve"> 1999;340:438-447; and Goodnough LT, Brecher ME, Kanter MH, AuBuchon JP. Transfusion medicine: second of two parts: blood conservation. </w:t>
      </w:r>
      <w:r>
        <w:rPr>
          <w:i/>
          <w:iCs/>
        </w:rPr>
        <w:t>N Engl J Med.</w:t>
      </w:r>
      <w:r>
        <w:t xml:space="preserve"> 1999;340:525-533.</w:t>
      </w:r>
    </w:p>
  </w:footnote>
  <w:footnote w:id="39">
    <w:p w14:paraId="71AA4D7E" w14:textId="77777777" w:rsidR="0072615D" w:rsidRDefault="0072615D">
      <w:pPr>
        <w:pStyle w:val="Footnote0"/>
        <w:tabs>
          <w:tab w:val="left" w:pos="178"/>
        </w:tabs>
        <w:spacing w:line="470" w:lineRule="auto"/>
      </w:pPr>
      <w:r>
        <w:rPr>
          <w:sz w:val="8"/>
          <w:szCs w:val="8"/>
          <w:vertAlign w:val="superscript"/>
        </w:rPr>
        <w:footnoteRef/>
      </w:r>
      <w:r>
        <w:rPr>
          <w:sz w:val="8"/>
          <w:szCs w:val="8"/>
        </w:rPr>
        <w:tab/>
      </w:r>
      <w:r>
        <w:t xml:space="preserve">Otros agentes transmitidos por transfusiones incluyen </w:t>
      </w:r>
      <w:r>
        <w:rPr>
          <w:i/>
          <w:iCs/>
        </w:rPr>
        <w:t>Toxoplasma gondii</w:t>
      </w:r>
      <w:r>
        <w:t xml:space="preserve"> y especies de leishmanias.</w:t>
      </w:r>
    </w:p>
  </w:footnote>
  <w:footnote w:id="40">
    <w:p w14:paraId="2D6BCFE3" w14:textId="77777777" w:rsidR="0072615D" w:rsidRDefault="0072615D">
      <w:pPr>
        <w:pStyle w:val="Footnote0"/>
        <w:spacing w:line="266" w:lineRule="auto"/>
        <w:ind w:left="380"/>
      </w:pPr>
      <w:r>
        <w:footnoteRef/>
      </w:r>
      <w:r>
        <w:t xml:space="preserve"> American Academy of Pediatrics, Committee on Nutrition. </w:t>
      </w:r>
      <w:r>
        <w:rPr>
          <w:i/>
          <w:iCs/>
        </w:rPr>
        <w:t>Pediatric Nutrition Handbook.</w:t>
      </w:r>
      <w:r>
        <w:t xml:space="preserve"> 5th ed. Elk Grove Village, IL: American Academy of Pediatrics. En prensa.</w:t>
      </w:r>
    </w:p>
    <w:p w14:paraId="1C130DB6" w14:textId="77777777" w:rsidR="0072615D" w:rsidRDefault="0072615D">
      <w:pPr>
        <w:pStyle w:val="Footnote0"/>
        <w:spacing w:line="266" w:lineRule="auto"/>
        <w:ind w:left="380"/>
      </w:pPr>
      <w:r>
        <w:t xml:space="preserve">l American Academy of Pediatrics, Section on Breastfeeding. Breastfeeding and the use of human milk. </w:t>
      </w:r>
      <w:r>
        <w:rPr>
          <w:i/>
          <w:iCs/>
        </w:rPr>
        <w:t>Pediatrics</w:t>
      </w:r>
      <w:r>
        <w:t>. En prensa.</w:t>
      </w:r>
    </w:p>
  </w:footnote>
  <w:footnote w:id="41">
    <w:p w14:paraId="2201B538" w14:textId="77777777" w:rsidR="0072615D" w:rsidRDefault="0072615D">
      <w:pPr>
        <w:pStyle w:val="Footnote0"/>
        <w:spacing w:line="266" w:lineRule="auto"/>
        <w:ind w:left="380"/>
      </w:pPr>
      <w:r>
        <w:footnoteRef/>
      </w:r>
      <w:r>
        <w:t xml:space="preserve"> American Academy of Pediatrics, Committee on Nutrition. </w:t>
      </w:r>
      <w:r>
        <w:rPr>
          <w:i/>
          <w:iCs/>
        </w:rPr>
        <w:t>Pediatric Nutrition Handbook.</w:t>
      </w:r>
      <w:r>
        <w:t xml:space="preserve"> 5th ed. Elk Grove Village, IL: American Academy of Pediatrics. En prensa.</w:t>
      </w:r>
    </w:p>
    <w:p w14:paraId="3691DE5D" w14:textId="77777777" w:rsidR="0072615D" w:rsidRDefault="0072615D">
      <w:pPr>
        <w:pStyle w:val="Footnote0"/>
        <w:spacing w:line="266" w:lineRule="auto"/>
        <w:ind w:left="380"/>
      </w:pPr>
      <w:r>
        <w:t xml:space="preserve">l American Academy of Pediatrics, Section on Breastfeeding. Breastfeeding and the use of human milk. </w:t>
      </w:r>
      <w:r>
        <w:rPr>
          <w:i/>
          <w:iCs/>
        </w:rPr>
        <w:t>Pediatrics</w:t>
      </w:r>
      <w:r>
        <w:t>. En prensa.</w:t>
      </w:r>
    </w:p>
  </w:footnote>
  <w:footnote w:id="42">
    <w:p w14:paraId="150C7865" w14:textId="77777777" w:rsidR="0072615D" w:rsidRDefault="0072615D">
      <w:pPr>
        <w:pStyle w:val="Footnote0"/>
        <w:spacing w:line="266" w:lineRule="auto"/>
        <w:ind w:left="360"/>
      </w:pPr>
      <w:r>
        <w:footnoteRef/>
      </w:r>
      <w:r>
        <w:t xml:space="preserve"> American Academy of Pediatrics, Committee on Drugs. The transfer of drugs and other chemicals into human milk. </w:t>
      </w:r>
      <w:r>
        <w:rPr>
          <w:i/>
          <w:iCs/>
        </w:rPr>
        <w:t>Pediatrics,</w:t>
      </w:r>
      <w:r>
        <w:t xml:space="preserve"> 2001;108:776-789.</w:t>
      </w:r>
    </w:p>
  </w:footnote>
  <w:footnote w:id="43">
    <w:p w14:paraId="1A736FAB" w14:textId="77777777" w:rsidR="0072615D" w:rsidRDefault="0072615D">
      <w:pPr>
        <w:pStyle w:val="Footnote0"/>
        <w:spacing w:line="266" w:lineRule="auto"/>
        <w:ind w:left="300"/>
      </w:pPr>
      <w:r>
        <w:footnoteRef/>
      </w:r>
      <w:r>
        <w:t xml:space="preserve"> El material del capítulo presente ha sido modificado de American Academy of Pediatrics, American Public Health Association, and Maternal and Child Health Bureau. </w:t>
      </w:r>
      <w:r>
        <w:rPr>
          <w:i/>
          <w:iCs/>
        </w:rPr>
        <w:t>Caring for Our Children. National Health and Safety Performance Standards: Guidelines for Out-of-Home Child Care Programs.</w:t>
      </w:r>
      <w:r>
        <w:t xml:space="preserve"> 2nd ed. Elk Grove Village, IL: American Academy of Pediatrics; 2002.</w:t>
      </w:r>
    </w:p>
  </w:footnote>
  <w:footnote w:id="44">
    <w:p w14:paraId="598FB6B5" w14:textId="77777777" w:rsidR="0072615D" w:rsidRDefault="0072615D">
      <w:pPr>
        <w:pStyle w:val="Footnote0"/>
        <w:spacing w:line="266" w:lineRule="auto"/>
        <w:ind w:left="300"/>
      </w:pPr>
      <w:r>
        <w:footnoteRef/>
      </w:r>
      <w:r>
        <w:t xml:space="preserve"> El material del capítulo presente ha sido modificado de American Academy of Pediatrics, American Public Health Association, and Maternal and Child Health Bureau. </w:t>
      </w:r>
      <w:r>
        <w:rPr>
          <w:i/>
          <w:iCs/>
        </w:rPr>
        <w:t>Caring for Our Children. National Health and Safety Performance Standards: Guidelines for Out-of-Home Child Care Programs.</w:t>
      </w:r>
      <w:r>
        <w:t xml:space="preserve"> 2nd ed. Elk Grove Village, IL: American Academy of Pediatrics; 2002.</w:t>
      </w:r>
    </w:p>
  </w:footnote>
  <w:footnote w:id="45">
    <w:p w14:paraId="79611172" w14:textId="77777777" w:rsidR="0072615D" w:rsidRDefault="0072615D">
      <w:pPr>
        <w:pStyle w:val="Footnote0"/>
        <w:spacing w:line="266" w:lineRule="auto"/>
      </w:pPr>
      <w:r>
        <w:footnoteRef/>
      </w:r>
      <w:r>
        <w:t xml:space="preserve"> Centers for Disease Control and Prevention. Recommended adult immunization schedule-United States, 2002-2003. </w:t>
      </w:r>
      <w:r>
        <w:rPr>
          <w:i/>
          <w:iCs/>
        </w:rPr>
        <w:t>MMWR Morb Mortal Wkly Report.</w:t>
      </w:r>
      <w:r>
        <w:t xml:space="preserve"> 2002;51:904-908.</w:t>
      </w:r>
    </w:p>
  </w:footnote>
  <w:footnote w:id="46">
    <w:p w14:paraId="1BE73E7F" w14:textId="77777777" w:rsidR="0072615D" w:rsidRDefault="0072615D">
      <w:pPr>
        <w:pStyle w:val="Footnote0"/>
        <w:spacing w:line="266" w:lineRule="auto"/>
        <w:ind w:left="-320"/>
      </w:pPr>
      <w:r>
        <w:footnoteRef/>
      </w:r>
      <w:r>
        <w:t xml:space="preserve"> Centers for Disease Control and Prevention. Guideline for hand hygiene in health-care settings. Recommendations of the Healthcare Infection Control Practices Advisory Committee and the HIC- PAC/SHEA/APIC/IDSA Hand Hygiene Task Force. </w:t>
      </w:r>
      <w:r>
        <w:rPr>
          <w:i/>
          <w:iCs/>
        </w:rPr>
        <w:t>MMWR Recomm Rep.</w:t>
      </w:r>
      <w:r>
        <w:t xml:space="preserve"> 2002;51(RR-16):1-45.</w:t>
      </w:r>
    </w:p>
  </w:footnote>
  <w:footnote w:id="47">
    <w:p w14:paraId="11556030" w14:textId="77777777" w:rsidR="0072615D" w:rsidRDefault="0072615D">
      <w:pPr>
        <w:pStyle w:val="Footnote0"/>
        <w:spacing w:line="266" w:lineRule="auto"/>
      </w:pPr>
      <w:r>
        <w:footnoteRef/>
      </w:r>
      <w:r>
        <w:t xml:space="preserve"> Centers for Disease Control and Prevention. Diagnosis and management of foodborne illnesses: a primer for physicians. </w:t>
      </w:r>
      <w:r>
        <w:rPr>
          <w:i/>
          <w:iCs/>
        </w:rPr>
        <w:t>MMWR Recomm Rep.</w:t>
      </w:r>
      <w:r>
        <w:t xml:space="preserve"> 2001;50(RR-2):1-69.</w:t>
      </w:r>
    </w:p>
  </w:footnote>
  <w:footnote w:id="48">
    <w:p w14:paraId="1357C0F2" w14:textId="77777777" w:rsidR="0072615D" w:rsidRDefault="0072615D">
      <w:pPr>
        <w:pStyle w:val="Footnote0"/>
        <w:spacing w:line="266" w:lineRule="auto"/>
      </w:pPr>
      <w:r>
        <w:footnoteRef/>
      </w:r>
      <w:r>
        <w:t xml:space="preserve"> Véase también American Academy of Pediatrics, Committee on Pediatric AIDS and Committee on Infectious Diseases. Issues related to human immunodeficiency virus transmission in schools, child care, medical setting, the home, and community. </w:t>
      </w:r>
      <w:r>
        <w:rPr>
          <w:i/>
          <w:iCs/>
        </w:rPr>
        <w:t>Pediatrics</w:t>
      </w:r>
      <w:r>
        <w:t xml:space="preserve"> 1999;104:318-324.</w:t>
      </w:r>
    </w:p>
  </w:footnote>
  <w:footnote w:id="49">
    <w:p w14:paraId="2891BD89" w14:textId="77777777" w:rsidR="0072615D" w:rsidRDefault="0072615D">
      <w:pPr>
        <w:pStyle w:val="Footnote0"/>
        <w:spacing w:line="266" w:lineRule="auto"/>
      </w:pPr>
      <w:r>
        <w:footnoteRef/>
      </w:r>
      <w:r>
        <w:t xml:space="preserve"> American Academy of Pediatrics, Committee on Sports Medicine and Fitness. Human immunodeficiency virus and other blood-borne viral pathogens in the athletic setting. </w:t>
      </w:r>
      <w:r>
        <w:rPr>
          <w:i/>
          <w:iCs/>
        </w:rPr>
        <w:t>Pediatrics,</w:t>
      </w:r>
      <w:r>
        <w:t xml:space="preserve"> 1999;104:1400-1403.</w:t>
      </w:r>
    </w:p>
  </w:footnote>
  <w:footnote w:id="50">
    <w:p w14:paraId="7A20FE64" w14:textId="77777777" w:rsidR="0072615D" w:rsidRDefault="0072615D">
      <w:pPr>
        <w:pStyle w:val="Footnote0"/>
        <w:spacing w:line="266" w:lineRule="auto"/>
        <w:ind w:left="-320"/>
      </w:pPr>
      <w:r>
        <w:footnoteRef/>
      </w:r>
      <w:r>
        <w:t xml:space="preserve"> American Academy of Pediatrics. </w:t>
      </w:r>
      <w:r>
        <w:rPr>
          <w:i/>
          <w:iCs/>
        </w:rPr>
        <w:t>OSHA: Materials to Assist the Pediatric Office in Implementing the Bloodborne Pathogen, Hazard Communication, and Other OSHA Standards.</w:t>
      </w:r>
      <w:r>
        <w:t xml:space="preserve"> Elk Grove Village, IL: American Academy of Pediatrics; 1994.</w:t>
      </w:r>
    </w:p>
  </w:footnote>
  <w:footnote w:id="51">
    <w:p w14:paraId="5ECC496C" w14:textId="77777777" w:rsidR="0072615D" w:rsidRDefault="0072615D">
      <w:pPr>
        <w:pStyle w:val="Footnote0"/>
        <w:spacing w:line="266" w:lineRule="auto"/>
      </w:pPr>
      <w:r>
        <w:footnoteRef/>
      </w:r>
      <w:r>
        <w:t xml:space="preserve"> Garner JS. Hospital Infection Control Practices Advisory Committee. Guideline for isolation precautions in hospitals. </w:t>
      </w:r>
      <w:r>
        <w:rPr>
          <w:i/>
          <w:iCs/>
        </w:rPr>
        <w:t>Infect Control Hosp Epidemiol.</w:t>
      </w:r>
      <w:r>
        <w:t xml:space="preserve"> 1996;17:53-80</w:t>
      </w:r>
    </w:p>
  </w:footnote>
  <w:footnote w:id="52">
    <w:p w14:paraId="5E29A141" w14:textId="77777777" w:rsidR="0072615D" w:rsidRDefault="0072615D">
      <w:pPr>
        <w:pStyle w:val="Footnote0"/>
        <w:spacing w:line="266" w:lineRule="auto"/>
      </w:pPr>
      <w:r>
        <w:footnoteRef/>
      </w:r>
      <w:r>
        <w:t xml:space="preserve"> Centers for Disease Control and Prevention. Guideline for hand hygiene in health-care settings. Recommendations of the Healthcare Infection Control Practices Advisory Committee and the HICPAC/SHEA/APIC/IDSA Hand Hygiene Task Force. </w:t>
      </w:r>
      <w:r>
        <w:rPr>
          <w:i/>
          <w:iCs/>
        </w:rPr>
        <w:t>MMWR Recomm Rep.</w:t>
      </w:r>
      <w:r>
        <w:t xml:space="preserve"> 2002;51(RR-16):1-45.</w:t>
      </w:r>
    </w:p>
  </w:footnote>
  <w:footnote w:id="53">
    <w:p w14:paraId="7E1C1F77" w14:textId="77777777" w:rsidR="0072615D" w:rsidRDefault="0072615D">
      <w:pPr>
        <w:pStyle w:val="Footnote0"/>
        <w:pBdr>
          <w:top w:val="single" w:sz="4" w:space="0" w:color="auto"/>
        </w:pBdr>
        <w:tabs>
          <w:tab w:val="left" w:pos="163"/>
        </w:tabs>
        <w:spacing w:line="226" w:lineRule="auto"/>
        <w:ind w:left="200" w:hanging="200"/>
      </w:pPr>
      <w:r>
        <w:rPr>
          <w:sz w:val="8"/>
          <w:szCs w:val="8"/>
          <w:vertAlign w:val="superscript"/>
        </w:rPr>
        <w:footnoteRef/>
      </w:r>
      <w:r>
        <w:rPr>
          <w:sz w:val="8"/>
          <w:szCs w:val="8"/>
        </w:rPr>
        <w:tab/>
      </w:r>
      <w:r>
        <w:t>Se insta a los infectólogos profesionales que modifiquen o adapten este cuadro según las necesidades locales. Para asegurar la practica de precauciones empíricas apropiadas, los hospitales deben contar con sistemas para valorar sistemáticamente a los pacientes con base en dichos criterios como parte de sus requisitos previos a la lesión y a la admisión.</w:t>
      </w:r>
    </w:p>
  </w:footnote>
  <w:footnote w:id="54">
    <w:p w14:paraId="17F004CE" w14:textId="77777777" w:rsidR="0072615D" w:rsidRDefault="0072615D">
      <w:pPr>
        <w:pStyle w:val="Footnote0"/>
        <w:tabs>
          <w:tab w:val="left" w:pos="173"/>
        </w:tabs>
        <w:spacing w:line="226" w:lineRule="auto"/>
        <w:ind w:left="200" w:hanging="200"/>
      </w:pPr>
      <w:r>
        <w:rPr>
          <w:sz w:val="8"/>
          <w:szCs w:val="8"/>
          <w:vertAlign w:val="superscript"/>
        </w:rPr>
        <w:footnoteRef/>
      </w:r>
      <w:r>
        <w:rPr>
          <w:sz w:val="8"/>
          <w:szCs w:val="8"/>
        </w:rPr>
        <w:tab/>
      </w:r>
      <w:r>
        <w:t>Los individuos con síndromes o cuadros incluidos pueden mostrar signos o síntomas atípicos (como tos ferina en neonatos, ausencia de tos paroxística o intensa en adultos). La fuerte sospecha por parte del clínico debe guiarse por datos de prevalencia de cuadros específicos en la comunidad y el juicio clínico.</w:t>
      </w:r>
    </w:p>
  </w:footnote>
  <w:footnote w:id="55">
    <w:p w14:paraId="6DF50DF4" w14:textId="77777777" w:rsidR="0072615D" w:rsidRDefault="0072615D">
      <w:pPr>
        <w:pStyle w:val="Footnote0"/>
        <w:tabs>
          <w:tab w:val="left" w:pos="168"/>
        </w:tabs>
        <w:spacing w:line="226" w:lineRule="auto"/>
        <w:ind w:left="200" w:hanging="200"/>
      </w:pPr>
      <w:r>
        <w:rPr>
          <w:sz w:val="8"/>
          <w:szCs w:val="8"/>
          <w:vertAlign w:val="superscript"/>
        </w:rPr>
        <w:footnoteRef/>
      </w:r>
      <w:r>
        <w:rPr>
          <w:sz w:val="8"/>
          <w:szCs w:val="8"/>
        </w:rPr>
        <w:tab/>
      </w:r>
      <w:r>
        <w:t xml:space="preserve">Los microorganismos en la columna no representan todas las entidades o incluso las más frecuentes, sino más bien son gérmenes causales posibles en que se necesitan precauciones complementarias, además de las </w:t>
      </w:r>
      <w:r>
        <w:rPr>
          <w:b/>
          <w:bCs/>
        </w:rPr>
        <w:t xml:space="preserve">Precauciones estándar </w:t>
      </w:r>
      <w:r>
        <w:t>hasta que sea posible descartarlos.</w:t>
      </w:r>
    </w:p>
  </w:footnote>
  <w:footnote w:id="56">
    <w:p w14:paraId="6D252F8A" w14:textId="77777777" w:rsidR="0072615D" w:rsidRDefault="0072615D">
      <w:pPr>
        <w:pStyle w:val="Footnote0"/>
        <w:tabs>
          <w:tab w:val="left" w:pos="173"/>
        </w:tabs>
        <w:spacing w:line="226" w:lineRule="auto"/>
        <w:ind w:left="200" w:hanging="200"/>
      </w:pPr>
      <w:r>
        <w:rPr>
          <w:sz w:val="8"/>
          <w:szCs w:val="8"/>
          <w:vertAlign w:val="superscript"/>
        </w:rPr>
        <w:footnoteRef/>
      </w:r>
      <w:r>
        <w:rPr>
          <w:sz w:val="8"/>
          <w:szCs w:val="8"/>
        </w:rPr>
        <w:tab/>
      </w:r>
      <w:r>
        <w:t xml:space="preserve">La duración del aislamiento varía con cada agente (véase Garner JS. Hospital Infection Control Practices Advisory Committee. Guidelines for isolation precautions in hospitals. </w:t>
      </w:r>
      <w:r>
        <w:rPr>
          <w:i/>
          <w:iCs/>
        </w:rPr>
        <w:t xml:space="preserve">Infect Control Hosp Epidemiol. </w:t>
      </w:r>
      <w:r>
        <w:t>1996;17:53-80).</w:t>
      </w:r>
    </w:p>
  </w:footnote>
  <w:footnote w:id="57">
    <w:p w14:paraId="469DC289" w14:textId="77777777" w:rsidR="0072615D" w:rsidRDefault="0072615D">
      <w:pPr>
        <w:pStyle w:val="Footnote0"/>
        <w:tabs>
          <w:tab w:val="left" w:pos="168"/>
        </w:tabs>
        <w:spacing w:line="226" w:lineRule="auto"/>
        <w:ind w:left="200" w:hanging="200"/>
      </w:pPr>
      <w:r>
        <w:rPr>
          <w:sz w:val="8"/>
          <w:szCs w:val="8"/>
          <w:vertAlign w:val="superscript"/>
        </w:rPr>
        <w:footnoteRef/>
      </w:r>
      <w:r>
        <w:rPr>
          <w:sz w:val="8"/>
          <w:szCs w:val="8"/>
        </w:rPr>
        <w:tab/>
      </w:r>
      <w:r>
        <w:t xml:space="preserve">Los patógenos incluyen </w:t>
      </w:r>
      <w:r>
        <w:rPr>
          <w:i/>
          <w:iCs/>
        </w:rPr>
        <w:t>Escherichia coli</w:t>
      </w:r>
      <w:r>
        <w:t xml:space="preserve"> productora de toxina shiga que comprende </w:t>
      </w:r>
      <w:r>
        <w:rPr>
          <w:i/>
          <w:iCs/>
        </w:rPr>
        <w:t>E. coli</w:t>
      </w:r>
      <w:r>
        <w:t xml:space="preserve"> O157:H7, </w:t>
      </w:r>
      <w:r>
        <w:rPr>
          <w:i/>
          <w:iCs/>
        </w:rPr>
        <w:t>Shigella</w:t>
      </w:r>
      <w:r>
        <w:t xml:space="preserve"> y </w:t>
      </w:r>
      <w:r>
        <w:rPr>
          <w:i/>
          <w:iCs/>
        </w:rPr>
        <w:t>Salmonella, Campylobacter,</w:t>
      </w:r>
      <w:r>
        <w:t xml:space="preserve"> virus de hepatitis A, y virus de origen intestinal que incluyen rotavirus y </w:t>
      </w:r>
      <w:r>
        <w:rPr>
          <w:i/>
          <w:iCs/>
        </w:rPr>
        <w:t>Cryptosporidium.</w:t>
      </w:r>
    </w:p>
  </w:footnote>
  <w:footnote w:id="58">
    <w:p w14:paraId="2D3CCFEC" w14:textId="77777777" w:rsidR="0072615D" w:rsidRDefault="0072615D">
      <w:pPr>
        <w:pStyle w:val="Footnote0"/>
        <w:tabs>
          <w:tab w:val="left" w:pos="173"/>
        </w:tabs>
        <w:spacing w:line="226" w:lineRule="auto"/>
        <w:ind w:left="200" w:hanging="200"/>
      </w:pPr>
      <w:r>
        <w:rPr>
          <w:sz w:val="8"/>
          <w:szCs w:val="8"/>
          <w:vertAlign w:val="superscript"/>
        </w:rPr>
        <w:footnoteRef/>
      </w:r>
      <w:r>
        <w:rPr>
          <w:sz w:val="8"/>
          <w:szCs w:val="8"/>
        </w:rPr>
        <w:tab/>
      </w:r>
      <w:r>
        <w:t>Bacterias resistentes según los criterios del Programa de erradicación de infecciones, con base en las recomendaciones actuales a nivel estatal, regional o nacional, que señalan su importancia clínica o epidemiológica especial.</w:t>
      </w:r>
    </w:p>
  </w:footnote>
  <w:footnote w:id="59">
    <w:p w14:paraId="11015586" w14:textId="77777777" w:rsidR="0072615D" w:rsidRDefault="0072615D">
      <w:pPr>
        <w:pStyle w:val="Footnote0"/>
        <w:numPr>
          <w:ilvl w:val="0"/>
          <w:numId w:val="2"/>
        </w:numPr>
        <w:tabs>
          <w:tab w:val="left" w:pos="115"/>
        </w:tabs>
        <w:spacing w:line="266" w:lineRule="auto"/>
      </w:pPr>
      <w:r>
        <w:t xml:space="preserve">Centers for Disease Control and Prevention. Recommended adult immunization schedule-United States, 2002-2003. </w:t>
      </w:r>
      <w:r>
        <w:rPr>
          <w:i/>
          <w:iCs/>
        </w:rPr>
        <w:t>MMWR Morb Mortal Wkly Rep.</w:t>
      </w:r>
      <w:r>
        <w:t xml:space="preserve"> 2002;51:904-908.</w:t>
      </w:r>
    </w:p>
    <w:p w14:paraId="7B3A9F69" w14:textId="77777777" w:rsidR="0072615D" w:rsidRDefault="0072615D">
      <w:pPr>
        <w:pStyle w:val="Footnote0"/>
        <w:spacing w:line="317" w:lineRule="auto"/>
      </w:pPr>
      <w:r>
        <w:rPr>
          <w:sz w:val="8"/>
          <w:szCs w:val="8"/>
          <w:vertAlign w:val="superscript"/>
        </w:rPr>
        <w:t>f</w:t>
      </w:r>
      <w:r>
        <w:rPr>
          <w:sz w:val="8"/>
          <w:szCs w:val="8"/>
        </w:rPr>
        <w:t xml:space="preserve"> </w:t>
      </w:r>
      <w:r>
        <w:t xml:space="preserve">American Academy of Pediatrics. </w:t>
      </w:r>
      <w:r>
        <w:rPr>
          <w:i/>
          <w:iCs/>
        </w:rPr>
        <w:t>OSHA: Materials to Assist the Pediatric Office in Implementing the Bloodborne Pathogen, Hazard Communication, and Other OSHA Standards.</w:t>
      </w:r>
      <w:r>
        <w:t xml:space="preserve"> Elk Grove Village, IL: American Academy of Pediatrics; 1994.</w:t>
      </w:r>
    </w:p>
  </w:footnote>
  <w:footnote w:id="60">
    <w:p w14:paraId="13028605" w14:textId="77777777" w:rsidR="0072615D" w:rsidRDefault="0072615D">
      <w:pPr>
        <w:pStyle w:val="Footnote0"/>
        <w:tabs>
          <w:tab w:val="left" w:pos="86"/>
        </w:tabs>
      </w:pPr>
      <w:r>
        <w:rPr>
          <w:rFonts w:ascii="Garamond" w:eastAsia="Garamond" w:hAnsi="Garamond" w:cs="Garamond"/>
          <w:sz w:val="19"/>
          <w:szCs w:val="19"/>
        </w:rPr>
        <w:footnoteRef/>
      </w:r>
      <w:r>
        <w:rPr>
          <w:rFonts w:ascii="Garamond" w:eastAsia="Garamond" w:hAnsi="Garamond" w:cs="Garamond"/>
          <w:sz w:val="19"/>
          <w:szCs w:val="19"/>
        </w:rPr>
        <w:tab/>
      </w:r>
      <w:r>
        <w:t xml:space="preserve">American Academy of Pediatrics, Committee on Pediatric AIDS. Postexposure prophylaxis in children and adolescents for nonoccupational exposure to human immunodeficiency virus. </w:t>
      </w:r>
      <w:r>
        <w:rPr>
          <w:i/>
          <w:iCs/>
        </w:rPr>
        <w:t>Pediatrics</w:t>
      </w:r>
      <w:r>
        <w:t>. En prensa.</w:t>
      </w:r>
    </w:p>
  </w:footnote>
  <w:footnote w:id="61">
    <w:p w14:paraId="62DC1F7E" w14:textId="77777777" w:rsidR="0072615D" w:rsidRDefault="0072615D">
      <w:pPr>
        <w:pStyle w:val="Footnote0"/>
        <w:spacing w:line="266" w:lineRule="auto"/>
      </w:pPr>
      <w:r>
        <w:footnoteRef/>
      </w:r>
      <w:r>
        <w:t xml:space="preserve"> American Academy of Pediatrics, Committee on Infectious Diseases and Committee on Practice and Ambulatory Medicine, Infection control in physicians’ offices. Pediatrics.2000;105:1361-1369.</w:t>
      </w:r>
    </w:p>
    <w:p w14:paraId="31B10F06" w14:textId="77777777" w:rsidR="0072615D" w:rsidRDefault="0072615D">
      <w:pPr>
        <w:pStyle w:val="Footnote0"/>
        <w:spacing w:line="266" w:lineRule="auto"/>
      </w:pPr>
      <w:r>
        <w:t xml:space="preserve">t Center for Disease Control and Prevention. Guideline for hand hygiene in health-care settings. Recommendations of the Healthcare infection Control Practices Advisory Committee and the HICPAC/SHEA/APIC/IDSA Hand Hygiene Task Force. </w:t>
      </w:r>
      <w:r>
        <w:rPr>
          <w:i/>
          <w:iCs/>
        </w:rPr>
        <w:t>MMWR Recomm Rep.</w:t>
      </w:r>
      <w:r>
        <w:t xml:space="preserve"> 2002;51(RR-16):1-45.</w:t>
      </w:r>
    </w:p>
  </w:footnote>
  <w:footnote w:id="62">
    <w:p w14:paraId="709A2262" w14:textId="77777777" w:rsidR="0072615D" w:rsidRDefault="0072615D">
      <w:pPr>
        <w:pStyle w:val="Footnote0"/>
        <w:spacing w:line="266" w:lineRule="auto"/>
      </w:pPr>
      <w:r>
        <w:footnoteRef/>
      </w:r>
      <w:r>
        <w:t xml:space="preserve"> American Academy of Pediatrics, Committee on Infectious Diseases and Committee on Practice and Ambulatory Medicine, Infection control in physicians’ offices. Pediatrics.2000;105:1361-1369.</w:t>
      </w:r>
    </w:p>
    <w:p w14:paraId="6425F532" w14:textId="77777777" w:rsidR="0072615D" w:rsidRDefault="0072615D">
      <w:pPr>
        <w:pStyle w:val="Footnote0"/>
        <w:spacing w:line="266" w:lineRule="auto"/>
      </w:pPr>
      <w:r>
        <w:t xml:space="preserve">t Center for Disease Control and Prevention. Guideline for hand hygiene in health-care settings. Recommendations of the Healthcare infection Control Practices Advisory Committee and the HICPAC/SHEA/APIC/IDSA Hand Hygiene Task Force. </w:t>
      </w:r>
      <w:r>
        <w:rPr>
          <w:i/>
          <w:iCs/>
        </w:rPr>
        <w:t>MMWR Recomm Rep.</w:t>
      </w:r>
      <w:r>
        <w:t xml:space="preserve"> 2002;51(RR-16):1-45.</w:t>
      </w:r>
    </w:p>
  </w:footnote>
  <w:footnote w:id="63">
    <w:p w14:paraId="1F3C7913" w14:textId="77777777" w:rsidR="0072615D" w:rsidRDefault="0072615D">
      <w:pPr>
        <w:pStyle w:val="Footnote0"/>
        <w:spacing w:line="266" w:lineRule="auto"/>
      </w:pPr>
      <w:r>
        <w:footnoteRef/>
      </w:r>
      <w:r>
        <w:t xml:space="preserve"> Garland JS, Hendrickson K, Maki DG. The 2002 Hospital Infection Control Practices Advisory Committee Centers for Disease Control and Prevention guideline for prevention of intravascular device</w:t>
      </w:r>
      <w:r>
        <w:softHyphen/>
        <w:t xml:space="preserve">related infection. </w:t>
      </w:r>
      <w:r>
        <w:rPr>
          <w:i/>
          <w:iCs/>
        </w:rPr>
        <w:t>Pediatrics.</w:t>
      </w:r>
      <w:r>
        <w:t xml:space="preserve"> 2002;110:1009-1013.</w:t>
      </w:r>
    </w:p>
    <w:p w14:paraId="6DFD95AE" w14:textId="77777777" w:rsidR="0072615D" w:rsidRDefault="0072615D">
      <w:pPr>
        <w:pStyle w:val="Footnote0"/>
        <w:spacing w:line="266" w:lineRule="auto"/>
      </w:pPr>
      <w:r>
        <w:t xml:space="preserve">t American Academy of Pediatrics. </w:t>
      </w:r>
      <w:r>
        <w:rPr>
          <w:i/>
          <w:iCs/>
        </w:rPr>
        <w:t>OSHA: Materials to Assist the Pediatric Office in Implementing the Bloodborne Pathogen, Hazard Communication, and Other OSHA Standards.</w:t>
      </w:r>
      <w:r>
        <w:t xml:space="preserve"> Elk Grove Village, IL: American Academy of Pediatrics; 1994.</w:t>
      </w:r>
    </w:p>
  </w:footnote>
  <w:footnote w:id="64">
    <w:p w14:paraId="346434DD" w14:textId="77777777" w:rsidR="0072615D" w:rsidRDefault="0072615D">
      <w:pPr>
        <w:pStyle w:val="Footnote0"/>
        <w:spacing w:line="266" w:lineRule="auto"/>
      </w:pPr>
      <w:r>
        <w:footnoteRef/>
      </w:r>
      <w:r>
        <w:t xml:space="preserve"> Garland JS, Hendrickson K, Maki DG. The 2002 Hospital Infection Control Practices Advisory Committee Centers for Disease Control and Prevention guideline for prevention of intravascular device</w:t>
      </w:r>
      <w:r>
        <w:softHyphen/>
        <w:t xml:space="preserve">related infection. </w:t>
      </w:r>
      <w:r>
        <w:rPr>
          <w:i/>
          <w:iCs/>
        </w:rPr>
        <w:t>Pediatrics.</w:t>
      </w:r>
      <w:r>
        <w:t xml:space="preserve"> 2002;110:1009-1013.</w:t>
      </w:r>
    </w:p>
    <w:p w14:paraId="034CD77C" w14:textId="77777777" w:rsidR="0072615D" w:rsidRDefault="0072615D">
      <w:pPr>
        <w:pStyle w:val="Footnote0"/>
        <w:spacing w:line="266" w:lineRule="auto"/>
      </w:pPr>
      <w:r>
        <w:t xml:space="preserve">t American Academy of Pediatrics. </w:t>
      </w:r>
      <w:r>
        <w:rPr>
          <w:i/>
          <w:iCs/>
        </w:rPr>
        <w:t>OSHA: Materials to Assist the Pediatric Office in Implementing the Bloodborne Pathogen, Hazard Communication, and Other OSHA Standards.</w:t>
      </w:r>
      <w:r>
        <w:t xml:space="preserve"> Elk Grove Village, IL: American Academy of Pediatrics; 1994.</w:t>
      </w:r>
    </w:p>
  </w:footnote>
  <w:footnote w:id="65">
    <w:p w14:paraId="35F35151" w14:textId="77777777" w:rsidR="0072615D" w:rsidRDefault="0072615D">
      <w:pPr>
        <w:pStyle w:val="Footnote0"/>
        <w:spacing w:line="266" w:lineRule="auto"/>
      </w:pPr>
      <w:r>
        <w:footnoteRef/>
      </w:r>
      <w:r>
        <w:t xml:space="preserve"> American Academy of Pediatrics, Committee on Psychosocial Aspects of Child and Family Health, </w:t>
      </w:r>
      <w:r>
        <w:rPr>
          <w:i/>
          <w:iCs/>
        </w:rPr>
        <w:t>Guidelines for Health Supervision III.</w:t>
      </w:r>
      <w:r>
        <w:t xml:space="preserve"> Elk Grove Village, IL: American Academy of Pediatrics; 1997 (updated 2002).</w:t>
      </w:r>
    </w:p>
  </w:footnote>
  <w:footnote w:id="66">
    <w:p w14:paraId="52835CC7" w14:textId="77777777" w:rsidR="0072615D" w:rsidRDefault="0072615D">
      <w:pPr>
        <w:pStyle w:val="Footnote0"/>
        <w:spacing w:line="266" w:lineRule="auto"/>
      </w:pPr>
      <w:r>
        <w:footnoteRef/>
      </w:r>
      <w:r>
        <w:t xml:space="preserve"> Elster AB, Kuznets NJ, eds. </w:t>
      </w:r>
      <w:r>
        <w:rPr>
          <w:i/>
          <w:iCs/>
        </w:rPr>
        <w:t>AMA Guidelines for Adolescent Preventive Services (GAPS) Recommendations and Rationale.</w:t>
      </w:r>
      <w:r>
        <w:t xml:space="preserve"> Baltimore, MD: Williams &amp; Wilkins; 1994.</w:t>
      </w:r>
    </w:p>
  </w:footnote>
  <w:footnote w:id="67">
    <w:p w14:paraId="148B32A9" w14:textId="77777777" w:rsidR="0072615D" w:rsidRDefault="0072615D">
      <w:pPr>
        <w:pStyle w:val="Footnote0"/>
        <w:spacing w:line="262" w:lineRule="auto"/>
      </w:pPr>
      <w:r>
        <w:footnoteRef/>
      </w:r>
      <w:r>
        <w:t xml:space="preserve"> Center for Disease Control and Prevention. Sexually transmitted diseases treatment guidelines-2002. </w:t>
      </w:r>
      <w:r>
        <w:rPr>
          <w:i/>
          <w:iCs/>
        </w:rPr>
        <w:t>MMWR Recomm Rep.</w:t>
      </w:r>
      <w:r>
        <w:t xml:space="preserve"> 2002:51(RR-6):1-80</w:t>
      </w:r>
    </w:p>
  </w:footnote>
  <w:footnote w:id="68">
    <w:p w14:paraId="3B23343E" w14:textId="77777777" w:rsidR="0072615D" w:rsidRDefault="0072615D">
      <w:pPr>
        <w:pStyle w:val="Footnote0"/>
        <w:tabs>
          <w:tab w:val="left" w:pos="163"/>
        </w:tabs>
        <w:spacing w:after="700"/>
        <w:ind w:left="280" w:hanging="280"/>
      </w:pPr>
      <w:r>
        <w:rPr>
          <w:sz w:val="8"/>
          <w:szCs w:val="8"/>
          <w:shd w:val="clear" w:color="auto" w:fill="FFFFFF"/>
          <w:vertAlign w:val="superscript"/>
        </w:rPr>
        <w:footnoteRef/>
      </w:r>
      <w:r>
        <w:rPr>
          <w:color w:val="000000"/>
          <w:sz w:val="8"/>
          <w:szCs w:val="8"/>
        </w:rPr>
        <w:tab/>
      </w:r>
      <w:r>
        <w:t xml:space="preserve">Con autorización de Health Canada. </w:t>
      </w:r>
      <w:r>
        <w:rPr>
          <w:i/>
          <w:iCs/>
        </w:rPr>
        <w:t>Canadian STD Guidelines: 1998 Edition.</w:t>
      </w:r>
      <w:r>
        <w:t xml:space="preserve"> Population and Public Health Branch, Health Canada; 1998. Available at: </w:t>
      </w:r>
      <w:hyperlink r:id="rId5" w:history="1">
        <w:r>
          <w:t>www.hc-sc.gc.ca/hpb/lcdc/publicat/</w:t>
        </w:r>
      </w:hyperlink>
      <w:r>
        <w:t xml:space="preserve"> std98/index.html.</w:t>
      </w:r>
    </w:p>
    <w:p w14:paraId="509806DD" w14:textId="77777777" w:rsidR="0072615D" w:rsidRDefault="0072615D">
      <w:pPr>
        <w:pStyle w:val="Footnote0"/>
        <w:spacing w:line="269" w:lineRule="auto"/>
        <w:ind w:firstLine="380"/>
        <w:rPr>
          <w:sz w:val="19"/>
          <w:szCs w:val="19"/>
        </w:rPr>
      </w:pPr>
      <w:r>
        <w:rPr>
          <w:rFonts w:ascii="Garamond" w:eastAsia="Garamond" w:hAnsi="Garamond" w:cs="Garamond"/>
          <w:sz w:val="19"/>
          <w:szCs w:val="19"/>
        </w:rPr>
        <w:t>La tricomoniasis se transmite en el periodo perinatal o por contacto sexual. En el lactante en fase perinatal la secreción vaginal persiste algunas semanas; por tal razón quizá no esté justificada la investigación social intensiva. Sin embargo, la identificación de tricomoniasis reciente en un lactante de mayor edad o niño deben ser el punto de partida de una investigación cuidadosa que incluya a los servicios de protección a menores, por sospecha de abuso sexual.</w:t>
      </w:r>
    </w:p>
  </w:footnote>
  <w:footnote w:id="69">
    <w:p w14:paraId="734C2C0A" w14:textId="77777777" w:rsidR="0072615D" w:rsidRDefault="0072615D">
      <w:pPr>
        <w:pStyle w:val="Footnote0"/>
      </w:pPr>
      <w:r>
        <w:t>IM, intramuscular.</w:t>
      </w:r>
    </w:p>
  </w:footnote>
  <w:footnote w:id="70">
    <w:p w14:paraId="4C428114" w14:textId="77777777" w:rsidR="0072615D" w:rsidRDefault="0072615D">
      <w:pPr>
        <w:pStyle w:val="Footnote0"/>
        <w:tabs>
          <w:tab w:val="left" w:pos="149"/>
        </w:tabs>
        <w:ind w:left="240" w:hanging="240"/>
      </w:pPr>
      <w:r>
        <w:rPr>
          <w:sz w:val="8"/>
          <w:szCs w:val="8"/>
          <w:vertAlign w:val="superscript"/>
        </w:rPr>
        <w:footnoteRef/>
      </w:r>
      <w:r>
        <w:rPr>
          <w:sz w:val="8"/>
          <w:szCs w:val="8"/>
        </w:rPr>
        <w:tab/>
      </w:r>
      <w:r>
        <w:t>Véase el texto para conocer aspectos de profilaxia contra el virus de inmunodeficiencia humana en niños después de abuso o agresión sexual.</w:t>
      </w:r>
    </w:p>
  </w:footnote>
  <w:footnote w:id="71">
    <w:p w14:paraId="2E5EC970" w14:textId="77777777" w:rsidR="0072615D" w:rsidRDefault="0072615D">
      <w:pPr>
        <w:pStyle w:val="Footnote0"/>
        <w:tabs>
          <w:tab w:val="left" w:pos="173"/>
        </w:tabs>
        <w:spacing w:after="420" w:line="463" w:lineRule="auto"/>
      </w:pPr>
      <w:r>
        <w:rPr>
          <w:sz w:val="8"/>
          <w:szCs w:val="8"/>
          <w:vertAlign w:val="superscript"/>
        </w:rPr>
        <w:footnoteRef/>
      </w:r>
      <w:r>
        <w:rPr>
          <w:sz w:val="8"/>
          <w:szCs w:val="8"/>
        </w:rPr>
        <w:tab/>
      </w:r>
      <w:r>
        <w:t>En Estados Unidos no se fabrica ya la cefixima.</w:t>
      </w:r>
    </w:p>
    <w:p w14:paraId="05629A1E" w14:textId="77777777" w:rsidR="0072615D" w:rsidRDefault="0072615D">
      <w:pPr>
        <w:pStyle w:val="Footnote0"/>
        <w:spacing w:line="269" w:lineRule="auto"/>
        <w:rPr>
          <w:sz w:val="19"/>
          <w:szCs w:val="19"/>
        </w:rPr>
      </w:pPr>
      <w:r>
        <w:rPr>
          <w:rFonts w:ascii="Garamond" w:eastAsia="Garamond" w:hAnsi="Garamond" w:cs="Garamond"/>
          <w:sz w:val="19"/>
          <w:szCs w:val="19"/>
        </w:rPr>
        <w:t>anticonceptivo de emergencia. Los regímenes para profilaxia se exponen en los cuadros 2-15 (niños) y 2-16 (adolescentes).</w:t>
      </w:r>
    </w:p>
    <w:p w14:paraId="32BF2EDE" w14:textId="77777777" w:rsidR="0072615D" w:rsidRDefault="0072615D">
      <w:pPr>
        <w:pStyle w:val="Footnote0"/>
        <w:spacing w:line="269" w:lineRule="auto"/>
        <w:ind w:firstLine="360"/>
        <w:rPr>
          <w:sz w:val="19"/>
          <w:szCs w:val="19"/>
        </w:rPr>
      </w:pPr>
      <w:r>
        <w:rPr>
          <w:rFonts w:ascii="Garamond" w:eastAsia="Garamond" w:hAnsi="Garamond" w:cs="Garamond"/>
          <w:sz w:val="19"/>
          <w:szCs w:val="19"/>
        </w:rPr>
        <w:t>Ante la eficacia demostrada de la profilaxia para evitar la infección por VIH después de exposiciones perinatal y ocupacional, surge la duda de si dicha profilaxia es útil contra dicho virus en niños y adolescentes después de agresión sexual (véanse también “Medidas de control” en Humana, infección por virus de inmunodeficiencia [VIH], sección 3 y cuadro 3-36). No son suficientes los datos de la eficacia e inocuidad de la profilaxia después de exposición, en niños y adultos. Es pequeño el peligro de transmisión del virus VIH en una sola agresión sexual que incluya transferencia de secreciones, sangre o ambos líquidos, pero no es de cero. Cabría pensar en las medidas profilácticas en toda persona que solicita asistencia en término de 24 a 48 h de la agresión, si ésta incluyó la transferencia de secreciones y en particular si el agresor supuesto tiene una infección por VIH, se sospecha de ella o ha utilizado drogas inyectables (véase “Humana, infección por virus de inmunodeficiencia [VIH]”, sección 3). A continuación se señalan las recomendaciones para la valoración de niños en término de 72 h de una agresión sexual:</w:t>
      </w:r>
    </w:p>
  </w:footnote>
  <w:footnote w:id="72">
    <w:p w14:paraId="6B75B670" w14:textId="77777777" w:rsidR="0072615D" w:rsidRDefault="0072615D">
      <w:pPr>
        <w:pStyle w:val="Footnote0"/>
        <w:tabs>
          <w:tab w:val="left" w:pos="748"/>
        </w:tabs>
        <w:spacing w:line="252" w:lineRule="auto"/>
        <w:ind w:left="740" w:hanging="160"/>
      </w:pPr>
      <w:r>
        <w:rPr>
          <w:sz w:val="8"/>
          <w:szCs w:val="8"/>
          <w:vertAlign w:val="superscript"/>
        </w:rPr>
        <w:footnoteRef/>
      </w:r>
      <w:r>
        <w:rPr>
          <w:sz w:val="8"/>
          <w:szCs w:val="8"/>
        </w:rPr>
        <w:tab/>
      </w:r>
      <w:r>
        <w:t xml:space="preserve">Fuentes: Hampton HL. Care of the woman who has been raped [la corrección publicada aparece en </w:t>
      </w:r>
      <w:r>
        <w:rPr>
          <w:i/>
          <w:iCs/>
        </w:rPr>
        <w:t>N Engl J Med.</w:t>
      </w:r>
      <w:r>
        <w:t xml:space="preserve"> 1997;337:56]. </w:t>
      </w:r>
      <w:r>
        <w:rPr>
          <w:i/>
          <w:iCs/>
        </w:rPr>
        <w:t>N Engl J Med.</w:t>
      </w:r>
      <w:r>
        <w:t xml:space="preserve"> 1995;332:234-237; y Centers for Disease Control and Prevention. Sexually transmitted diseases treatment guidelines-2002. </w:t>
      </w:r>
      <w:r>
        <w:rPr>
          <w:i/>
          <w:iCs/>
        </w:rPr>
        <w:t>MMWR Recomm Rep.</w:t>
      </w:r>
      <w:r>
        <w:t xml:space="preserve"> 2002;51(RR- 6):1-80.</w:t>
      </w:r>
    </w:p>
  </w:footnote>
  <w:footnote w:id="73">
    <w:p w14:paraId="1DE4E4F2" w14:textId="77777777" w:rsidR="0072615D" w:rsidRDefault="0072615D">
      <w:pPr>
        <w:pStyle w:val="Footnote0"/>
        <w:tabs>
          <w:tab w:val="left" w:pos="758"/>
        </w:tabs>
        <w:spacing w:line="252" w:lineRule="auto"/>
        <w:ind w:left="740" w:hanging="160"/>
        <w:jc w:val="both"/>
      </w:pPr>
      <w:r>
        <w:rPr>
          <w:sz w:val="8"/>
          <w:szCs w:val="8"/>
          <w:vertAlign w:val="superscript"/>
        </w:rPr>
        <w:footnoteRef/>
      </w:r>
      <w:r>
        <w:rPr>
          <w:sz w:val="8"/>
          <w:szCs w:val="8"/>
        </w:rPr>
        <w:tab/>
      </w:r>
      <w:r>
        <w:t>Consultar el texto respecto de algunos aspectos de la profilaxia contra la infección por el virus de inmunodeficiencia humana (VIH) después de abuso o agresión sexual.</w:t>
      </w:r>
    </w:p>
  </w:footnote>
  <w:footnote w:id="74">
    <w:p w14:paraId="712FCDEF" w14:textId="77777777" w:rsidR="0072615D" w:rsidRDefault="0072615D">
      <w:pPr>
        <w:pStyle w:val="Footnote0"/>
        <w:tabs>
          <w:tab w:val="left" w:pos="753"/>
        </w:tabs>
        <w:spacing w:line="252" w:lineRule="auto"/>
        <w:ind w:left="740" w:hanging="160"/>
        <w:jc w:val="both"/>
      </w:pPr>
      <w:r>
        <w:rPr>
          <w:sz w:val="8"/>
          <w:szCs w:val="8"/>
          <w:vertAlign w:val="superscript"/>
        </w:rPr>
        <w:footnoteRef/>
      </w:r>
      <w:r>
        <w:rPr>
          <w:sz w:val="8"/>
          <w:szCs w:val="8"/>
        </w:rPr>
        <w:tab/>
      </w:r>
      <w:r>
        <w:t xml:space="preserve">La cefixima no se fabrica en Estados Unidos. En caso de jóvenes de 18 años y mayores cabe recurrir a una sola dosis de una fluoroquinolona en zonas en que es baja la prevalencia de </w:t>
      </w:r>
      <w:r>
        <w:rPr>
          <w:i/>
          <w:iCs/>
        </w:rPr>
        <w:t xml:space="preserve">Neisseria gonorrhoeae </w:t>
      </w:r>
      <w:r>
        <w:t>resistente a dicho antibiótico. Ante el problema de la resistencia será mejor no usar fluoroquinolonas si el contagio de la infección se produjo en Asia, islas del Pacífico (incluida Hawaii) y California.</w:t>
      </w:r>
    </w:p>
  </w:footnote>
  <w:footnote w:id="75">
    <w:p w14:paraId="51FC489A" w14:textId="77777777" w:rsidR="0072615D" w:rsidRDefault="0072615D">
      <w:pPr>
        <w:pStyle w:val="Footnote0"/>
        <w:tabs>
          <w:tab w:val="left" w:pos="758"/>
        </w:tabs>
        <w:spacing w:line="252" w:lineRule="auto"/>
        <w:ind w:left="740" w:hanging="160"/>
        <w:jc w:val="both"/>
      </w:pPr>
      <w:r>
        <w:rPr>
          <w:sz w:val="8"/>
          <w:szCs w:val="8"/>
          <w:vertAlign w:val="superscript"/>
        </w:rPr>
        <w:footnoteRef/>
      </w:r>
      <w:r>
        <w:rPr>
          <w:sz w:val="8"/>
          <w:szCs w:val="8"/>
        </w:rPr>
        <w:tab/>
      </w:r>
      <w:r>
        <w:t>Es importante que la prueba de embarazo sea negativa antes de emprender medidas anticonceptivas de emergencia.</w:t>
      </w:r>
    </w:p>
  </w:footnote>
  <w:footnote w:id="76">
    <w:p w14:paraId="567A22AC" w14:textId="77777777" w:rsidR="0072615D" w:rsidRDefault="0072615D">
      <w:pPr>
        <w:pStyle w:val="Footnote0"/>
        <w:spacing w:line="266" w:lineRule="auto"/>
        <w:ind w:left="480"/>
      </w:pPr>
      <w:r>
        <w:footnoteRef/>
      </w:r>
      <w:r>
        <w:t xml:space="preserve"> Centers for Disease Control and Prevention. Prevention and control of infection with hepatitis viruses in correctional setting. </w:t>
      </w:r>
      <w:r>
        <w:rPr>
          <w:i/>
          <w:iCs/>
        </w:rPr>
        <w:t>MMWR Recom Rep.</w:t>
      </w:r>
      <w:r>
        <w:t xml:space="preserve"> 2003;52(RR-1):1-33 t American Academy of Pediatrics, Committee on Adolescence. Health care for children and adolescents in the juvenile correctional care system. </w:t>
      </w:r>
      <w:r>
        <w:rPr>
          <w:i/>
          <w:iCs/>
        </w:rPr>
        <w:t>Pediatrics.</w:t>
      </w:r>
      <w:r>
        <w:t xml:space="preserve"> 2001;107:799-803.</w:t>
      </w:r>
    </w:p>
  </w:footnote>
  <w:footnote w:id="77">
    <w:p w14:paraId="2690FB73" w14:textId="77777777" w:rsidR="0072615D" w:rsidRDefault="0072615D">
      <w:pPr>
        <w:pStyle w:val="Footnote0"/>
        <w:spacing w:line="266" w:lineRule="auto"/>
        <w:ind w:left="480"/>
      </w:pPr>
      <w:r>
        <w:footnoteRef/>
      </w:r>
      <w:r>
        <w:t xml:space="preserve"> Centers for Disease Control and Prevention. Prevention and control of infection with hepatitis viruses in correctional setting. </w:t>
      </w:r>
      <w:r>
        <w:rPr>
          <w:i/>
          <w:iCs/>
        </w:rPr>
        <w:t>MMWR Recom Rep.</w:t>
      </w:r>
      <w:r>
        <w:t xml:space="preserve"> 2003;52(RR-1):1-33 t American Academy of Pediatrics, Committee on Adolescence. Health care for children and adolescents in the juvenile correctional care system. </w:t>
      </w:r>
      <w:r>
        <w:rPr>
          <w:i/>
          <w:iCs/>
        </w:rPr>
        <w:t>Pediatrics.</w:t>
      </w:r>
      <w:r>
        <w:t xml:space="preserve"> 2001;107:799-803.</w:t>
      </w:r>
    </w:p>
  </w:footnote>
  <w:footnote w:id="78">
    <w:p w14:paraId="230B31E3" w14:textId="77777777" w:rsidR="0072615D" w:rsidRDefault="0072615D">
      <w:pPr>
        <w:pStyle w:val="Footnote0"/>
        <w:spacing w:line="266" w:lineRule="auto"/>
        <w:ind w:left="420"/>
      </w:pPr>
      <w:r>
        <w:footnoteRef/>
      </w:r>
      <w:r>
        <w:t xml:space="preserve"> Para obtener más información, véase Canadian Pediatric Society. </w:t>
      </w:r>
      <w:r>
        <w:rPr>
          <w:i/>
          <w:iCs/>
        </w:rPr>
        <w:t>Children and Youth New to Canada: Health Care Guide.</w:t>
      </w:r>
      <w:r>
        <w:t xml:space="preserve"> Ottawa, Ontario: Canadian Paediatric Society, 1998; y las páginas Web de los CDC (</w:t>
      </w:r>
      <w:hyperlink r:id="rId6" w:history="1">
        <w:r>
          <w:t>www.cdc.gov</w:t>
        </w:r>
      </w:hyperlink>
      <w:r>
        <w:t>) y la Organización Mundial de la Salud (</w:t>
      </w:r>
      <w:hyperlink r:id="rId7" w:history="1">
        <w:r>
          <w:t>www.who.int</w:t>
        </w:r>
      </w:hyperlink>
      <w:r>
        <w:t>).</w:t>
      </w:r>
    </w:p>
  </w:footnote>
  <w:footnote w:id="79">
    <w:p w14:paraId="7F859366" w14:textId="77777777" w:rsidR="0072615D" w:rsidRDefault="0072615D">
      <w:pPr>
        <w:pStyle w:val="Footnote0"/>
        <w:spacing w:line="266" w:lineRule="auto"/>
        <w:ind w:left="420"/>
      </w:pPr>
      <w:r>
        <w:footnoteRef/>
      </w:r>
      <w:r>
        <w:t xml:space="preserve"> Para obtener más información, véase Canadian Pediatric Society. </w:t>
      </w:r>
      <w:r>
        <w:rPr>
          <w:i/>
          <w:iCs/>
        </w:rPr>
        <w:t>Children and Youth New to Canada: Health Care Guide.</w:t>
      </w:r>
      <w:r>
        <w:t xml:space="preserve"> Ottawa, Ontario: Canadian Paediatric Society, 1998; y las páginas Web de los CDC (</w:t>
      </w:r>
      <w:hyperlink r:id="rId8" w:history="1">
        <w:r>
          <w:t>www.cdc.gov</w:t>
        </w:r>
      </w:hyperlink>
      <w:r>
        <w:t>) y la Organización Mundial de la Salud (</w:t>
      </w:r>
      <w:hyperlink r:id="rId9" w:history="1">
        <w:r>
          <w:t>www.who.int</w:t>
        </w:r>
      </w:hyperlink>
      <w:r>
        <w:t>).</w:t>
      </w:r>
    </w:p>
  </w:footnote>
  <w:footnote w:id="80">
    <w:p w14:paraId="4274AA43" w14:textId="77777777" w:rsidR="0072615D" w:rsidRDefault="0072615D">
      <w:pPr>
        <w:pStyle w:val="Footnote0"/>
        <w:spacing w:line="252" w:lineRule="auto"/>
        <w:ind w:left="620"/>
      </w:pPr>
      <w:r>
        <w:t xml:space="preserve">RPR, reagina plasmática rápida; VDRL, </w:t>
      </w:r>
      <w:r>
        <w:rPr>
          <w:i/>
          <w:iCs/>
        </w:rPr>
        <w:t>Venereal Disease Research Laboratories;</w:t>
      </w:r>
      <w:r>
        <w:t xml:space="preserve"> ART, prueba automatizada de reagina </w:t>
      </w:r>
      <w:r>
        <w:rPr>
          <w:i/>
          <w:iCs/>
        </w:rPr>
        <w:t>(automated reagin test);</w:t>
      </w:r>
      <w:r>
        <w:t xml:space="preserve"> MHA-TP, prueba de microhemaglutinación de </w:t>
      </w:r>
      <w:r>
        <w:rPr>
          <w:i/>
          <w:iCs/>
        </w:rPr>
        <w:t>Treponema pallidum (microhemagglutination test for</w:t>
      </w:r>
      <w:r>
        <w:t xml:space="preserve"> Treponema pallidum); FTA-ABS, absorción de anticuerpos fluorescentes contra treponema (</w:t>
      </w:r>
      <w:r>
        <w:rPr>
          <w:i/>
          <w:iCs/>
        </w:rPr>
        <w:t>fluorescent treponemal antibody absorption</w:t>
      </w:r>
      <w:r>
        <w:t>).</w:t>
      </w:r>
    </w:p>
  </w:footnote>
  <w:footnote w:id="81">
    <w:p w14:paraId="10B4B013" w14:textId="77777777" w:rsidR="0072615D" w:rsidRDefault="0072615D">
      <w:pPr>
        <w:pStyle w:val="Footnote0"/>
        <w:spacing w:after="600" w:line="473" w:lineRule="auto"/>
        <w:ind w:firstLine="460"/>
      </w:pPr>
      <w:r>
        <w:rPr>
          <w:sz w:val="8"/>
          <w:szCs w:val="8"/>
          <w:vertAlign w:val="superscript"/>
        </w:rPr>
        <w:footnoteRef/>
      </w:r>
      <w:r>
        <w:rPr>
          <w:sz w:val="8"/>
          <w:szCs w:val="8"/>
        </w:rPr>
        <w:t xml:space="preserve"> </w:t>
      </w:r>
      <w:r>
        <w:t>Véase el texto</w:t>
      </w:r>
    </w:p>
    <w:p w14:paraId="7ED3734F" w14:textId="77777777" w:rsidR="0072615D" w:rsidRDefault="0072615D">
      <w:pPr>
        <w:pStyle w:val="Footnote0"/>
        <w:spacing w:line="271" w:lineRule="auto"/>
        <w:ind w:left="400"/>
        <w:rPr>
          <w:sz w:val="19"/>
          <w:szCs w:val="19"/>
        </w:rPr>
      </w:pPr>
      <w:r>
        <w:rPr>
          <w:i/>
          <w:iCs/>
          <w:sz w:val="16"/>
          <w:szCs w:val="16"/>
        </w:rPr>
        <w:t>antigen</w:t>
      </w:r>
      <w:r>
        <w:rPr>
          <w:rFonts w:ascii="Garamond" w:eastAsia="Garamond" w:hAnsi="Garamond" w:cs="Garamond"/>
          <w:i/>
          <w:iCs/>
          <w:sz w:val="19"/>
          <w:szCs w:val="19"/>
        </w:rPr>
        <w:t>,</w:t>
      </w:r>
      <w:r>
        <w:rPr>
          <w:rFonts w:ascii="Garamond" w:eastAsia="Garamond" w:hAnsi="Garamond" w:cs="Garamond"/>
          <w:sz w:val="19"/>
          <w:szCs w:val="19"/>
        </w:rPr>
        <w:t xml:space="preserve"> HBsAg) en niños extranjeros adoptados varía de 1 a 5%, según el país de origen y el año estudiado. La hepatitis B es el cuadro más prevalente en niños adoptados que provienen de Asia, África y algunas naciones del centro y este de Europa (como Rumania) y estados recientemente independizados de la ex-Unión Soviética (como Rusia y Ucrania). Sin embargo, la infección comentada también se identifica en pequeños adoptados provenientes de otros países. Por todo lo expuesto, en los niños habrá que practicar métodos serológicos para identificar la infección por el virus mencionado que incluya HBsAg, anticuerpo contra dicho antígeno de superficie (anti-HBs) y anticuerpo contra el antígeno central de la hepatitis B (anti-[</w:t>
      </w:r>
      <w:r>
        <w:rPr>
          <w:i/>
          <w:iCs/>
          <w:sz w:val="16"/>
          <w:szCs w:val="16"/>
        </w:rPr>
        <w:t>hepatitis B core antigen</w:t>
      </w:r>
      <w:r>
        <w:rPr>
          <w:rFonts w:ascii="Garamond" w:eastAsia="Garamond" w:hAnsi="Garamond" w:cs="Garamond"/>
          <w:i/>
          <w:iCs/>
          <w:sz w:val="19"/>
          <w:szCs w:val="19"/>
        </w:rPr>
        <w:t>,</w:t>
      </w:r>
      <w:r>
        <w:rPr>
          <w:rFonts w:ascii="Garamond" w:eastAsia="Garamond" w:hAnsi="Garamond" w:cs="Garamond"/>
          <w:sz w:val="19"/>
          <w:szCs w:val="19"/>
        </w:rPr>
        <w:t xml:space="preserve"> HBc]) para identificar infección actual o crónica, infección pasada pero resuelta o manifestaciones de inmunización (véase “Hepatitis B”, sección 3). Los estudios para identificar el virus de hepatitis B realizados en el país de origen quizá no sean útiles, porque se registra sólo la prueba de “hepatitis B” sin ninguna especificación concreta e incluso en los registros es variable la precisión de los datos. El virus de la enfermedad tiene un largo periodo de incubación, por ello es posible que el niño se hubiese infectado para la fecha en que se realizó la prueba o en lapsos muy cercanos. Por tal razón, hay que pensar en repetir la evaluación seis meses después de la adopción. La presencia de la infección crónica por HBV lo denota la persistencia del antígeno de superficie por más de seis meses. Si se detecta dicho antígeno en el niño, habrá que valorarlo para corroborar la presencia de una infección crónica por el virus y también practicar estudios en busca de signos bioquímicos de hepatopatía crónica, así como una valoración de la intensidad de la enfermedad y el posible tratamiento (véase “Hepatitis B”, sección 3).</w:t>
      </w:r>
    </w:p>
    <w:p w14:paraId="10FB9690" w14:textId="77777777" w:rsidR="0072615D" w:rsidRDefault="0072615D">
      <w:pPr>
        <w:pStyle w:val="Footnote0"/>
        <w:spacing w:line="269" w:lineRule="auto"/>
        <w:ind w:left="400" w:firstLine="320"/>
        <w:rPr>
          <w:sz w:val="19"/>
          <w:szCs w:val="19"/>
        </w:rPr>
      </w:pPr>
      <w:r>
        <w:rPr>
          <w:rFonts w:ascii="Garamond" w:eastAsia="Garamond" w:hAnsi="Garamond" w:cs="Garamond"/>
          <w:sz w:val="19"/>
          <w:szCs w:val="19"/>
        </w:rPr>
        <w:t>Antes de que el niño adoptado se integre a su nueva familia, todos los miembros de ella deben ser vacunados contra la hepatitis B, sean cuales sean los resultados de los</w:t>
      </w:r>
    </w:p>
  </w:footnote>
  <w:footnote w:id="82">
    <w:p w14:paraId="1ECBC557" w14:textId="77777777" w:rsidR="0072615D" w:rsidRDefault="0072615D">
      <w:pPr>
        <w:pStyle w:val="Footnote0"/>
        <w:spacing w:line="266" w:lineRule="auto"/>
      </w:pPr>
      <w:r>
        <w:footnoteRef/>
      </w:r>
      <w:r>
        <w:t xml:space="preserve"> Centers for Disease Control and Prevention. Updated US Public Health Service guidelines for the management of occupational exposures to HBV, HCV and HIV and recommendations for postexposure prophylaxis. </w:t>
      </w:r>
      <w:r>
        <w:rPr>
          <w:i/>
          <w:iCs/>
        </w:rPr>
        <w:t>MMWR Recomm Rep.</w:t>
      </w:r>
      <w:r>
        <w:t xml:space="preserve"> 2001;50(RR-11):1-52.</w:t>
      </w:r>
    </w:p>
  </w:footnote>
  <w:footnote w:id="83">
    <w:p w14:paraId="0A5E68D6" w14:textId="77777777" w:rsidR="0072615D" w:rsidRDefault="0072615D">
      <w:pPr>
        <w:pStyle w:val="Footnote0"/>
        <w:spacing w:line="266" w:lineRule="auto"/>
      </w:pPr>
      <w:r>
        <w:footnoteRef/>
      </w:r>
      <w:r>
        <w:t xml:space="preserve"> Centers for Disease Control and Prevention. Management of possible sexual, injecting-drug-use, or other nonoccupational exposure to HIV, including considerations related to antiretroviral therapy: Public Health Service statement. </w:t>
      </w:r>
      <w:r>
        <w:rPr>
          <w:i/>
          <w:iCs/>
        </w:rPr>
        <w:t>MMWR Recomm Rep.</w:t>
      </w:r>
      <w:r>
        <w:t xml:space="preserve"> 1998;47(RR-17):1-14.</w:t>
      </w:r>
    </w:p>
    <w:p w14:paraId="62E87F21" w14:textId="77777777" w:rsidR="0072615D" w:rsidRDefault="0072615D">
      <w:pPr>
        <w:pStyle w:val="Footnote0"/>
        <w:spacing w:line="266" w:lineRule="auto"/>
      </w:pPr>
      <w:r>
        <w:t xml:space="preserve">ț American Academy of Pediatrics, Committee on Pediatric AIDS. Postexposure prophylaxis in children and adolescents for nonoccupational exposure to human immunodeficiency virus. </w:t>
      </w:r>
      <w:r>
        <w:rPr>
          <w:i/>
          <w:iCs/>
        </w:rPr>
        <w:t>Pediatrics.</w:t>
      </w:r>
      <w:r>
        <w:t xml:space="preserve"> En prensa.</w:t>
      </w:r>
    </w:p>
  </w:footnote>
  <w:footnote w:id="84">
    <w:p w14:paraId="0C620755" w14:textId="77777777" w:rsidR="0072615D" w:rsidRDefault="0072615D">
      <w:pPr>
        <w:pStyle w:val="Footnote0"/>
      </w:pPr>
      <w:r>
        <w:footnoteRef/>
      </w:r>
      <w:r>
        <w:t xml:space="preserve"> Para mayores datos véase también “Fármacos antiparasitarios”, sección 4.</w:t>
      </w:r>
    </w:p>
  </w:footnote>
  <w:footnote w:id="85">
    <w:p w14:paraId="27C00266" w14:textId="77777777" w:rsidR="0072615D" w:rsidRDefault="0072615D">
      <w:pPr>
        <w:pStyle w:val="Footnote0"/>
        <w:spacing w:line="266" w:lineRule="auto"/>
        <w:ind w:left="200" w:hanging="200"/>
      </w:pPr>
      <w:r>
        <w:footnoteRef/>
      </w:r>
      <w:r>
        <w:t xml:space="preserve"> Centers for Disease Control and Prevention. Update: investigation of bioterrorism-related anthrax and interim guidelines for exposure management and antimicrobial therapy, octubre 2001. </w:t>
      </w:r>
      <w:r>
        <w:rPr>
          <w:i/>
          <w:iCs/>
        </w:rPr>
        <w:t>MMWR Morb Mortal Wkly Rep.</w:t>
      </w:r>
      <w:r>
        <w:t xml:space="preserve"> 2001;50:909-919; y Centers for Disease Control and Prevention. Notice to readers: update: interim recommendations for antimicrobial prophylaxis for children and breastfeeding mothers and treatment of children with anthrax. </w:t>
      </w:r>
      <w:r>
        <w:rPr>
          <w:i/>
          <w:iCs/>
        </w:rPr>
        <w:t>MMWR Morb Mortal Wkly Rep.</w:t>
      </w:r>
      <w:r>
        <w:t xml:space="preserve"> 2001;50:1014-1016.</w:t>
      </w:r>
    </w:p>
  </w:footnote>
  <w:footnote w:id="86">
    <w:p w14:paraId="0C28D794" w14:textId="77777777" w:rsidR="0072615D" w:rsidRDefault="0072615D">
      <w:pPr>
        <w:pStyle w:val="Footnote0"/>
        <w:spacing w:line="266" w:lineRule="auto"/>
        <w:ind w:left="200" w:hanging="200"/>
      </w:pPr>
      <w:r>
        <w:footnoteRef/>
      </w:r>
      <w:r>
        <w:t xml:space="preserve"> Centers for Disease Control and Prevention. Notice to readers: use of anthrax vaccine in response to terrorism: supplemental recommendations of the Advisory Committee on Immunization Practices. </w:t>
      </w:r>
      <w:r>
        <w:rPr>
          <w:i/>
          <w:iCs/>
        </w:rPr>
        <w:t>MMWR Morb Mortal Wkly Rep.</w:t>
      </w:r>
      <w:r>
        <w:t xml:space="preserve"> 2002;51:1024-1026.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B7A7" w14:textId="77777777" w:rsidR="0072615D" w:rsidRDefault="0072615D">
    <w:pPr>
      <w:spacing w:line="1" w:lineRule="exact"/>
    </w:pPr>
    <w:r>
      <w:rPr>
        <w:noProof/>
      </w:rPr>
      <mc:AlternateContent>
        <mc:Choice Requires="wps">
          <w:drawing>
            <wp:anchor distT="0" distB="0" distL="0" distR="0" simplePos="0" relativeHeight="251789312" behindDoc="1" locked="0" layoutInCell="1" allowOverlap="1" wp14:anchorId="326FB25F" wp14:editId="021AB557">
              <wp:simplePos x="0" y="0"/>
              <wp:positionH relativeFrom="page">
                <wp:posOffset>2362200</wp:posOffset>
              </wp:positionH>
              <wp:positionV relativeFrom="page">
                <wp:posOffset>297180</wp:posOffset>
              </wp:positionV>
              <wp:extent cx="2499360" cy="85090"/>
              <wp:effectExtent l="0" t="0" r="0" b="0"/>
              <wp:wrapNone/>
              <wp:docPr id="5" name="Shape 5"/>
              <wp:cNvGraphicFramePr/>
              <a:graphic xmlns:a="http://schemas.openxmlformats.org/drawingml/2006/main">
                <a:graphicData uri="http://schemas.microsoft.com/office/word/2010/wordprocessingShape">
                  <wps:wsp>
                    <wps:cNvSpPr txBox="1"/>
                    <wps:spPr>
                      <a:xfrm>
                        <a:off x="0" y="0"/>
                        <a:ext cx="2499360" cy="85090"/>
                      </a:xfrm>
                      <a:prstGeom prst="rect">
                        <a:avLst/>
                      </a:prstGeom>
                      <a:noFill/>
                    </wps:spPr>
                    <wps:txbx>
                      <w:txbxContent>
                        <w:p w14:paraId="15E2F80C" w14:textId="77777777" w:rsidR="0072615D" w:rsidRDefault="0072615D">
                          <w:pPr>
                            <w:pStyle w:val="Headerorfooter20"/>
                            <w:tabs>
                              <w:tab w:val="right" w:pos="3936"/>
                            </w:tabs>
                            <w:rPr>
                              <w:sz w:val="16"/>
                              <w:szCs w:val="16"/>
                            </w:rPr>
                          </w:pPr>
                          <w:r>
                            <w:rPr>
                              <w:rFonts w:ascii="Arial" w:eastAsia="Arial" w:hAnsi="Arial" w:cs="Arial"/>
                              <w:color w:val="231F20"/>
                              <w:sz w:val="14"/>
                              <w:szCs w:val="14"/>
                            </w:rPr>
                            <w:t>INTRODUCCIÓN</w:t>
                          </w:r>
                          <w:r>
                            <w:rPr>
                              <w:rFonts w:ascii="Arial" w:eastAsia="Arial" w:hAnsi="Arial" w:cs="Arial"/>
                              <w:color w:val="231F20"/>
                              <w:sz w:val="14"/>
                              <w:szCs w:val="14"/>
                            </w:rPr>
                            <w:tab/>
                          </w:r>
                          <w:r>
                            <w:fldChar w:fldCharType="begin"/>
                          </w:r>
                          <w:r>
                            <w:instrText xml:space="preserve"> PAGE \* MERGEFORMAT </w:instrText>
                          </w:r>
                          <w:r>
                            <w:fldChar w:fldCharType="separate"/>
                          </w:r>
                          <w:r>
                            <w:rPr>
                              <w:rFonts w:ascii="Arial" w:eastAsia="Arial" w:hAnsi="Arial" w:cs="Arial"/>
                              <w:color w:val="231F20"/>
                              <w:sz w:val="16"/>
                              <w:szCs w:val="16"/>
                            </w:rPr>
                            <w:t>#</w:t>
                          </w:r>
                          <w:r>
                            <w:rPr>
                              <w:rFonts w:ascii="Arial" w:eastAsia="Arial" w:hAnsi="Arial" w:cs="Arial"/>
                              <w:color w:val="231F20"/>
                              <w:sz w:val="16"/>
                              <w:szCs w:val="16"/>
                            </w:rPr>
                            <w:fldChar w:fldCharType="end"/>
                          </w:r>
                        </w:p>
                      </w:txbxContent>
                    </wps:txbx>
                    <wps:bodyPr lIns="0" tIns="0" rIns="0" bIns="0">
                      <a:spAutoFit/>
                    </wps:bodyPr>
                  </wps:wsp>
                </a:graphicData>
              </a:graphic>
            </wp:anchor>
          </w:drawing>
        </mc:Choice>
        <mc:Fallback>
          <w:pict>
            <v:shapetype w14:anchorId="326FB25F" id="_x0000_t202" coordsize="21600,21600" o:spt="202" path="m,l,21600r21600,l21600,xe">
              <v:stroke joinstyle="miter"/>
              <v:path gradientshapeok="t" o:connecttype="rect"/>
            </v:shapetype>
            <v:shape id="Shape 5" o:spid="_x0000_s1059" type="#_x0000_t202" style="position:absolute;margin-left:186pt;margin-top:23.4pt;width:196.8pt;height:6.7pt;z-index:-251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" filled="f" stroked="f">
              <v:textbox style="mso-fit-shape-to-text:t" inset="0,0,0,0">
                <w:txbxContent>
                  <w:p w14:paraId="15E2F80C" w14:textId="77777777" w:rsidR="0072615D" w:rsidRDefault="0072615D">
                    <w:pPr>
                      <w:pStyle w:val="Headerorfooter20"/>
                      <w:tabs>
                        <w:tab w:val="right" w:pos="3936"/>
                      </w:tabs>
                      <w:rPr>
                        <w:sz w:val="16"/>
                        <w:szCs w:val="16"/>
                      </w:rPr>
                    </w:pPr>
                    <w:r>
                      <w:rPr>
                        <w:rFonts w:ascii="Arial" w:eastAsia="Arial" w:hAnsi="Arial" w:cs="Arial"/>
                        <w:color w:val="231F20"/>
                        <w:sz w:val="14"/>
                        <w:szCs w:val="14"/>
                      </w:rPr>
                      <w:t>INTRODUCCIÓN</w:t>
                    </w:r>
                    <w:r>
                      <w:rPr>
                        <w:rFonts w:ascii="Arial" w:eastAsia="Arial" w:hAnsi="Arial" w:cs="Arial"/>
                        <w:color w:val="231F20"/>
                        <w:sz w:val="14"/>
                        <w:szCs w:val="14"/>
                      </w:rPr>
                      <w:tab/>
                    </w:r>
                    <w:r>
                      <w:fldChar w:fldCharType="begin"/>
                    </w:r>
                    <w:r>
                      <w:instrText xml:space="preserve"> PAGE \* MERGEFORMAT </w:instrText>
                    </w:r>
                    <w:r>
                      <w:fldChar w:fldCharType="separate"/>
                    </w:r>
                    <w:r>
                      <w:rPr>
                        <w:rFonts w:ascii="Arial" w:eastAsia="Arial" w:hAnsi="Arial" w:cs="Arial"/>
                        <w:color w:val="231F20"/>
                        <w:sz w:val="16"/>
                        <w:szCs w:val="16"/>
                      </w:rPr>
                      <w:t>#</w:t>
                    </w:r>
                    <w:r>
                      <w:rPr>
                        <w:rFonts w:ascii="Arial" w:eastAsia="Arial" w:hAnsi="Arial" w:cs="Arial"/>
                        <w:color w:val="231F20"/>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55AB8161" wp14:editId="2F8F379D">
              <wp:simplePos x="0" y="0"/>
              <wp:positionH relativeFrom="page">
                <wp:posOffset>518160</wp:posOffset>
              </wp:positionH>
              <wp:positionV relativeFrom="page">
                <wp:posOffset>420370</wp:posOffset>
              </wp:positionV>
              <wp:extent cx="4358640" cy="0"/>
              <wp:effectExtent l="0" t="0" r="0" b="0"/>
              <wp:wrapNone/>
              <wp:docPr id="7" name="Shape 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143F2EC" id="_x0000_t32" coordsize="21600,21600" o:spt="32" o:oned="t" path="m,l21600,21600e" filled="f">
              <v:path arrowok="t" fillok="f" o:connecttype="none"/>
              <o:lock v:ext="edit" shapetype="t"/>
            </v:shapetype>
            <v:shape id="Shape 7" o:spid="_x0000_s1026" type="#_x0000_t32" style="position:absolute;margin-left:40.8pt;margin-top:33.1pt;width:343.2pt;height:0;z-index:-251656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"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3EB4" w14:textId="77777777" w:rsidR="0072615D" w:rsidRDefault="0072615D">
    <w:pPr>
      <w:spacing w:line="1" w:lineRule="exact"/>
    </w:pPr>
    <w:r>
      <w:rPr>
        <w:noProof/>
      </w:rPr>
      <mc:AlternateContent>
        <mc:Choice Requires="wps">
          <w:drawing>
            <wp:anchor distT="0" distB="0" distL="0" distR="0" simplePos="0" relativeHeight="251788288" behindDoc="1" locked="0" layoutInCell="1" allowOverlap="1" wp14:anchorId="2455568E" wp14:editId="78E65B3A">
              <wp:simplePos x="0" y="0"/>
              <wp:positionH relativeFrom="page">
                <wp:posOffset>2362200</wp:posOffset>
              </wp:positionH>
              <wp:positionV relativeFrom="page">
                <wp:posOffset>297180</wp:posOffset>
              </wp:positionV>
              <wp:extent cx="2499360" cy="85090"/>
              <wp:effectExtent l="0" t="0" r="0" b="0"/>
              <wp:wrapNone/>
              <wp:docPr id="2" name="Shape 2"/>
              <wp:cNvGraphicFramePr/>
              <a:graphic xmlns:a="http://schemas.openxmlformats.org/drawingml/2006/main">
                <a:graphicData uri="http://schemas.microsoft.com/office/word/2010/wordprocessingShape">
                  <wps:wsp>
                    <wps:cNvSpPr txBox="1"/>
                    <wps:spPr>
                      <a:xfrm>
                        <a:off x="0" y="0"/>
                        <a:ext cx="2499360" cy="85090"/>
                      </a:xfrm>
                      <a:prstGeom prst="rect">
                        <a:avLst/>
                      </a:prstGeom>
                      <a:noFill/>
                    </wps:spPr>
                    <wps:txbx>
                      <w:txbxContent>
                        <w:p w14:paraId="622135AD" w14:textId="77777777" w:rsidR="0072615D" w:rsidRDefault="0072615D">
                          <w:pPr>
                            <w:pStyle w:val="Headerorfooter20"/>
                            <w:tabs>
                              <w:tab w:val="right" w:pos="3936"/>
                            </w:tabs>
                            <w:rPr>
                              <w:sz w:val="16"/>
                              <w:szCs w:val="16"/>
                            </w:rPr>
                          </w:pPr>
                          <w:r>
                            <w:rPr>
                              <w:rFonts w:ascii="Arial" w:eastAsia="Arial" w:hAnsi="Arial" w:cs="Arial"/>
                              <w:color w:val="231F20"/>
                              <w:sz w:val="14"/>
                              <w:szCs w:val="14"/>
                            </w:rPr>
                            <w:t>INTRODUCCIÓN</w:t>
                          </w:r>
                          <w:r>
                            <w:rPr>
                              <w:rFonts w:ascii="Arial" w:eastAsia="Arial" w:hAnsi="Arial" w:cs="Arial"/>
                              <w:color w:val="231F20"/>
                              <w:sz w:val="14"/>
                              <w:szCs w:val="14"/>
                            </w:rPr>
                            <w:tab/>
                          </w:r>
                          <w:r>
                            <w:fldChar w:fldCharType="begin"/>
                          </w:r>
                          <w:r>
                            <w:instrText xml:space="preserve"> PAGE \* MERGEFORMAT </w:instrText>
                          </w:r>
                          <w:r>
                            <w:fldChar w:fldCharType="separate"/>
                          </w:r>
                          <w:r>
                            <w:rPr>
                              <w:rFonts w:ascii="Arial" w:eastAsia="Arial" w:hAnsi="Arial" w:cs="Arial"/>
                              <w:color w:val="231F20"/>
                              <w:sz w:val="16"/>
                              <w:szCs w:val="16"/>
                            </w:rPr>
                            <w:t>#</w:t>
                          </w:r>
                          <w:r>
                            <w:rPr>
                              <w:rFonts w:ascii="Arial" w:eastAsia="Arial" w:hAnsi="Arial" w:cs="Arial"/>
                              <w:color w:val="231F20"/>
                              <w:sz w:val="16"/>
                              <w:szCs w:val="16"/>
                            </w:rPr>
                            <w:fldChar w:fldCharType="end"/>
                          </w:r>
                        </w:p>
                      </w:txbxContent>
                    </wps:txbx>
                    <wps:bodyPr lIns="0" tIns="0" rIns="0" bIns="0">
                      <a:spAutoFit/>
                    </wps:bodyPr>
                  </wps:wsp>
                </a:graphicData>
              </a:graphic>
            </wp:anchor>
          </w:drawing>
        </mc:Choice>
        <mc:Fallback>
          <w:pict>
            <v:shapetype w14:anchorId="2455568E" id="_x0000_t202" coordsize="21600,21600" o:spt="202" path="m,l,21600r21600,l21600,xe">
              <v:stroke joinstyle="miter"/>
              <v:path gradientshapeok="t" o:connecttype="rect"/>
            </v:shapetype>
            <v:shape id="Shape 2" o:spid="_x0000_s1060" type="#_x0000_t202" style="position:absolute;margin-left:186pt;margin-top:23.4pt;width:196.8pt;height:6.7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" filled="f" stroked="f">
              <v:textbox style="mso-fit-shape-to-text:t" inset="0,0,0,0">
                <w:txbxContent>
                  <w:p w14:paraId="622135AD" w14:textId="77777777" w:rsidR="0072615D" w:rsidRDefault="0072615D">
                    <w:pPr>
                      <w:pStyle w:val="Headerorfooter20"/>
                      <w:tabs>
                        <w:tab w:val="right" w:pos="3936"/>
                      </w:tabs>
                      <w:rPr>
                        <w:sz w:val="16"/>
                        <w:szCs w:val="16"/>
                      </w:rPr>
                    </w:pPr>
                    <w:r>
                      <w:rPr>
                        <w:rFonts w:ascii="Arial" w:eastAsia="Arial" w:hAnsi="Arial" w:cs="Arial"/>
                        <w:color w:val="231F20"/>
                        <w:sz w:val="14"/>
                        <w:szCs w:val="14"/>
                      </w:rPr>
                      <w:t>INTRODUCCIÓN</w:t>
                    </w:r>
                    <w:r>
                      <w:rPr>
                        <w:rFonts w:ascii="Arial" w:eastAsia="Arial" w:hAnsi="Arial" w:cs="Arial"/>
                        <w:color w:val="231F20"/>
                        <w:sz w:val="14"/>
                        <w:szCs w:val="14"/>
                      </w:rPr>
                      <w:tab/>
                    </w:r>
                    <w:r>
                      <w:fldChar w:fldCharType="begin"/>
                    </w:r>
                    <w:r>
                      <w:instrText xml:space="preserve"> PAGE \* MERGEFORMAT </w:instrText>
                    </w:r>
                    <w:r>
                      <w:fldChar w:fldCharType="separate"/>
                    </w:r>
                    <w:r>
                      <w:rPr>
                        <w:rFonts w:ascii="Arial" w:eastAsia="Arial" w:hAnsi="Arial" w:cs="Arial"/>
                        <w:color w:val="231F20"/>
                        <w:sz w:val="16"/>
                        <w:szCs w:val="16"/>
                      </w:rPr>
                      <w:t>#</w:t>
                    </w:r>
                    <w:r>
                      <w:rPr>
                        <w:rFonts w:ascii="Arial" w:eastAsia="Arial" w:hAnsi="Arial" w:cs="Arial"/>
                        <w:color w:val="231F20"/>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3846B183" wp14:editId="0B14C8BB">
              <wp:simplePos x="0" y="0"/>
              <wp:positionH relativeFrom="page">
                <wp:posOffset>518160</wp:posOffset>
              </wp:positionH>
              <wp:positionV relativeFrom="page">
                <wp:posOffset>420370</wp:posOffset>
              </wp:positionV>
              <wp:extent cx="4358640" cy="0"/>
              <wp:effectExtent l="0" t="0" r="0" b="0"/>
              <wp:wrapNone/>
              <wp:docPr id="4" name="Shape 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FADDD1C" id="_x0000_t32" coordsize="21600,21600" o:spt="32" o:oned="t" path="m,l21600,21600e" filled="f">
              <v:path arrowok="t" fillok="f" o:connecttype="none"/>
              <o:lock v:ext="edit" shapetype="t"/>
            </v:shapetype>
            <v:shape id="Shape 4" o:spid="_x0000_s1026" type="#_x0000_t32" style="position:absolute;margin-left:40.8pt;margin-top:33.1pt;width:343.2pt;height:0;z-index:-251657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" strokeweight="1p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3A3A" w14:textId="77777777" w:rsidR="0072615D" w:rsidRDefault="0072615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77D7" w14:textId="77777777" w:rsidR="0072615D" w:rsidRDefault="0072615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BBD3" w14:textId="77777777" w:rsidR="0072615D" w:rsidRDefault="0072615D">
    <w:pPr>
      <w:spacing w:line="1" w:lineRule="exact"/>
    </w:pPr>
    <w:r>
      <w:rPr>
        <w:noProof/>
      </w:rPr>
      <mc:AlternateContent>
        <mc:Choice Requires="wps">
          <w:drawing>
            <wp:anchor distT="0" distB="0" distL="0" distR="0" simplePos="0" relativeHeight="251791360" behindDoc="1" locked="0" layoutInCell="1" allowOverlap="1" wp14:anchorId="3765751E" wp14:editId="4A4AC8CE">
              <wp:simplePos x="0" y="0"/>
              <wp:positionH relativeFrom="page">
                <wp:posOffset>539750</wp:posOffset>
              </wp:positionH>
              <wp:positionV relativeFrom="page">
                <wp:posOffset>306070</wp:posOffset>
              </wp:positionV>
              <wp:extent cx="2429510" cy="76200"/>
              <wp:effectExtent l="0" t="0" r="0" b="0"/>
              <wp:wrapNone/>
              <wp:docPr id="11" name="Shape 11"/>
              <wp:cNvGraphicFramePr/>
              <a:graphic xmlns:a="http://schemas.openxmlformats.org/drawingml/2006/main">
                <a:graphicData uri="http://schemas.microsoft.com/office/word/2010/wordprocessingShape">
                  <wps:wsp>
                    <wps:cNvSpPr txBox="1"/>
                    <wps:spPr>
                      <a:xfrm>
                        <a:off x="0" y="0"/>
                        <a:ext cx="2429510" cy="76200"/>
                      </a:xfrm>
                      <a:prstGeom prst="rect">
                        <a:avLst/>
                      </a:prstGeom>
                      <a:noFill/>
                    </wps:spPr>
                    <wps:txbx>
                      <w:txbxContent>
                        <w:p w14:paraId="55B212A6" w14:textId="77777777" w:rsidR="0072615D" w:rsidRDefault="0072615D">
                          <w:pPr>
                            <w:pStyle w:val="Headerorfooter20"/>
                            <w:tabs>
                              <w:tab w:val="right" w:pos="3826"/>
                            </w:tabs>
                            <w:rPr>
                              <w:sz w:val="14"/>
                              <w:szCs w:val="14"/>
                            </w:rPr>
                          </w:pPr>
                          <w:r>
                            <w:fldChar w:fldCharType="begin"/>
                          </w:r>
                          <w:r>
                            <w:instrText xml:space="preserve"> PAGE \* MERGEFORMAT </w:instrText>
                          </w:r>
                          <w:r>
                            <w:fldChar w:fldCharType="separate"/>
                          </w:r>
                          <w:r>
                            <w:rPr>
                              <w:rFonts w:ascii="Arial" w:eastAsia="Arial" w:hAnsi="Arial" w:cs="Arial"/>
                              <w:color w:val="231F20"/>
                              <w:sz w:val="16"/>
                              <w:szCs w:val="16"/>
                            </w:rPr>
                            <w:t>#</w:t>
                          </w:r>
                          <w:r>
                            <w:rPr>
                              <w:rFonts w:ascii="Arial" w:eastAsia="Arial" w:hAnsi="Arial" w:cs="Arial"/>
                              <w:color w:val="231F20"/>
                              <w:sz w:val="16"/>
                              <w:szCs w:val="16"/>
                            </w:rPr>
                            <w:fldChar w:fldCharType="end"/>
                          </w:r>
                          <w:r>
                            <w:rPr>
                              <w:rFonts w:ascii="Arial" w:eastAsia="Arial" w:hAnsi="Arial" w:cs="Arial"/>
                              <w:color w:val="231F20"/>
                              <w:sz w:val="16"/>
                              <w:szCs w:val="16"/>
                            </w:rPr>
                            <w:tab/>
                          </w:r>
                          <w:r>
                            <w:rPr>
                              <w:rFonts w:ascii="Arial" w:eastAsia="Arial" w:hAnsi="Arial" w:cs="Arial"/>
                              <w:color w:val="231F20"/>
                              <w:sz w:val="14"/>
                              <w:szCs w:val="14"/>
                            </w:rPr>
                            <w:t>CONTENIDO</w:t>
                          </w:r>
                        </w:p>
                      </w:txbxContent>
                    </wps:txbx>
                    <wps:bodyPr lIns="0" tIns="0" rIns="0" bIns="0">
                      <a:spAutoFit/>
                    </wps:bodyPr>
                  </wps:wsp>
                </a:graphicData>
              </a:graphic>
            </wp:anchor>
          </w:drawing>
        </mc:Choice>
        <mc:Fallback>
          <w:pict>
            <v:shapetype w14:anchorId="3765751E" id="_x0000_t202" coordsize="21600,21600" o:spt="202" path="m,l,21600r21600,l21600,xe">
              <v:stroke joinstyle="miter"/>
              <v:path gradientshapeok="t" o:connecttype="rect"/>
            </v:shapetype>
            <v:shape id="Shape 11" o:spid="_x0000_s1061" type="#_x0000_t202" style="position:absolute;margin-left:42.5pt;margin-top:24.1pt;width:191.3pt;height:6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" filled="f" stroked="f">
              <v:textbox style="mso-fit-shape-to-text:t" inset="0,0,0,0">
                <w:txbxContent>
                  <w:p w14:paraId="55B212A6" w14:textId="77777777" w:rsidR="0072615D" w:rsidRDefault="0072615D">
                    <w:pPr>
                      <w:pStyle w:val="Headerorfooter20"/>
                      <w:tabs>
                        <w:tab w:val="right" w:pos="3826"/>
                      </w:tabs>
                      <w:rPr>
                        <w:sz w:val="14"/>
                        <w:szCs w:val="14"/>
                      </w:rPr>
                    </w:pPr>
                    <w:r>
                      <w:fldChar w:fldCharType="begin"/>
                    </w:r>
                    <w:r>
                      <w:instrText xml:space="preserve"> PAGE \* MERGEFORMAT </w:instrText>
                    </w:r>
                    <w:r>
                      <w:fldChar w:fldCharType="separate"/>
                    </w:r>
                    <w:r>
                      <w:rPr>
                        <w:rFonts w:ascii="Arial" w:eastAsia="Arial" w:hAnsi="Arial" w:cs="Arial"/>
                        <w:color w:val="231F20"/>
                        <w:sz w:val="16"/>
                        <w:szCs w:val="16"/>
                      </w:rPr>
                      <w:t>#</w:t>
                    </w:r>
                    <w:r>
                      <w:rPr>
                        <w:rFonts w:ascii="Arial" w:eastAsia="Arial" w:hAnsi="Arial" w:cs="Arial"/>
                        <w:color w:val="231F20"/>
                        <w:sz w:val="16"/>
                        <w:szCs w:val="16"/>
                      </w:rPr>
                      <w:fldChar w:fldCharType="end"/>
                    </w:r>
                    <w:r>
                      <w:rPr>
                        <w:rFonts w:ascii="Arial" w:eastAsia="Arial" w:hAnsi="Arial" w:cs="Arial"/>
                        <w:color w:val="231F20"/>
                        <w:sz w:val="16"/>
                        <w:szCs w:val="16"/>
                      </w:rPr>
                      <w:tab/>
                    </w:r>
                    <w:r>
                      <w:rPr>
                        <w:rFonts w:ascii="Arial" w:eastAsia="Arial" w:hAnsi="Arial" w:cs="Arial"/>
                        <w:color w:val="231F20"/>
                        <w:sz w:val="14"/>
                        <w:szCs w:val="14"/>
                      </w:rPr>
                      <w:t>CONTENIDO</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32065690" wp14:editId="38338FFB">
              <wp:simplePos x="0" y="0"/>
              <wp:positionH relativeFrom="page">
                <wp:posOffset>524510</wp:posOffset>
              </wp:positionH>
              <wp:positionV relativeFrom="page">
                <wp:posOffset>420370</wp:posOffset>
              </wp:positionV>
              <wp:extent cx="4358640" cy="0"/>
              <wp:effectExtent l="0" t="0" r="0" b="0"/>
              <wp:wrapNone/>
              <wp:docPr id="13" name="Shape 1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7ED631C" id="_x0000_t32" coordsize="21600,21600" o:spt="32" o:oned="t" path="m,l21600,21600e" filled="f">
              <v:path arrowok="t" fillok="f" o:connecttype="none"/>
              <o:lock v:ext="edit" shapetype="t"/>
            </v:shapetype>
            <v:shape id="Shape 13" o:spid="_x0000_s1026" type="#_x0000_t32" style="position:absolute;margin-left:41.3pt;margin-top:33.1pt;width:343.2pt;height:0;z-index:-251654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" strokeweight="1p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F7EF" w14:textId="77777777" w:rsidR="0072615D" w:rsidRDefault="0072615D">
    <w:pPr>
      <w:spacing w:line="1" w:lineRule="exact"/>
    </w:pPr>
    <w:r>
      <w:rPr>
        <w:noProof/>
      </w:rPr>
      <mc:AlternateContent>
        <mc:Choice Requires="wps">
          <w:drawing>
            <wp:anchor distT="0" distB="0" distL="0" distR="0" simplePos="0" relativeHeight="251790336" behindDoc="1" locked="0" layoutInCell="1" allowOverlap="1" wp14:anchorId="2D275678" wp14:editId="592CFB9B">
              <wp:simplePos x="0" y="0"/>
              <wp:positionH relativeFrom="page">
                <wp:posOffset>2438400</wp:posOffset>
              </wp:positionH>
              <wp:positionV relativeFrom="page">
                <wp:posOffset>306070</wp:posOffset>
              </wp:positionV>
              <wp:extent cx="2419985" cy="76200"/>
              <wp:effectExtent l="0" t="0" r="0" b="0"/>
              <wp:wrapNone/>
              <wp:docPr id="8" name="Shape 8"/>
              <wp:cNvGraphicFramePr/>
              <a:graphic xmlns:a="http://schemas.openxmlformats.org/drawingml/2006/main">
                <a:graphicData uri="http://schemas.microsoft.com/office/word/2010/wordprocessingShape">
                  <wps:wsp>
                    <wps:cNvSpPr txBox="1"/>
                    <wps:spPr>
                      <a:xfrm>
                        <a:off x="0" y="0"/>
                        <a:ext cx="2419985" cy="76200"/>
                      </a:xfrm>
                      <a:prstGeom prst="rect">
                        <a:avLst/>
                      </a:prstGeom>
                      <a:noFill/>
                    </wps:spPr>
                    <wps:txbx>
                      <w:txbxContent>
                        <w:p w14:paraId="439C01A7" w14:textId="77777777" w:rsidR="0072615D" w:rsidRDefault="0072615D">
                          <w:pPr>
                            <w:pStyle w:val="Headerorfooter20"/>
                            <w:tabs>
                              <w:tab w:val="right" w:pos="3811"/>
                            </w:tabs>
                            <w:rPr>
                              <w:sz w:val="16"/>
                              <w:szCs w:val="16"/>
                            </w:rPr>
                          </w:pPr>
                          <w:r>
                            <w:rPr>
                              <w:rFonts w:ascii="Arial" w:eastAsia="Arial" w:hAnsi="Arial" w:cs="Arial"/>
                              <w:color w:val="231F20"/>
                              <w:sz w:val="14"/>
                              <w:szCs w:val="14"/>
                            </w:rPr>
                            <w:t>CONTENIDO</w:t>
                          </w:r>
                          <w:r>
                            <w:rPr>
                              <w:rFonts w:ascii="Arial" w:eastAsia="Arial" w:hAnsi="Arial" w:cs="Arial"/>
                              <w:color w:val="231F20"/>
                              <w:sz w:val="14"/>
                              <w:szCs w:val="14"/>
                            </w:rPr>
                            <w:tab/>
                          </w:r>
                          <w:r>
                            <w:fldChar w:fldCharType="begin"/>
                          </w:r>
                          <w:r>
                            <w:instrText xml:space="preserve"> PAGE \* MERGEFORMAT </w:instrText>
                          </w:r>
                          <w:r>
                            <w:fldChar w:fldCharType="separate"/>
                          </w:r>
                          <w:r>
                            <w:rPr>
                              <w:rFonts w:ascii="Arial" w:eastAsia="Arial" w:hAnsi="Arial" w:cs="Arial"/>
                              <w:color w:val="231F20"/>
                              <w:sz w:val="16"/>
                              <w:szCs w:val="16"/>
                            </w:rPr>
                            <w:t>#</w:t>
                          </w:r>
                          <w:r>
                            <w:rPr>
                              <w:rFonts w:ascii="Arial" w:eastAsia="Arial" w:hAnsi="Arial" w:cs="Arial"/>
                              <w:color w:val="231F20"/>
                              <w:sz w:val="16"/>
                              <w:szCs w:val="16"/>
                            </w:rPr>
                            <w:fldChar w:fldCharType="end"/>
                          </w:r>
                        </w:p>
                      </w:txbxContent>
                    </wps:txbx>
                    <wps:bodyPr lIns="0" tIns="0" rIns="0" bIns="0">
                      <a:spAutoFit/>
                    </wps:bodyPr>
                  </wps:wsp>
                </a:graphicData>
              </a:graphic>
            </wp:anchor>
          </w:drawing>
        </mc:Choice>
        <mc:Fallback>
          <w:pict>
            <v:shapetype w14:anchorId="2D275678" id="_x0000_t202" coordsize="21600,21600" o:spt="202" path="m,l,21600r21600,l21600,xe">
              <v:stroke joinstyle="miter"/>
              <v:path gradientshapeok="t" o:connecttype="rect"/>
            </v:shapetype>
            <v:shape id="Shape 8" o:spid="_x0000_s1062" type="#_x0000_t202" style="position:absolute;margin-left:192pt;margin-top:24.1pt;width:190.55pt;height:6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" filled="f" stroked="f">
              <v:textbox style="mso-fit-shape-to-text:t" inset="0,0,0,0">
                <w:txbxContent>
                  <w:p w14:paraId="439C01A7" w14:textId="77777777" w:rsidR="0072615D" w:rsidRDefault="0072615D">
                    <w:pPr>
                      <w:pStyle w:val="Headerorfooter20"/>
                      <w:tabs>
                        <w:tab w:val="right" w:pos="3811"/>
                      </w:tabs>
                      <w:rPr>
                        <w:sz w:val="16"/>
                        <w:szCs w:val="16"/>
                      </w:rPr>
                    </w:pPr>
                    <w:r>
                      <w:rPr>
                        <w:rFonts w:ascii="Arial" w:eastAsia="Arial" w:hAnsi="Arial" w:cs="Arial"/>
                        <w:color w:val="231F20"/>
                        <w:sz w:val="14"/>
                        <w:szCs w:val="14"/>
                      </w:rPr>
                      <w:t>CONTENIDO</w:t>
                    </w:r>
                    <w:r>
                      <w:rPr>
                        <w:rFonts w:ascii="Arial" w:eastAsia="Arial" w:hAnsi="Arial" w:cs="Arial"/>
                        <w:color w:val="231F20"/>
                        <w:sz w:val="14"/>
                        <w:szCs w:val="14"/>
                      </w:rPr>
                      <w:tab/>
                    </w:r>
                    <w:r>
                      <w:fldChar w:fldCharType="begin"/>
                    </w:r>
                    <w:r>
                      <w:instrText xml:space="preserve"> PAGE \* MERGEFORMAT </w:instrText>
                    </w:r>
                    <w:r>
                      <w:fldChar w:fldCharType="separate"/>
                    </w:r>
                    <w:r>
                      <w:rPr>
                        <w:rFonts w:ascii="Arial" w:eastAsia="Arial" w:hAnsi="Arial" w:cs="Arial"/>
                        <w:color w:val="231F20"/>
                        <w:sz w:val="16"/>
                        <w:szCs w:val="16"/>
                      </w:rPr>
                      <w:t>#</w:t>
                    </w:r>
                    <w:r>
                      <w:rPr>
                        <w:rFonts w:ascii="Arial" w:eastAsia="Arial" w:hAnsi="Arial" w:cs="Arial"/>
                        <w:color w:val="231F20"/>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2DBD4420" wp14:editId="50EB38CB">
              <wp:simplePos x="0" y="0"/>
              <wp:positionH relativeFrom="page">
                <wp:posOffset>524510</wp:posOffset>
              </wp:positionH>
              <wp:positionV relativeFrom="page">
                <wp:posOffset>420370</wp:posOffset>
              </wp:positionV>
              <wp:extent cx="4358640" cy="0"/>
              <wp:effectExtent l="0" t="0" r="0" b="0"/>
              <wp:wrapNone/>
              <wp:docPr id="10" name="Shape 1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2451BAF" id="_x0000_t32" coordsize="21600,21600" o:spt="32" o:oned="t" path="m,l21600,21600e" filled="f">
              <v:path arrowok="t" fillok="f" o:connecttype="none"/>
              <o:lock v:ext="edit" shapetype="t"/>
            </v:shapetype>
            <v:shape id="Shape 10" o:spid="_x0000_s1026" type="#_x0000_t32" style="position:absolute;margin-left:41.3pt;margin-top:33.1pt;width:343.2pt;height:0;z-index:-2516551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" strokeweight="1p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A491" w14:textId="77777777" w:rsidR="0072615D" w:rsidRDefault="0072615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7BB1" w14:textId="77777777" w:rsidR="0072615D" w:rsidRDefault="0072615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7B23" w14:textId="77777777" w:rsidR="0072615D" w:rsidRDefault="0072615D">
    <w:pPr>
      <w:spacing w:line="1" w:lineRule="exact"/>
    </w:pPr>
    <w:r>
      <w:rPr>
        <w:noProof/>
      </w:rPr>
      <mc:AlternateContent>
        <mc:Choice Requires="wps">
          <w:drawing>
            <wp:anchor distT="0" distB="0" distL="0" distR="0" simplePos="0" relativeHeight="251793408" behindDoc="1" locked="0" layoutInCell="1" allowOverlap="1" wp14:anchorId="6AEEB449" wp14:editId="62874DFA">
              <wp:simplePos x="0" y="0"/>
              <wp:positionH relativeFrom="page">
                <wp:posOffset>535305</wp:posOffset>
              </wp:positionH>
              <wp:positionV relativeFrom="page">
                <wp:posOffset>287655</wp:posOffset>
              </wp:positionV>
              <wp:extent cx="3161030" cy="85090"/>
              <wp:effectExtent l="0" t="0" r="0" b="0"/>
              <wp:wrapNone/>
              <wp:docPr id="17" name="Shape 17"/>
              <wp:cNvGraphicFramePr/>
              <a:graphic xmlns:a="http://schemas.openxmlformats.org/drawingml/2006/main">
                <a:graphicData uri="http://schemas.microsoft.com/office/word/2010/wordprocessingShape">
                  <wps:wsp>
                    <wps:cNvSpPr txBox="1"/>
                    <wps:spPr>
                      <a:xfrm>
                        <a:off x="0" y="0"/>
                        <a:ext cx="3161030" cy="85090"/>
                      </a:xfrm>
                      <a:prstGeom prst="rect">
                        <a:avLst/>
                      </a:prstGeom>
                      <a:noFill/>
                    </wps:spPr>
                    <wps:txbx>
                      <w:txbxContent>
                        <w:p w14:paraId="15DB72BE" w14:textId="77777777" w:rsidR="0072615D" w:rsidRDefault="0072615D">
                          <w:pPr>
                            <w:pStyle w:val="Headerorfooter20"/>
                            <w:tabs>
                              <w:tab w:val="right" w:pos="4978"/>
                            </w:tabs>
                            <w:rPr>
                              <w:sz w:val="14"/>
                              <w:szCs w:val="14"/>
                            </w:rPr>
                          </w:pPr>
                          <w:r>
                            <w:rPr>
                              <w:rFonts w:ascii="Arial" w:eastAsia="Arial" w:hAnsi="Arial" w:cs="Arial"/>
                              <w:color w:val="231F20"/>
                              <w:sz w:val="16"/>
                              <w:szCs w:val="16"/>
                            </w:rPr>
                            <w:t>2</w:t>
                          </w:r>
                          <w:r>
                            <w:rPr>
                              <w:rFonts w:ascii="Arial" w:eastAsia="Arial" w:hAnsi="Arial" w:cs="Arial"/>
                              <w:color w:val="231F20"/>
                              <w:sz w:val="16"/>
                              <w:szCs w:val="16"/>
                            </w:rPr>
                            <w:tab/>
                          </w:r>
                          <w:r>
                            <w:rPr>
                              <w:rFonts w:ascii="Arial" w:eastAsia="Arial" w:hAnsi="Arial" w:cs="Arial"/>
                              <w:color w:val="231F20"/>
                              <w:sz w:val="14"/>
                              <w:szCs w:val="14"/>
                            </w:rPr>
                            <w:t>FUENTES DE INFORMACIÓN SOBRE VACUNAS</w:t>
                          </w:r>
                        </w:p>
                      </w:txbxContent>
                    </wps:txbx>
                    <wps:bodyPr lIns="0" tIns="0" rIns="0" bIns="0">
                      <a:spAutoFit/>
                    </wps:bodyPr>
                  </wps:wsp>
                </a:graphicData>
              </a:graphic>
            </wp:anchor>
          </w:drawing>
        </mc:Choice>
        <mc:Fallback>
          <w:pict>
            <v:shapetype w14:anchorId="6AEEB449" id="_x0000_t202" coordsize="21600,21600" o:spt="202" path="m,l,21600r21600,l21600,xe">
              <v:stroke joinstyle="miter"/>
              <v:path gradientshapeok="t" o:connecttype="rect"/>
            </v:shapetype>
            <v:shape id="Shape 17" o:spid="_x0000_s1063" type="#_x0000_t202" style="position:absolute;margin-left:42.15pt;margin-top:22.65pt;width:248.9pt;height:6.7pt;z-index:-2515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" filled="f" stroked="f">
              <v:textbox style="mso-fit-shape-to-text:t" inset="0,0,0,0">
                <w:txbxContent>
                  <w:p w14:paraId="15DB72BE" w14:textId="77777777" w:rsidR="0072615D" w:rsidRDefault="0072615D">
                    <w:pPr>
                      <w:pStyle w:val="Headerorfooter20"/>
                      <w:tabs>
                        <w:tab w:val="right" w:pos="4978"/>
                      </w:tabs>
                      <w:rPr>
                        <w:sz w:val="14"/>
                        <w:szCs w:val="14"/>
                      </w:rPr>
                    </w:pPr>
                    <w:r>
                      <w:rPr>
                        <w:rFonts w:ascii="Arial" w:eastAsia="Arial" w:hAnsi="Arial" w:cs="Arial"/>
                        <w:color w:val="231F20"/>
                        <w:sz w:val="16"/>
                        <w:szCs w:val="16"/>
                      </w:rPr>
                      <w:t>2</w:t>
                    </w:r>
                    <w:r>
                      <w:rPr>
                        <w:rFonts w:ascii="Arial" w:eastAsia="Arial" w:hAnsi="Arial" w:cs="Arial"/>
                        <w:color w:val="231F20"/>
                        <w:sz w:val="16"/>
                        <w:szCs w:val="16"/>
                      </w:rPr>
                      <w:tab/>
                    </w:r>
                    <w:r>
                      <w:rPr>
                        <w:rFonts w:ascii="Arial" w:eastAsia="Arial" w:hAnsi="Arial" w:cs="Arial"/>
                        <w:color w:val="231F20"/>
                        <w:sz w:val="14"/>
                        <w:szCs w:val="14"/>
                      </w:rPr>
                      <w:t>FUENTES DE INFORMACIÓN SOBRE VACUNAS</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7BC75A97" wp14:editId="29EB4CD7">
              <wp:simplePos x="0" y="0"/>
              <wp:positionH relativeFrom="page">
                <wp:posOffset>520065</wp:posOffset>
              </wp:positionH>
              <wp:positionV relativeFrom="page">
                <wp:posOffset>410845</wp:posOffset>
              </wp:positionV>
              <wp:extent cx="4358640" cy="0"/>
              <wp:effectExtent l="0" t="0" r="0" b="0"/>
              <wp:wrapNone/>
              <wp:docPr id="19" name="Shape 1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8A41E94" id="_x0000_t32" coordsize="21600,21600" o:spt="32" o:oned="t" path="m,l21600,21600e" filled="f">
              <v:path arrowok="t" fillok="f" o:connecttype="none"/>
              <o:lock v:ext="edit" shapetype="t"/>
            </v:shapetype>
            <v:shape id="Shape 19" o:spid="_x0000_s1026" type="#_x0000_t32" style="position:absolute;margin-left:40.95pt;margin-top:32.35pt;width:343.2pt;height:0;z-index:-251652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" strokeweight="1p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00E37" w14:textId="77777777" w:rsidR="0072615D" w:rsidRDefault="0072615D">
    <w:pPr>
      <w:spacing w:line="1" w:lineRule="exact"/>
    </w:pPr>
    <w:r>
      <w:rPr>
        <w:noProof/>
      </w:rPr>
      <mc:AlternateContent>
        <mc:Choice Requires="wps">
          <w:drawing>
            <wp:anchor distT="0" distB="0" distL="0" distR="0" simplePos="0" relativeHeight="251792384" behindDoc="1" locked="0" layoutInCell="1" allowOverlap="1" wp14:anchorId="42EFA2DB" wp14:editId="7E4781B9">
              <wp:simplePos x="0" y="0"/>
              <wp:positionH relativeFrom="page">
                <wp:posOffset>535305</wp:posOffset>
              </wp:positionH>
              <wp:positionV relativeFrom="page">
                <wp:posOffset>287655</wp:posOffset>
              </wp:positionV>
              <wp:extent cx="3161030" cy="85090"/>
              <wp:effectExtent l="0" t="0" r="0" b="0"/>
              <wp:wrapNone/>
              <wp:docPr id="14" name="Shape 14"/>
              <wp:cNvGraphicFramePr/>
              <a:graphic xmlns:a="http://schemas.openxmlformats.org/drawingml/2006/main">
                <a:graphicData uri="http://schemas.microsoft.com/office/word/2010/wordprocessingShape">
                  <wps:wsp>
                    <wps:cNvSpPr txBox="1"/>
                    <wps:spPr>
                      <a:xfrm>
                        <a:off x="0" y="0"/>
                        <a:ext cx="3161030" cy="85090"/>
                      </a:xfrm>
                      <a:prstGeom prst="rect">
                        <a:avLst/>
                      </a:prstGeom>
                      <a:noFill/>
                    </wps:spPr>
                    <wps:txbx>
                      <w:txbxContent>
                        <w:p w14:paraId="4FC021EC" w14:textId="77777777" w:rsidR="0072615D" w:rsidRDefault="0072615D">
                          <w:pPr>
                            <w:pStyle w:val="Headerorfooter20"/>
                            <w:tabs>
                              <w:tab w:val="right" w:pos="4978"/>
                            </w:tabs>
                            <w:rPr>
                              <w:sz w:val="14"/>
                              <w:szCs w:val="14"/>
                            </w:rPr>
                          </w:pPr>
                          <w:r>
                            <w:rPr>
                              <w:rFonts w:ascii="Arial" w:eastAsia="Arial" w:hAnsi="Arial" w:cs="Arial"/>
                              <w:color w:val="231F20"/>
                              <w:sz w:val="16"/>
                              <w:szCs w:val="16"/>
                            </w:rPr>
                            <w:t>2</w:t>
                          </w:r>
                          <w:r>
                            <w:rPr>
                              <w:rFonts w:ascii="Arial" w:eastAsia="Arial" w:hAnsi="Arial" w:cs="Arial"/>
                              <w:color w:val="231F20"/>
                              <w:sz w:val="16"/>
                              <w:szCs w:val="16"/>
                            </w:rPr>
                            <w:tab/>
                          </w:r>
                          <w:r>
                            <w:rPr>
                              <w:rFonts w:ascii="Arial" w:eastAsia="Arial" w:hAnsi="Arial" w:cs="Arial"/>
                              <w:color w:val="231F20"/>
                              <w:sz w:val="14"/>
                              <w:szCs w:val="14"/>
                            </w:rPr>
                            <w:t>FUENTES DE INFORMACIÓN SOBRE VACUNAS</w:t>
                          </w:r>
                        </w:p>
                      </w:txbxContent>
                    </wps:txbx>
                    <wps:bodyPr lIns="0" tIns="0" rIns="0" bIns="0">
                      <a:spAutoFit/>
                    </wps:bodyPr>
                  </wps:wsp>
                </a:graphicData>
              </a:graphic>
            </wp:anchor>
          </w:drawing>
        </mc:Choice>
        <mc:Fallback>
          <w:pict>
            <v:shapetype w14:anchorId="42EFA2DB" id="_x0000_t202" coordsize="21600,21600" o:spt="202" path="m,l,21600r21600,l21600,xe">
              <v:stroke joinstyle="miter"/>
              <v:path gradientshapeok="t" o:connecttype="rect"/>
            </v:shapetype>
            <v:shape id="Shape 14" o:spid="_x0000_s1064" type="#_x0000_t202" style="position:absolute;margin-left:42.15pt;margin-top:22.65pt;width:248.9pt;height:6.7pt;z-index:-2515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" filled="f" stroked="f">
              <v:textbox style="mso-fit-shape-to-text:t" inset="0,0,0,0">
                <w:txbxContent>
                  <w:p w14:paraId="4FC021EC" w14:textId="77777777" w:rsidR="0072615D" w:rsidRDefault="0072615D">
                    <w:pPr>
                      <w:pStyle w:val="Headerorfooter20"/>
                      <w:tabs>
                        <w:tab w:val="right" w:pos="4978"/>
                      </w:tabs>
                      <w:rPr>
                        <w:sz w:val="14"/>
                        <w:szCs w:val="14"/>
                      </w:rPr>
                    </w:pPr>
                    <w:r>
                      <w:rPr>
                        <w:rFonts w:ascii="Arial" w:eastAsia="Arial" w:hAnsi="Arial" w:cs="Arial"/>
                        <w:color w:val="231F20"/>
                        <w:sz w:val="16"/>
                        <w:szCs w:val="16"/>
                      </w:rPr>
                      <w:t>2</w:t>
                    </w:r>
                    <w:r>
                      <w:rPr>
                        <w:rFonts w:ascii="Arial" w:eastAsia="Arial" w:hAnsi="Arial" w:cs="Arial"/>
                        <w:color w:val="231F20"/>
                        <w:sz w:val="16"/>
                        <w:szCs w:val="16"/>
                      </w:rPr>
                      <w:tab/>
                    </w:r>
                    <w:r>
                      <w:rPr>
                        <w:rFonts w:ascii="Arial" w:eastAsia="Arial" w:hAnsi="Arial" w:cs="Arial"/>
                        <w:color w:val="231F20"/>
                        <w:sz w:val="14"/>
                        <w:szCs w:val="14"/>
                      </w:rPr>
                      <w:t>FUENTES DE INFORMACIÓN SOBRE VACUNAS</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8489211" wp14:editId="33185365">
              <wp:simplePos x="0" y="0"/>
              <wp:positionH relativeFrom="page">
                <wp:posOffset>520065</wp:posOffset>
              </wp:positionH>
              <wp:positionV relativeFrom="page">
                <wp:posOffset>410845</wp:posOffset>
              </wp:positionV>
              <wp:extent cx="4358640" cy="0"/>
              <wp:effectExtent l="0" t="0" r="0" b="0"/>
              <wp:wrapNone/>
              <wp:docPr id="16" name="Shape 1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5386B32" id="_x0000_t32" coordsize="21600,21600" o:spt="32" o:oned="t" path="m,l21600,21600e" filled="f">
              <v:path arrowok="t" fillok="f" o:connecttype="none"/>
              <o:lock v:ext="edit" shapetype="t"/>
            </v:shapetype>
            <v:shape id="Shape 16" o:spid="_x0000_s1026" type="#_x0000_t32" style="position:absolute;margin-left:40.95pt;margin-top:32.35pt;width:343.2pt;height:0;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" strokeweight="1p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F1C3" w14:textId="77777777" w:rsidR="0072615D" w:rsidRDefault="0072615D">
    <w:pPr>
      <w:spacing w:line="1" w:lineRule="exact"/>
    </w:pPr>
    <w:r>
      <w:rPr>
        <w:noProof/>
      </w:rPr>
      <mc:AlternateContent>
        <mc:Choice Requires="wps">
          <w:drawing>
            <wp:anchor distT="0" distB="0" distL="0" distR="0" simplePos="0" relativeHeight="251795456" behindDoc="1" locked="0" layoutInCell="1" allowOverlap="1" wp14:anchorId="47440C87" wp14:editId="18A171C9">
              <wp:simplePos x="0" y="0"/>
              <wp:positionH relativeFrom="page">
                <wp:posOffset>535305</wp:posOffset>
              </wp:positionH>
              <wp:positionV relativeFrom="page">
                <wp:posOffset>287655</wp:posOffset>
              </wp:positionV>
              <wp:extent cx="3161030" cy="85090"/>
              <wp:effectExtent l="0" t="0" r="0" b="0"/>
              <wp:wrapNone/>
              <wp:docPr id="23" name="Shape 23"/>
              <wp:cNvGraphicFramePr/>
              <a:graphic xmlns:a="http://schemas.openxmlformats.org/drawingml/2006/main">
                <a:graphicData uri="http://schemas.microsoft.com/office/word/2010/wordprocessingShape">
                  <wps:wsp>
                    <wps:cNvSpPr txBox="1"/>
                    <wps:spPr>
                      <a:xfrm>
                        <a:off x="0" y="0"/>
                        <a:ext cx="3161030" cy="85090"/>
                      </a:xfrm>
                      <a:prstGeom prst="rect">
                        <a:avLst/>
                      </a:prstGeom>
                      <a:noFill/>
                    </wps:spPr>
                    <wps:txbx>
                      <w:txbxContent>
                        <w:p w14:paraId="39A01638" w14:textId="77777777" w:rsidR="0072615D" w:rsidRDefault="0072615D">
                          <w:pPr>
                            <w:pStyle w:val="Headerorfooter20"/>
                            <w:tabs>
                              <w:tab w:val="right" w:pos="4978"/>
                            </w:tabs>
                            <w:rPr>
                              <w:sz w:val="14"/>
                              <w:szCs w:val="14"/>
                            </w:rPr>
                          </w:pPr>
                          <w:r>
                            <w:rPr>
                              <w:rFonts w:ascii="Arial" w:eastAsia="Arial" w:hAnsi="Arial" w:cs="Arial"/>
                              <w:color w:val="231F20"/>
                              <w:sz w:val="16"/>
                              <w:szCs w:val="16"/>
                            </w:rPr>
                            <w:t>2</w:t>
                          </w:r>
                          <w:r>
                            <w:rPr>
                              <w:rFonts w:ascii="Arial" w:eastAsia="Arial" w:hAnsi="Arial" w:cs="Arial"/>
                              <w:color w:val="231F20"/>
                              <w:sz w:val="16"/>
                              <w:szCs w:val="16"/>
                            </w:rPr>
                            <w:tab/>
                          </w:r>
                          <w:r>
                            <w:rPr>
                              <w:rFonts w:ascii="Arial" w:eastAsia="Arial" w:hAnsi="Arial" w:cs="Arial"/>
                              <w:color w:val="231F20"/>
                              <w:sz w:val="14"/>
                              <w:szCs w:val="14"/>
                            </w:rPr>
                            <w:t>FUENTES DE INFORMACIÓN SOBRE VACUNAS</w:t>
                          </w:r>
                        </w:p>
                      </w:txbxContent>
                    </wps:txbx>
                    <wps:bodyPr lIns="0" tIns="0" rIns="0" bIns="0">
                      <a:spAutoFit/>
                    </wps:bodyPr>
                  </wps:wsp>
                </a:graphicData>
              </a:graphic>
            </wp:anchor>
          </w:drawing>
        </mc:Choice>
        <mc:Fallback>
          <w:pict>
            <v:shapetype w14:anchorId="47440C87" id="_x0000_t202" coordsize="21600,21600" o:spt="202" path="m,l,21600r21600,l21600,xe">
              <v:stroke joinstyle="miter"/>
              <v:path gradientshapeok="t" o:connecttype="rect"/>
            </v:shapetype>
            <v:shape id="Shape 23" o:spid="_x0000_s1065" type="#_x0000_t202" style="position:absolute;margin-left:42.15pt;margin-top:22.65pt;width:248.9pt;height:6.7pt;z-index:-2515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" filled="f" stroked="f">
              <v:textbox style="mso-fit-shape-to-text:t" inset="0,0,0,0">
                <w:txbxContent>
                  <w:p w14:paraId="39A01638" w14:textId="77777777" w:rsidR="0072615D" w:rsidRDefault="0072615D">
                    <w:pPr>
                      <w:pStyle w:val="Headerorfooter20"/>
                      <w:tabs>
                        <w:tab w:val="right" w:pos="4978"/>
                      </w:tabs>
                      <w:rPr>
                        <w:sz w:val="14"/>
                        <w:szCs w:val="14"/>
                      </w:rPr>
                    </w:pPr>
                    <w:r>
                      <w:rPr>
                        <w:rFonts w:ascii="Arial" w:eastAsia="Arial" w:hAnsi="Arial" w:cs="Arial"/>
                        <w:color w:val="231F20"/>
                        <w:sz w:val="16"/>
                        <w:szCs w:val="16"/>
                      </w:rPr>
                      <w:t>2</w:t>
                    </w:r>
                    <w:r>
                      <w:rPr>
                        <w:rFonts w:ascii="Arial" w:eastAsia="Arial" w:hAnsi="Arial" w:cs="Arial"/>
                        <w:color w:val="231F20"/>
                        <w:sz w:val="16"/>
                        <w:szCs w:val="16"/>
                      </w:rPr>
                      <w:tab/>
                    </w:r>
                    <w:r>
                      <w:rPr>
                        <w:rFonts w:ascii="Arial" w:eastAsia="Arial" w:hAnsi="Arial" w:cs="Arial"/>
                        <w:color w:val="231F20"/>
                        <w:sz w:val="14"/>
                        <w:szCs w:val="14"/>
                      </w:rPr>
                      <w:t>FUENTES DE INFORMACIÓN SOBRE VACUNAS</w:t>
                    </w:r>
                  </w:p>
                </w:txbxContent>
              </v:textbox>
              <w10:wrap anchorx="page" anchory="page"/>
            </v:shape>
          </w:pict>
        </mc:Fallback>
      </mc:AlternateContent>
    </w:r>
    <w:r>
      <w:rPr>
        <w:noProof/>
      </w:rPr>
      <mc:AlternateContent>
        <mc:Choice Requires="wps">
          <w:drawing>
            <wp:anchor distT="0" distB="0" distL="114300" distR="114300" simplePos="0" relativeHeight="251666432" behindDoc="1" locked="0" layoutInCell="1" allowOverlap="1" wp14:anchorId="0496DE3A" wp14:editId="2AD7FF02">
              <wp:simplePos x="0" y="0"/>
              <wp:positionH relativeFrom="page">
                <wp:posOffset>520065</wp:posOffset>
              </wp:positionH>
              <wp:positionV relativeFrom="page">
                <wp:posOffset>410845</wp:posOffset>
              </wp:positionV>
              <wp:extent cx="4358640" cy="0"/>
              <wp:effectExtent l="0" t="0" r="0" b="0"/>
              <wp:wrapNone/>
              <wp:docPr id="25" name="Shape 2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693CD30" id="_x0000_t32" coordsize="21600,21600" o:spt="32" o:oned="t" path="m,l21600,21600e" filled="f">
              <v:path arrowok="t" fillok="f" o:connecttype="none"/>
              <o:lock v:ext="edit" shapetype="t"/>
            </v:shapetype>
            <v:shape id="Shape 25" o:spid="_x0000_s1026" type="#_x0000_t32" style="position:absolute;margin-left:40.95pt;margin-top:32.35pt;width:343.2pt;height:0;z-index:-251650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" strokeweight="1p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F2AC" w14:textId="77777777" w:rsidR="0072615D" w:rsidRDefault="0072615D">
    <w:pPr>
      <w:spacing w:line="1" w:lineRule="exact"/>
    </w:pPr>
    <w:r>
      <w:rPr>
        <w:noProof/>
      </w:rPr>
      <mc:AlternateContent>
        <mc:Choice Requires="wps">
          <w:drawing>
            <wp:anchor distT="0" distB="0" distL="0" distR="0" simplePos="0" relativeHeight="251794432" behindDoc="1" locked="0" layoutInCell="1" allowOverlap="1" wp14:anchorId="3B5EC273" wp14:editId="3D567DA2">
              <wp:simplePos x="0" y="0"/>
              <wp:positionH relativeFrom="page">
                <wp:posOffset>535305</wp:posOffset>
              </wp:positionH>
              <wp:positionV relativeFrom="page">
                <wp:posOffset>287655</wp:posOffset>
              </wp:positionV>
              <wp:extent cx="3161030" cy="85090"/>
              <wp:effectExtent l="0" t="0" r="0" b="0"/>
              <wp:wrapNone/>
              <wp:docPr id="20" name="Shape 20"/>
              <wp:cNvGraphicFramePr/>
              <a:graphic xmlns:a="http://schemas.openxmlformats.org/drawingml/2006/main">
                <a:graphicData uri="http://schemas.microsoft.com/office/word/2010/wordprocessingShape">
                  <wps:wsp>
                    <wps:cNvSpPr txBox="1"/>
                    <wps:spPr>
                      <a:xfrm>
                        <a:off x="0" y="0"/>
                        <a:ext cx="3161030" cy="85090"/>
                      </a:xfrm>
                      <a:prstGeom prst="rect">
                        <a:avLst/>
                      </a:prstGeom>
                      <a:noFill/>
                    </wps:spPr>
                    <wps:txbx>
                      <w:txbxContent>
                        <w:p w14:paraId="73A0B537" w14:textId="77777777" w:rsidR="0072615D" w:rsidRDefault="0072615D">
                          <w:pPr>
                            <w:pStyle w:val="Headerorfooter20"/>
                            <w:tabs>
                              <w:tab w:val="right" w:pos="4978"/>
                            </w:tabs>
                            <w:rPr>
                              <w:sz w:val="14"/>
                              <w:szCs w:val="14"/>
                            </w:rPr>
                          </w:pPr>
                          <w:r>
                            <w:rPr>
                              <w:rFonts w:ascii="Arial" w:eastAsia="Arial" w:hAnsi="Arial" w:cs="Arial"/>
                              <w:color w:val="231F20"/>
                              <w:sz w:val="16"/>
                              <w:szCs w:val="16"/>
                            </w:rPr>
                            <w:t>2</w:t>
                          </w:r>
                          <w:r>
                            <w:rPr>
                              <w:rFonts w:ascii="Arial" w:eastAsia="Arial" w:hAnsi="Arial" w:cs="Arial"/>
                              <w:color w:val="231F20"/>
                              <w:sz w:val="16"/>
                              <w:szCs w:val="16"/>
                            </w:rPr>
                            <w:tab/>
                          </w:r>
                          <w:r>
                            <w:rPr>
                              <w:rFonts w:ascii="Arial" w:eastAsia="Arial" w:hAnsi="Arial" w:cs="Arial"/>
                              <w:color w:val="231F20"/>
                              <w:sz w:val="14"/>
                              <w:szCs w:val="14"/>
                            </w:rPr>
                            <w:t>FUENTES DE INFORMACIÓN SOBRE VACUNAS</w:t>
                          </w:r>
                        </w:p>
                      </w:txbxContent>
                    </wps:txbx>
                    <wps:bodyPr lIns="0" tIns="0" rIns="0" bIns="0">
                      <a:spAutoFit/>
                    </wps:bodyPr>
                  </wps:wsp>
                </a:graphicData>
              </a:graphic>
            </wp:anchor>
          </w:drawing>
        </mc:Choice>
        <mc:Fallback>
          <w:pict>
            <v:shapetype w14:anchorId="3B5EC273" id="_x0000_t202" coordsize="21600,21600" o:spt="202" path="m,l,21600r21600,l21600,xe">
              <v:stroke joinstyle="miter"/>
              <v:path gradientshapeok="t" o:connecttype="rect"/>
            </v:shapetype>
            <v:shape id="Shape 20" o:spid="_x0000_s1066" type="#_x0000_t202" style="position:absolute;margin-left:42.15pt;margin-top:22.65pt;width:248.9pt;height:6.7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" filled="f" stroked="f">
              <v:textbox style="mso-fit-shape-to-text:t" inset="0,0,0,0">
                <w:txbxContent>
                  <w:p w14:paraId="73A0B537" w14:textId="77777777" w:rsidR="0072615D" w:rsidRDefault="0072615D">
                    <w:pPr>
                      <w:pStyle w:val="Headerorfooter20"/>
                      <w:tabs>
                        <w:tab w:val="right" w:pos="4978"/>
                      </w:tabs>
                      <w:rPr>
                        <w:sz w:val="14"/>
                        <w:szCs w:val="14"/>
                      </w:rPr>
                    </w:pPr>
                    <w:r>
                      <w:rPr>
                        <w:rFonts w:ascii="Arial" w:eastAsia="Arial" w:hAnsi="Arial" w:cs="Arial"/>
                        <w:color w:val="231F20"/>
                        <w:sz w:val="16"/>
                        <w:szCs w:val="16"/>
                      </w:rPr>
                      <w:t>2</w:t>
                    </w:r>
                    <w:r>
                      <w:rPr>
                        <w:rFonts w:ascii="Arial" w:eastAsia="Arial" w:hAnsi="Arial" w:cs="Arial"/>
                        <w:color w:val="231F20"/>
                        <w:sz w:val="16"/>
                        <w:szCs w:val="16"/>
                      </w:rPr>
                      <w:tab/>
                    </w:r>
                    <w:r>
                      <w:rPr>
                        <w:rFonts w:ascii="Arial" w:eastAsia="Arial" w:hAnsi="Arial" w:cs="Arial"/>
                        <w:color w:val="231F20"/>
                        <w:sz w:val="14"/>
                        <w:szCs w:val="14"/>
                      </w:rPr>
                      <w:t>FUENTES DE INFORMACIÓN SOBRE VACUNAS</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A1E911C" wp14:editId="41B1B02B">
              <wp:simplePos x="0" y="0"/>
              <wp:positionH relativeFrom="page">
                <wp:posOffset>520065</wp:posOffset>
              </wp:positionH>
              <wp:positionV relativeFrom="page">
                <wp:posOffset>410845</wp:posOffset>
              </wp:positionV>
              <wp:extent cx="4358640" cy="0"/>
              <wp:effectExtent l="0" t="0" r="0" b="0"/>
              <wp:wrapNone/>
              <wp:docPr id="22" name="Shape 2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BDB6137" id="_x0000_t32" coordsize="21600,21600" o:spt="32" o:oned="t" path="m,l21600,21600e" filled="f">
              <v:path arrowok="t" fillok="f" o:connecttype="none"/>
              <o:lock v:ext="edit" shapetype="t"/>
            </v:shapetype>
            <v:shape id="Shape 22" o:spid="_x0000_s1026" type="#_x0000_t32" style="position:absolute;margin-left:40.95pt;margin-top:32.35pt;width:343.2pt;height:0;z-index:-251651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" strokeweight="1p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5769" w14:textId="77777777" w:rsidR="0072615D" w:rsidRDefault="0072615D">
    <w:pPr>
      <w:spacing w:line="1" w:lineRule="exact"/>
    </w:pPr>
    <w:r>
      <w:rPr>
        <w:noProof/>
      </w:rPr>
      <mc:AlternateContent>
        <mc:Choice Requires="wps">
          <w:drawing>
            <wp:anchor distT="0" distB="0" distL="0" distR="0" simplePos="0" relativeHeight="251796480" behindDoc="1" locked="0" layoutInCell="1" allowOverlap="1" wp14:anchorId="58C04905" wp14:editId="63BE3821">
              <wp:simplePos x="0" y="0"/>
              <wp:positionH relativeFrom="page">
                <wp:posOffset>1715135</wp:posOffset>
              </wp:positionH>
              <wp:positionV relativeFrom="page">
                <wp:posOffset>287655</wp:posOffset>
              </wp:positionV>
              <wp:extent cx="3154680" cy="85090"/>
              <wp:effectExtent l="0" t="0" r="0" b="0"/>
              <wp:wrapNone/>
              <wp:docPr id="26" name="Shape 26"/>
              <wp:cNvGraphicFramePr/>
              <a:graphic xmlns:a="http://schemas.openxmlformats.org/drawingml/2006/main">
                <a:graphicData uri="http://schemas.microsoft.com/office/word/2010/wordprocessingShape">
                  <wps:wsp>
                    <wps:cNvSpPr txBox="1"/>
                    <wps:spPr>
                      <a:xfrm>
                        <a:off x="0" y="0"/>
                        <a:ext cx="3154680" cy="85090"/>
                      </a:xfrm>
                      <a:prstGeom prst="rect">
                        <a:avLst/>
                      </a:prstGeom>
                      <a:noFill/>
                    </wps:spPr>
                    <wps:txbx>
                      <w:txbxContent>
                        <w:p w14:paraId="11786F24" w14:textId="77777777" w:rsidR="0072615D" w:rsidRDefault="0072615D">
                          <w:pPr>
                            <w:pStyle w:val="Headerorfooter20"/>
                            <w:tabs>
                              <w:tab w:val="right" w:pos="4968"/>
                            </w:tabs>
                            <w:rPr>
                              <w:sz w:val="16"/>
                              <w:szCs w:val="16"/>
                            </w:rPr>
                          </w:pPr>
                          <w:r>
                            <w:rPr>
                              <w:rFonts w:ascii="Arial" w:eastAsia="Arial" w:hAnsi="Arial" w:cs="Arial"/>
                              <w:color w:val="231F20"/>
                              <w:sz w:val="14"/>
                              <w:szCs w:val="14"/>
                            </w:rPr>
                            <w:t>FUENTES DE INFORMACIÓN SOBRE VACUNAS</w:t>
                          </w:r>
                          <w:r>
                            <w:rPr>
                              <w:rFonts w:ascii="Arial" w:eastAsia="Arial" w:hAnsi="Arial" w:cs="Arial"/>
                              <w:color w:val="231F20"/>
                              <w:sz w:val="14"/>
                              <w:szCs w:val="14"/>
                            </w:rPr>
                            <w:tab/>
                          </w:r>
                          <w:r>
                            <w:rPr>
                              <w:rFonts w:ascii="Arial" w:eastAsia="Arial" w:hAnsi="Arial" w:cs="Arial"/>
                              <w:color w:val="231F20"/>
                              <w:sz w:val="16"/>
                              <w:szCs w:val="16"/>
                            </w:rPr>
                            <w:t>3</w:t>
                          </w:r>
                        </w:p>
                      </w:txbxContent>
                    </wps:txbx>
                    <wps:bodyPr lIns="0" tIns="0" rIns="0" bIns="0">
                      <a:spAutoFit/>
                    </wps:bodyPr>
                  </wps:wsp>
                </a:graphicData>
              </a:graphic>
            </wp:anchor>
          </w:drawing>
        </mc:Choice>
        <mc:Fallback>
          <w:pict>
            <v:shapetype w14:anchorId="58C04905" id="_x0000_t202" coordsize="21600,21600" o:spt="202" path="m,l,21600r21600,l21600,xe">
              <v:stroke joinstyle="miter"/>
              <v:path gradientshapeok="t" o:connecttype="rect"/>
            </v:shapetype>
            <v:shape id="Shape 26" o:spid="_x0000_s1067" type="#_x0000_t202" style="position:absolute;margin-left:135.05pt;margin-top:22.65pt;width:248.4pt;height:6.7pt;z-index:-2515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" filled="f" stroked="f">
              <v:textbox style="mso-fit-shape-to-text:t" inset="0,0,0,0">
                <w:txbxContent>
                  <w:p w14:paraId="11786F24" w14:textId="77777777" w:rsidR="0072615D" w:rsidRDefault="0072615D">
                    <w:pPr>
                      <w:pStyle w:val="Headerorfooter20"/>
                      <w:tabs>
                        <w:tab w:val="right" w:pos="4968"/>
                      </w:tabs>
                      <w:rPr>
                        <w:sz w:val="16"/>
                        <w:szCs w:val="16"/>
                      </w:rPr>
                    </w:pPr>
                    <w:r>
                      <w:rPr>
                        <w:rFonts w:ascii="Arial" w:eastAsia="Arial" w:hAnsi="Arial" w:cs="Arial"/>
                        <w:color w:val="231F20"/>
                        <w:sz w:val="14"/>
                        <w:szCs w:val="14"/>
                      </w:rPr>
                      <w:t>FUENTES DE INFORMACIÓN SOBRE VACUNAS</w:t>
                    </w:r>
                    <w:r>
                      <w:rPr>
                        <w:rFonts w:ascii="Arial" w:eastAsia="Arial" w:hAnsi="Arial" w:cs="Arial"/>
                        <w:color w:val="231F20"/>
                        <w:sz w:val="14"/>
                        <w:szCs w:val="14"/>
                      </w:rPr>
                      <w:tab/>
                    </w:r>
                    <w:r>
                      <w:rPr>
                        <w:rFonts w:ascii="Arial" w:eastAsia="Arial" w:hAnsi="Arial" w:cs="Arial"/>
                        <w:color w:val="231F20"/>
                        <w:sz w:val="16"/>
                        <w:szCs w:val="16"/>
                      </w:rPr>
                      <w:t>3</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137C38BC" wp14:editId="1F99499C">
              <wp:simplePos x="0" y="0"/>
              <wp:positionH relativeFrom="page">
                <wp:posOffset>532130</wp:posOffset>
              </wp:positionH>
              <wp:positionV relativeFrom="page">
                <wp:posOffset>410845</wp:posOffset>
              </wp:positionV>
              <wp:extent cx="4358640" cy="0"/>
              <wp:effectExtent l="0" t="0" r="0" b="0"/>
              <wp:wrapNone/>
              <wp:docPr id="28" name="Shape 2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98A7AFD" id="_x0000_t32" coordsize="21600,21600" o:spt="32" o:oned="t" path="m,l21600,21600e" filled="f">
              <v:path arrowok="t" fillok="f" o:connecttype="none"/>
              <o:lock v:ext="edit" shapetype="t"/>
            </v:shapetype>
            <v:shape id="Shape 28" o:spid="_x0000_s1026" type="#_x0000_t32" style="position:absolute;margin-left:41.9pt;margin-top:32.35pt;width:343.2pt;height:0;z-index:-251649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" strokeweight="1pt">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DAAF" w14:textId="77777777" w:rsidR="0072615D" w:rsidRDefault="0072615D">
    <w:pPr>
      <w:spacing w:line="1" w:lineRule="exact"/>
    </w:pPr>
    <w:r>
      <w:rPr>
        <w:noProof/>
      </w:rPr>
      <mc:AlternateContent>
        <mc:Choice Requires="wps">
          <w:drawing>
            <wp:anchor distT="0" distB="0" distL="0" distR="0" simplePos="0" relativeHeight="251798528" behindDoc="1" locked="0" layoutInCell="1" allowOverlap="1" wp14:anchorId="56A999D2" wp14:editId="437EF750">
              <wp:simplePos x="0" y="0"/>
              <wp:positionH relativeFrom="page">
                <wp:posOffset>1764030</wp:posOffset>
              </wp:positionH>
              <wp:positionV relativeFrom="page">
                <wp:posOffset>287655</wp:posOffset>
              </wp:positionV>
              <wp:extent cx="3102610" cy="85090"/>
              <wp:effectExtent l="0" t="0" r="0" b="0"/>
              <wp:wrapNone/>
              <wp:docPr id="34" name="Shape 34"/>
              <wp:cNvGraphicFramePr/>
              <a:graphic xmlns:a="http://schemas.openxmlformats.org/drawingml/2006/main">
                <a:graphicData uri="http://schemas.microsoft.com/office/word/2010/wordprocessingShape">
                  <wps:wsp>
                    <wps:cNvSpPr txBox="1"/>
                    <wps:spPr>
                      <a:xfrm>
                        <a:off x="0" y="0"/>
                        <a:ext cx="3102610" cy="85090"/>
                      </a:xfrm>
                      <a:prstGeom prst="rect">
                        <a:avLst/>
                      </a:prstGeom>
                      <a:noFill/>
                    </wps:spPr>
                    <wps:txbx>
                      <w:txbxContent>
                        <w:p w14:paraId="11798743" w14:textId="77777777" w:rsidR="0072615D" w:rsidRDefault="0072615D">
                          <w:pPr>
                            <w:pStyle w:val="Headerorfooter20"/>
                            <w:tabs>
                              <w:tab w:val="right" w:pos="4886"/>
                            </w:tabs>
                            <w:rPr>
                              <w:sz w:val="16"/>
                              <w:szCs w:val="16"/>
                            </w:rPr>
                          </w:pPr>
                          <w:r>
                            <w:rPr>
                              <w:rFonts w:ascii="Arial" w:eastAsia="Arial" w:hAnsi="Arial" w:cs="Arial"/>
                              <w:color w:val="231F20"/>
                              <w:sz w:val="14"/>
                              <w:szCs w:val="14"/>
                            </w:rPr>
                            <w:t>INFORMACIÓN A PACIENTES Y SUS PADRES</w:t>
                          </w:r>
                          <w:r>
                            <w:rPr>
                              <w:rFonts w:ascii="Arial" w:eastAsia="Arial" w:hAnsi="Arial" w:cs="Arial"/>
                              <w:color w:val="231F20"/>
                              <w:sz w:val="14"/>
                              <w:szCs w:val="14"/>
                            </w:rPr>
                            <w:tab/>
                          </w:r>
                          <w:r>
                            <w:rPr>
                              <w:rFonts w:ascii="Arial" w:eastAsia="Arial" w:hAnsi="Arial" w:cs="Arial"/>
                              <w:color w:val="231F20"/>
                              <w:sz w:val="16"/>
                              <w:szCs w:val="16"/>
                            </w:rPr>
                            <w:t>5</w:t>
                          </w:r>
                        </w:p>
                      </w:txbxContent>
                    </wps:txbx>
                    <wps:bodyPr lIns="0" tIns="0" rIns="0" bIns="0">
                      <a:spAutoFit/>
                    </wps:bodyPr>
                  </wps:wsp>
                </a:graphicData>
              </a:graphic>
            </wp:anchor>
          </w:drawing>
        </mc:Choice>
        <mc:Fallback>
          <w:pict>
            <v:shapetype w14:anchorId="56A999D2" id="_x0000_t202" coordsize="21600,21600" o:spt="202" path="m,l,21600r21600,l21600,xe">
              <v:stroke joinstyle="miter"/>
              <v:path gradientshapeok="t" o:connecttype="rect"/>
            </v:shapetype>
            <v:shape id="Shape 34" o:spid="_x0000_s1068" type="#_x0000_t202" style="position:absolute;margin-left:138.9pt;margin-top:22.65pt;width:244.3pt;height:6.7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" filled="f" stroked="f">
              <v:textbox style="mso-fit-shape-to-text:t" inset="0,0,0,0">
                <w:txbxContent>
                  <w:p w14:paraId="11798743" w14:textId="77777777" w:rsidR="0072615D" w:rsidRDefault="0072615D">
                    <w:pPr>
                      <w:pStyle w:val="Headerorfooter20"/>
                      <w:tabs>
                        <w:tab w:val="right" w:pos="4886"/>
                      </w:tabs>
                      <w:rPr>
                        <w:sz w:val="16"/>
                        <w:szCs w:val="16"/>
                      </w:rPr>
                    </w:pPr>
                    <w:r>
                      <w:rPr>
                        <w:rFonts w:ascii="Arial" w:eastAsia="Arial" w:hAnsi="Arial" w:cs="Arial"/>
                        <w:color w:val="231F20"/>
                        <w:sz w:val="14"/>
                        <w:szCs w:val="14"/>
                      </w:rPr>
                      <w:t>INFORMACIÓN A PACIENTES Y SUS PADRES</w:t>
                    </w:r>
                    <w:r>
                      <w:rPr>
                        <w:rFonts w:ascii="Arial" w:eastAsia="Arial" w:hAnsi="Arial" w:cs="Arial"/>
                        <w:color w:val="231F20"/>
                        <w:sz w:val="14"/>
                        <w:szCs w:val="14"/>
                      </w:rPr>
                      <w:tab/>
                    </w:r>
                    <w:r>
                      <w:rPr>
                        <w:rFonts w:ascii="Arial" w:eastAsia="Arial" w:hAnsi="Arial" w:cs="Arial"/>
                        <w:color w:val="231F20"/>
                        <w:sz w:val="16"/>
                        <w:szCs w:val="16"/>
                      </w:rPr>
                      <w:t>5</w:t>
                    </w:r>
                  </w:p>
                </w:txbxContent>
              </v:textbox>
              <w10:wrap anchorx="page" anchory="page"/>
            </v:shape>
          </w:pict>
        </mc:Fallback>
      </mc:AlternateContent>
    </w:r>
    <w:r>
      <w:rPr>
        <w:noProof/>
      </w:rPr>
      <mc:AlternateContent>
        <mc:Choice Requires="wps">
          <w:drawing>
            <wp:anchor distT="0" distB="0" distL="114300" distR="114300" simplePos="0" relativeHeight="251669504" behindDoc="1" locked="0" layoutInCell="1" allowOverlap="1" wp14:anchorId="78E292B9" wp14:editId="2723BB2B">
              <wp:simplePos x="0" y="0"/>
              <wp:positionH relativeFrom="page">
                <wp:posOffset>529590</wp:posOffset>
              </wp:positionH>
              <wp:positionV relativeFrom="page">
                <wp:posOffset>410845</wp:posOffset>
              </wp:positionV>
              <wp:extent cx="4358640" cy="0"/>
              <wp:effectExtent l="0" t="0" r="0" b="0"/>
              <wp:wrapNone/>
              <wp:docPr id="36" name="Shape 3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15241F0" id="_x0000_t32" coordsize="21600,21600" o:spt="32" o:oned="t" path="m,l21600,21600e" filled="f">
              <v:path arrowok="t" fillok="f" o:connecttype="none"/>
              <o:lock v:ext="edit" shapetype="t"/>
            </v:shapetype>
            <v:shape id="Shape 36" o:spid="_x0000_s1026" type="#_x0000_t32" style="position:absolute;margin-left:41.7pt;margin-top:32.35pt;width:343.2pt;height:0;z-index:-251646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A5/&#10;gqnaAAAACAEAAA8AAAAAAAAAAAAAAAAAwgMAAGRycy9kb3ducmV2LnhtbFBLBQYAAAAABAAEAPMA&#10;AADJBAAAAAA=&#10;" strokeweight="1pt">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0EDC" w14:textId="77777777" w:rsidR="0072615D" w:rsidRDefault="0072615D">
    <w:pPr>
      <w:spacing w:line="1" w:lineRule="exact"/>
    </w:pPr>
    <w:r>
      <w:rPr>
        <w:noProof/>
      </w:rPr>
      <mc:AlternateContent>
        <mc:Choice Requires="wps">
          <w:drawing>
            <wp:anchor distT="0" distB="0" distL="0" distR="0" simplePos="0" relativeHeight="251797504" behindDoc="1" locked="0" layoutInCell="1" allowOverlap="1" wp14:anchorId="20D0331F" wp14:editId="6E45DF36">
              <wp:simplePos x="0" y="0"/>
              <wp:positionH relativeFrom="page">
                <wp:posOffset>1764030</wp:posOffset>
              </wp:positionH>
              <wp:positionV relativeFrom="page">
                <wp:posOffset>287655</wp:posOffset>
              </wp:positionV>
              <wp:extent cx="3102610" cy="85090"/>
              <wp:effectExtent l="0" t="0" r="0" b="0"/>
              <wp:wrapNone/>
              <wp:docPr id="31" name="Shape 31"/>
              <wp:cNvGraphicFramePr/>
              <a:graphic xmlns:a="http://schemas.openxmlformats.org/drawingml/2006/main">
                <a:graphicData uri="http://schemas.microsoft.com/office/word/2010/wordprocessingShape">
                  <wps:wsp>
                    <wps:cNvSpPr txBox="1"/>
                    <wps:spPr>
                      <a:xfrm>
                        <a:off x="0" y="0"/>
                        <a:ext cx="3102610" cy="85090"/>
                      </a:xfrm>
                      <a:prstGeom prst="rect">
                        <a:avLst/>
                      </a:prstGeom>
                      <a:noFill/>
                    </wps:spPr>
                    <wps:txbx>
                      <w:txbxContent>
                        <w:p w14:paraId="7F27EDD9" w14:textId="77777777" w:rsidR="0072615D" w:rsidRDefault="0072615D">
                          <w:pPr>
                            <w:pStyle w:val="Headerorfooter20"/>
                            <w:tabs>
                              <w:tab w:val="right" w:pos="4886"/>
                            </w:tabs>
                            <w:rPr>
                              <w:sz w:val="16"/>
                              <w:szCs w:val="16"/>
                            </w:rPr>
                          </w:pPr>
                          <w:r>
                            <w:rPr>
                              <w:rFonts w:ascii="Arial" w:eastAsia="Arial" w:hAnsi="Arial" w:cs="Arial"/>
                              <w:color w:val="231F20"/>
                              <w:sz w:val="14"/>
                              <w:szCs w:val="14"/>
                            </w:rPr>
                            <w:t>INFORMACIÓN A PACIENTES Y SUS PADRES</w:t>
                          </w:r>
                          <w:r>
                            <w:rPr>
                              <w:rFonts w:ascii="Arial" w:eastAsia="Arial" w:hAnsi="Arial" w:cs="Arial"/>
                              <w:color w:val="231F20"/>
                              <w:sz w:val="14"/>
                              <w:szCs w:val="14"/>
                            </w:rPr>
                            <w:tab/>
                          </w:r>
                          <w:r>
                            <w:rPr>
                              <w:rFonts w:ascii="Arial" w:eastAsia="Arial" w:hAnsi="Arial" w:cs="Arial"/>
                              <w:color w:val="231F20"/>
                              <w:sz w:val="16"/>
                              <w:szCs w:val="16"/>
                            </w:rPr>
                            <w:t>5</w:t>
                          </w:r>
                        </w:p>
                      </w:txbxContent>
                    </wps:txbx>
                    <wps:bodyPr lIns="0" tIns="0" rIns="0" bIns="0">
                      <a:spAutoFit/>
                    </wps:bodyPr>
                  </wps:wsp>
                </a:graphicData>
              </a:graphic>
            </wp:anchor>
          </w:drawing>
        </mc:Choice>
        <mc:Fallback>
          <w:pict>
            <v:shapetype w14:anchorId="20D0331F" id="_x0000_t202" coordsize="21600,21600" o:spt="202" path="m,l,21600r21600,l21600,xe">
              <v:stroke joinstyle="miter"/>
              <v:path gradientshapeok="t" o:connecttype="rect"/>
            </v:shapetype>
            <v:shape id="Shape 31" o:spid="_x0000_s1069" type="#_x0000_t202" style="position:absolute;margin-left:138.9pt;margin-top:22.65pt;width:244.3pt;height:6.7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" filled="f" stroked="f">
              <v:textbox style="mso-fit-shape-to-text:t" inset="0,0,0,0">
                <w:txbxContent>
                  <w:p w14:paraId="7F27EDD9" w14:textId="77777777" w:rsidR="0072615D" w:rsidRDefault="0072615D">
                    <w:pPr>
                      <w:pStyle w:val="Headerorfooter20"/>
                      <w:tabs>
                        <w:tab w:val="right" w:pos="4886"/>
                      </w:tabs>
                      <w:rPr>
                        <w:sz w:val="16"/>
                        <w:szCs w:val="16"/>
                      </w:rPr>
                    </w:pPr>
                    <w:r>
                      <w:rPr>
                        <w:rFonts w:ascii="Arial" w:eastAsia="Arial" w:hAnsi="Arial" w:cs="Arial"/>
                        <w:color w:val="231F20"/>
                        <w:sz w:val="14"/>
                        <w:szCs w:val="14"/>
                      </w:rPr>
                      <w:t>INFORMACIÓN A PACIENTES Y SUS PADRES</w:t>
                    </w:r>
                    <w:r>
                      <w:rPr>
                        <w:rFonts w:ascii="Arial" w:eastAsia="Arial" w:hAnsi="Arial" w:cs="Arial"/>
                        <w:color w:val="231F20"/>
                        <w:sz w:val="14"/>
                        <w:szCs w:val="14"/>
                      </w:rPr>
                      <w:tab/>
                    </w:r>
                    <w:r>
                      <w:rPr>
                        <w:rFonts w:ascii="Arial" w:eastAsia="Arial" w:hAnsi="Arial" w:cs="Arial"/>
                        <w:color w:val="231F20"/>
                        <w:sz w:val="16"/>
                        <w:szCs w:val="16"/>
                      </w:rPr>
                      <w:t>5</w:t>
                    </w: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0991083E" wp14:editId="1BF5DC1C">
              <wp:simplePos x="0" y="0"/>
              <wp:positionH relativeFrom="page">
                <wp:posOffset>529590</wp:posOffset>
              </wp:positionH>
              <wp:positionV relativeFrom="page">
                <wp:posOffset>410845</wp:posOffset>
              </wp:positionV>
              <wp:extent cx="4358640" cy="0"/>
              <wp:effectExtent l="0" t="0" r="0" b="0"/>
              <wp:wrapNone/>
              <wp:docPr id="33" name="Shape 3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1ACD17C" id="_x0000_t32" coordsize="21600,21600" o:spt="32" o:oned="t" path="m,l21600,21600e" filled="f">
              <v:path arrowok="t" fillok="f" o:connecttype="none"/>
              <o:lock v:ext="edit" shapetype="t"/>
            </v:shapetype>
            <v:shape id="Shape 33" o:spid="_x0000_s1026" type="#_x0000_t32" style="position:absolute;margin-left:41.7pt;margin-top:32.35pt;width:343.2pt;height:0;z-index:-251648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" strokeweight="1pt">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FBE8" w14:textId="77777777" w:rsidR="0072615D" w:rsidRDefault="0072615D">
    <w:pPr>
      <w:spacing w:line="1" w:lineRule="exact"/>
    </w:pPr>
    <w:r>
      <w:rPr>
        <w:noProof/>
      </w:rPr>
      <mc:AlternateContent>
        <mc:Choice Requires="wps">
          <w:drawing>
            <wp:anchor distT="0" distB="0" distL="0" distR="0" simplePos="0" relativeHeight="251800576" behindDoc="1" locked="0" layoutInCell="1" allowOverlap="1" wp14:anchorId="4209F0BE" wp14:editId="1265894F">
              <wp:simplePos x="0" y="0"/>
              <wp:positionH relativeFrom="page">
                <wp:posOffset>2257425</wp:posOffset>
              </wp:positionH>
              <wp:positionV relativeFrom="page">
                <wp:posOffset>269875</wp:posOffset>
              </wp:positionV>
              <wp:extent cx="2627630" cy="85090"/>
              <wp:effectExtent l="0" t="0" r="0" b="0"/>
              <wp:wrapNone/>
              <wp:docPr id="42" name="Shape 42"/>
              <wp:cNvGraphicFramePr/>
              <a:graphic xmlns:a="http://schemas.openxmlformats.org/drawingml/2006/main">
                <a:graphicData uri="http://schemas.microsoft.com/office/word/2010/wordprocessingShape">
                  <wps:wsp>
                    <wps:cNvSpPr txBox="1"/>
                    <wps:spPr>
                      <a:xfrm>
                        <a:off x="0" y="0"/>
                        <a:ext cx="2627630" cy="85090"/>
                      </a:xfrm>
                      <a:prstGeom prst="rect">
                        <a:avLst/>
                      </a:prstGeom>
                      <a:noFill/>
                    </wps:spPr>
                    <wps:txbx>
                      <w:txbxContent>
                        <w:p w14:paraId="61457E64"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wps:txbx>
                    <wps:bodyPr lIns="0" tIns="0" rIns="0" bIns="0">
                      <a:spAutoFit/>
                    </wps:bodyPr>
                  </wps:wsp>
                </a:graphicData>
              </a:graphic>
            </wp:anchor>
          </w:drawing>
        </mc:Choice>
        <mc:Fallback>
          <w:pict>
            <v:shapetype w14:anchorId="4209F0BE" id="_x0000_t202" coordsize="21600,21600" o:spt="202" path="m,l,21600r21600,l21600,xe">
              <v:stroke joinstyle="miter"/>
              <v:path gradientshapeok="t" o:connecttype="rect"/>
            </v:shapetype>
            <v:shape id="Shape 42" o:spid="_x0000_s1070" type="#_x0000_t202" style="position:absolute;margin-left:177.75pt;margin-top:21.25pt;width:206.9pt;height:6.7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90qfgEAAPsCAAAOAAAAZHJzL2Uyb0RvYy54bWysUttOwzAMfUfiH6K8s5YhBl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" filled="f" stroked="f">
              <v:textbox style="mso-fit-shape-to-text:t" inset="0,0,0,0">
                <w:txbxContent>
                  <w:p w14:paraId="61457E64"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5C515ED5" wp14:editId="38B007FE">
              <wp:simplePos x="0" y="0"/>
              <wp:positionH relativeFrom="page">
                <wp:posOffset>562610</wp:posOffset>
              </wp:positionH>
              <wp:positionV relativeFrom="page">
                <wp:posOffset>419100</wp:posOffset>
              </wp:positionV>
              <wp:extent cx="4358640" cy="0"/>
              <wp:effectExtent l="0" t="0" r="0" b="0"/>
              <wp:wrapNone/>
              <wp:docPr id="44" name="Shape 4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E0ABF35" id="_x0000_t32" coordsize="21600,21600" o:spt="32" o:oned="t" path="m,l21600,21600e" filled="f">
              <v:path arrowok="t" fillok="f" o:connecttype="none"/>
              <o:lock v:ext="edit" shapetype="t"/>
            </v:shapetype>
            <v:shape id="Shape 44" o:spid="_x0000_s1026" type="#_x0000_t32" style="position:absolute;margin-left:44.3pt;margin-top:33pt;width:343.2pt;height:0;z-index:-251644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BvF&#10;03LaAAAACAEAAA8AAAAAAAAAAAAAAAAAwgMAAGRycy9kb3ducmV2LnhtbFBLBQYAAAAABAAEAPMA&#10;AADJBAAAAAA=&#10;" strokeweight="1pt">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1E9A" w14:textId="77777777" w:rsidR="0072615D" w:rsidRDefault="0072615D">
    <w:pPr>
      <w:spacing w:line="1" w:lineRule="exact"/>
    </w:pPr>
    <w:r>
      <w:rPr>
        <w:noProof/>
      </w:rPr>
      <mc:AlternateContent>
        <mc:Choice Requires="wps">
          <w:drawing>
            <wp:anchor distT="0" distB="0" distL="0" distR="0" simplePos="0" relativeHeight="251799552" behindDoc="1" locked="0" layoutInCell="1" allowOverlap="1" wp14:anchorId="542F635B" wp14:editId="390369DC">
              <wp:simplePos x="0" y="0"/>
              <wp:positionH relativeFrom="page">
                <wp:posOffset>2257425</wp:posOffset>
              </wp:positionH>
              <wp:positionV relativeFrom="page">
                <wp:posOffset>269875</wp:posOffset>
              </wp:positionV>
              <wp:extent cx="2627630" cy="85090"/>
              <wp:effectExtent l="0" t="0" r="0" b="0"/>
              <wp:wrapNone/>
              <wp:docPr id="39" name="Shape 39"/>
              <wp:cNvGraphicFramePr/>
              <a:graphic xmlns:a="http://schemas.openxmlformats.org/drawingml/2006/main">
                <a:graphicData uri="http://schemas.microsoft.com/office/word/2010/wordprocessingShape">
                  <wps:wsp>
                    <wps:cNvSpPr txBox="1"/>
                    <wps:spPr>
                      <a:xfrm>
                        <a:off x="0" y="0"/>
                        <a:ext cx="2627630" cy="85090"/>
                      </a:xfrm>
                      <a:prstGeom prst="rect">
                        <a:avLst/>
                      </a:prstGeom>
                      <a:noFill/>
                    </wps:spPr>
                    <wps:txbx>
                      <w:txbxContent>
                        <w:p w14:paraId="4991E0DD"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wps:txbx>
                    <wps:bodyPr lIns="0" tIns="0" rIns="0" bIns="0">
                      <a:spAutoFit/>
                    </wps:bodyPr>
                  </wps:wsp>
                </a:graphicData>
              </a:graphic>
            </wp:anchor>
          </w:drawing>
        </mc:Choice>
        <mc:Fallback>
          <w:pict>
            <v:shapetype w14:anchorId="542F635B" id="_x0000_t202" coordsize="21600,21600" o:spt="202" path="m,l,21600r21600,l21600,xe">
              <v:stroke joinstyle="miter"/>
              <v:path gradientshapeok="t" o:connecttype="rect"/>
            </v:shapetype>
            <v:shape id="Shape 39" o:spid="_x0000_s1071" type="#_x0000_t202" style="position:absolute;margin-left:177.75pt;margin-top:21.25pt;width:206.9pt;height:6.7pt;z-index:-2515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" filled="f" stroked="f">
              <v:textbox style="mso-fit-shape-to-text:t" inset="0,0,0,0">
                <w:txbxContent>
                  <w:p w14:paraId="4991E0DD"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5300E18E" wp14:editId="63D9ED1C">
              <wp:simplePos x="0" y="0"/>
              <wp:positionH relativeFrom="page">
                <wp:posOffset>562610</wp:posOffset>
              </wp:positionH>
              <wp:positionV relativeFrom="page">
                <wp:posOffset>419100</wp:posOffset>
              </wp:positionV>
              <wp:extent cx="4358640" cy="0"/>
              <wp:effectExtent l="0" t="0" r="0" b="0"/>
              <wp:wrapNone/>
              <wp:docPr id="41" name="Shape 4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DD1E7D2" id="_x0000_t32" coordsize="21600,21600" o:spt="32" o:oned="t" path="m,l21600,21600e" filled="f">
              <v:path arrowok="t" fillok="f" o:connecttype="none"/>
              <o:lock v:ext="edit" shapetype="t"/>
            </v:shapetype>
            <v:shape id="Shape 41" o:spid="_x0000_s1026" type="#_x0000_t32" style="position:absolute;margin-left:44.3pt;margin-top:33pt;width:343.2pt;height:0;z-index:-251645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BvF&#10;03LaAAAACAEAAA8AAAAAAAAAAAAAAAAAwgMAAGRycy9kb3ducmV2LnhtbFBLBQYAAAAABAAEAPMA&#10;AADJBAAAAAA=&#10;" strokeweight="1p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7074" w14:textId="77777777" w:rsidR="0072615D" w:rsidRDefault="0072615D">
    <w:pPr>
      <w:spacing w:line="1" w:lineRule="exact"/>
    </w:pPr>
    <w:r>
      <w:rPr>
        <w:noProof/>
      </w:rPr>
      <mc:AlternateContent>
        <mc:Choice Requires="wps">
          <w:drawing>
            <wp:anchor distT="0" distB="0" distL="0" distR="0" simplePos="0" relativeHeight="251801600" behindDoc="1" locked="0" layoutInCell="1" allowOverlap="1" wp14:anchorId="3A6A33EC" wp14:editId="1756BC07">
              <wp:simplePos x="0" y="0"/>
              <wp:positionH relativeFrom="page">
                <wp:posOffset>568960</wp:posOffset>
              </wp:positionH>
              <wp:positionV relativeFrom="page">
                <wp:posOffset>295910</wp:posOffset>
              </wp:positionV>
              <wp:extent cx="3112135" cy="85090"/>
              <wp:effectExtent l="0" t="0" r="0" b="0"/>
              <wp:wrapNone/>
              <wp:docPr id="45" name="Shape 45"/>
              <wp:cNvGraphicFramePr/>
              <a:graphic xmlns:a="http://schemas.openxmlformats.org/drawingml/2006/main">
                <a:graphicData uri="http://schemas.microsoft.com/office/word/2010/wordprocessingShape">
                  <wps:wsp>
                    <wps:cNvSpPr txBox="1"/>
                    <wps:spPr>
                      <a:xfrm>
                        <a:off x="0" y="0"/>
                        <a:ext cx="3112135" cy="85090"/>
                      </a:xfrm>
                      <a:prstGeom prst="rect">
                        <a:avLst/>
                      </a:prstGeom>
                      <a:noFill/>
                    </wps:spPr>
                    <wps:txbx>
                      <w:txbxContent>
                        <w:p w14:paraId="65ED593B" w14:textId="77777777" w:rsidR="0072615D" w:rsidRDefault="0072615D">
                          <w:pPr>
                            <w:pStyle w:val="Headerorfooter20"/>
                            <w:tabs>
                              <w:tab w:val="right" w:pos="4901"/>
                            </w:tabs>
                            <w:rPr>
                              <w:sz w:val="14"/>
                              <w:szCs w:val="14"/>
                            </w:rPr>
                          </w:pPr>
                          <w:r>
                            <w:rPr>
                              <w:rFonts w:ascii="Arial" w:eastAsia="Arial" w:hAnsi="Arial" w:cs="Arial"/>
                              <w:color w:val="231F20"/>
                              <w:sz w:val="16"/>
                              <w:szCs w:val="16"/>
                            </w:rPr>
                            <w:t>6</w:t>
                          </w:r>
                          <w:r>
                            <w:rPr>
                              <w:rFonts w:ascii="Arial" w:eastAsia="Arial" w:hAnsi="Arial" w:cs="Arial"/>
                              <w:color w:val="231F20"/>
                              <w:sz w:val="16"/>
                              <w:szCs w:val="16"/>
                            </w:rPr>
                            <w:tab/>
                          </w:r>
                          <w:r>
                            <w:rPr>
                              <w:rFonts w:ascii="Arial" w:eastAsia="Arial" w:hAnsi="Arial" w:cs="Arial"/>
                              <w:color w:val="231F20"/>
                              <w:sz w:val="14"/>
                              <w:szCs w:val="14"/>
                            </w:rPr>
                            <w:t>INFORMACIÓN A PACIENTES Y SUS PADRES</w:t>
                          </w:r>
                        </w:p>
                      </w:txbxContent>
                    </wps:txbx>
                    <wps:bodyPr lIns="0" tIns="0" rIns="0" bIns="0">
                      <a:spAutoFit/>
                    </wps:bodyPr>
                  </wps:wsp>
                </a:graphicData>
              </a:graphic>
            </wp:anchor>
          </w:drawing>
        </mc:Choice>
        <mc:Fallback>
          <w:pict>
            <v:shapetype w14:anchorId="3A6A33EC" id="_x0000_t202" coordsize="21600,21600" o:spt="202" path="m,l,21600r21600,l21600,xe">
              <v:stroke joinstyle="miter"/>
              <v:path gradientshapeok="t" o:connecttype="rect"/>
            </v:shapetype>
            <v:shape id="Shape 45" o:spid="_x0000_s1072" type="#_x0000_t202" style="position:absolute;margin-left:44.8pt;margin-top:23.3pt;width:245.05pt;height:6.7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f1jfwEAAPsCAAAOAAAAZHJzL2Uyb0RvYy54bWysUttOwzAMfUfiH6K8s7abQF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" filled="f" stroked="f">
              <v:textbox style="mso-fit-shape-to-text:t" inset="0,0,0,0">
                <w:txbxContent>
                  <w:p w14:paraId="65ED593B" w14:textId="77777777" w:rsidR="0072615D" w:rsidRDefault="0072615D">
                    <w:pPr>
                      <w:pStyle w:val="Headerorfooter20"/>
                      <w:tabs>
                        <w:tab w:val="right" w:pos="4901"/>
                      </w:tabs>
                      <w:rPr>
                        <w:sz w:val="14"/>
                        <w:szCs w:val="14"/>
                      </w:rPr>
                    </w:pPr>
                    <w:r>
                      <w:rPr>
                        <w:rFonts w:ascii="Arial" w:eastAsia="Arial" w:hAnsi="Arial" w:cs="Arial"/>
                        <w:color w:val="231F20"/>
                        <w:sz w:val="16"/>
                        <w:szCs w:val="16"/>
                      </w:rPr>
                      <w:t>6</w:t>
                    </w:r>
                    <w:r>
                      <w:rPr>
                        <w:rFonts w:ascii="Arial" w:eastAsia="Arial" w:hAnsi="Arial" w:cs="Arial"/>
                        <w:color w:val="231F20"/>
                        <w:sz w:val="16"/>
                        <w:szCs w:val="16"/>
                      </w:rPr>
                      <w:tab/>
                    </w:r>
                    <w:r>
                      <w:rPr>
                        <w:rFonts w:ascii="Arial" w:eastAsia="Arial" w:hAnsi="Arial" w:cs="Arial"/>
                        <w:color w:val="231F20"/>
                        <w:sz w:val="14"/>
                        <w:szCs w:val="14"/>
                      </w:rPr>
                      <w:t>INFORMACIÓN A PACIENTES Y SUS PADRES</w:t>
                    </w:r>
                  </w:p>
                </w:txbxContent>
              </v:textbox>
              <w10:wrap anchorx="page" anchory="page"/>
            </v:shape>
          </w:pict>
        </mc:Fallback>
      </mc:AlternateContent>
    </w:r>
    <w:r>
      <w:rPr>
        <w:noProof/>
      </w:rPr>
      <mc:AlternateContent>
        <mc:Choice Requires="wps">
          <w:drawing>
            <wp:anchor distT="0" distB="0" distL="114300" distR="114300" simplePos="0" relativeHeight="251672576" behindDoc="1" locked="0" layoutInCell="1" allowOverlap="1" wp14:anchorId="75782378" wp14:editId="1CF5A503">
              <wp:simplePos x="0" y="0"/>
              <wp:positionH relativeFrom="page">
                <wp:posOffset>553720</wp:posOffset>
              </wp:positionH>
              <wp:positionV relativeFrom="page">
                <wp:posOffset>419100</wp:posOffset>
              </wp:positionV>
              <wp:extent cx="4358640" cy="0"/>
              <wp:effectExtent l="0" t="0" r="0" b="0"/>
              <wp:wrapNone/>
              <wp:docPr id="47" name="Shape 4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27E2B1E" id="_x0000_t32" coordsize="21600,21600" o:spt="32" o:oned="t" path="m,l21600,21600e" filled="f">
              <v:path arrowok="t" fillok="f" o:connecttype="none"/>
              <o:lock v:ext="edit" shapetype="t"/>
            </v:shapetype>
            <v:shape id="Shape 47" o:spid="_x0000_s1026" type="#_x0000_t32" style="position:absolute;margin-left:43.6pt;margin-top:33pt;width:343.2pt;height:0;z-index:-251643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Nvz&#10;cKPaAAAACAEAAA8AAAAAAAAAAAAAAAAAwgMAAGRycy9kb3ducmV2LnhtbFBLBQYAAAAABAAEAPMA&#10;AADJBAAAAAA=&#10;" strokeweight="1p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0E0F" w14:textId="77777777" w:rsidR="0072615D" w:rsidRDefault="0072615D">
    <w:pPr>
      <w:spacing w:line="1" w:lineRule="exact"/>
    </w:pPr>
    <w:r>
      <w:rPr>
        <w:noProof/>
      </w:rPr>
      <mc:AlternateContent>
        <mc:Choice Requires="wps">
          <w:drawing>
            <wp:anchor distT="0" distB="0" distL="0" distR="0" simplePos="0" relativeHeight="251803648" behindDoc="1" locked="0" layoutInCell="1" allowOverlap="1" wp14:anchorId="16C825A8" wp14:editId="17594F0A">
              <wp:simplePos x="0" y="0"/>
              <wp:positionH relativeFrom="page">
                <wp:posOffset>579755</wp:posOffset>
              </wp:positionH>
              <wp:positionV relativeFrom="page">
                <wp:posOffset>269875</wp:posOffset>
              </wp:positionV>
              <wp:extent cx="2645410" cy="85090"/>
              <wp:effectExtent l="0" t="0" r="0" b="0"/>
              <wp:wrapNone/>
              <wp:docPr id="51" name="Shape 51"/>
              <wp:cNvGraphicFramePr/>
              <a:graphic xmlns:a="http://schemas.openxmlformats.org/drawingml/2006/main">
                <a:graphicData uri="http://schemas.microsoft.com/office/word/2010/wordprocessingShape">
                  <wps:wsp>
                    <wps:cNvSpPr txBox="1"/>
                    <wps:spPr>
                      <a:xfrm>
                        <a:off x="0" y="0"/>
                        <a:ext cx="2645410" cy="85090"/>
                      </a:xfrm>
                      <a:prstGeom prst="rect">
                        <a:avLst/>
                      </a:prstGeom>
                      <a:noFill/>
                    </wps:spPr>
                    <wps:txbx>
                      <w:txbxContent>
                        <w:p w14:paraId="5736D018"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wps:txbx>
                    <wps:bodyPr lIns="0" tIns="0" rIns="0" bIns="0">
                      <a:spAutoFit/>
                    </wps:bodyPr>
                  </wps:wsp>
                </a:graphicData>
              </a:graphic>
            </wp:anchor>
          </w:drawing>
        </mc:Choice>
        <mc:Fallback>
          <w:pict>
            <v:shapetype w14:anchorId="16C825A8" id="_x0000_t202" coordsize="21600,21600" o:spt="202" path="m,l,21600r21600,l21600,xe">
              <v:stroke joinstyle="miter"/>
              <v:path gradientshapeok="t" o:connecttype="rect"/>
            </v:shapetype>
            <v:shape id="Shape 51" o:spid="_x0000_s1073" type="#_x0000_t202" style="position:absolute;margin-left:45.65pt;margin-top:21.25pt;width:208.3pt;height:6.7pt;z-index:-2515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" filled="f" stroked="f">
              <v:textbox style="mso-fit-shape-to-text:t" inset="0,0,0,0">
                <w:txbxContent>
                  <w:p w14:paraId="5736D018"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v:textbox>
              <w10:wrap anchorx="page" anchory="page"/>
            </v:shape>
          </w:pict>
        </mc:Fallback>
      </mc:AlternateContent>
    </w:r>
    <w:r>
      <w:rPr>
        <w:noProof/>
      </w:rPr>
      <mc:AlternateContent>
        <mc:Choice Requires="wps">
          <w:drawing>
            <wp:anchor distT="0" distB="0" distL="114300" distR="114300" simplePos="0" relativeHeight="251674624" behindDoc="1" locked="0" layoutInCell="1" allowOverlap="1" wp14:anchorId="5839DE2A" wp14:editId="3F0CDF8D">
              <wp:simplePos x="0" y="0"/>
              <wp:positionH relativeFrom="page">
                <wp:posOffset>554990</wp:posOffset>
              </wp:positionH>
              <wp:positionV relativeFrom="page">
                <wp:posOffset>419100</wp:posOffset>
              </wp:positionV>
              <wp:extent cx="4358640" cy="0"/>
              <wp:effectExtent l="0" t="0" r="0" b="0"/>
              <wp:wrapNone/>
              <wp:docPr id="53" name="Shape 5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C8E9C75" id="_x0000_t32" coordsize="21600,21600" o:spt="32" o:oned="t" path="m,l21600,21600e" filled="f">
              <v:path arrowok="t" fillok="f" o:connecttype="none"/>
              <o:lock v:ext="edit" shapetype="t"/>
            </v:shapetype>
            <v:shape id="Shape 53" o:spid="_x0000_s1026" type="#_x0000_t32" style="position:absolute;margin-left:43.7pt;margin-top:33pt;width:343.2pt;height:0;z-index:-251641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Nrp&#10;WyHaAAAACAEAAA8AAAAAAAAAAAAAAAAAwgMAAGRycy9kb3ducmV2LnhtbFBLBQYAAAAABAAEAPMA&#10;AADJBAAAAAA=&#10;" strokeweight="1pt">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ED04" w14:textId="77777777" w:rsidR="0072615D" w:rsidRDefault="0072615D">
    <w:pPr>
      <w:spacing w:line="1" w:lineRule="exact"/>
    </w:pPr>
    <w:r>
      <w:rPr>
        <w:noProof/>
      </w:rPr>
      <mc:AlternateContent>
        <mc:Choice Requires="wps">
          <w:drawing>
            <wp:anchor distT="0" distB="0" distL="0" distR="0" simplePos="0" relativeHeight="251802624" behindDoc="1" locked="0" layoutInCell="1" allowOverlap="1" wp14:anchorId="6BE90C72" wp14:editId="668F64A7">
              <wp:simplePos x="0" y="0"/>
              <wp:positionH relativeFrom="page">
                <wp:posOffset>2257425</wp:posOffset>
              </wp:positionH>
              <wp:positionV relativeFrom="page">
                <wp:posOffset>269875</wp:posOffset>
              </wp:positionV>
              <wp:extent cx="2627630" cy="85090"/>
              <wp:effectExtent l="0" t="0" r="0" b="0"/>
              <wp:wrapNone/>
              <wp:docPr id="48" name="Shape 48"/>
              <wp:cNvGraphicFramePr/>
              <a:graphic xmlns:a="http://schemas.openxmlformats.org/drawingml/2006/main">
                <a:graphicData uri="http://schemas.microsoft.com/office/word/2010/wordprocessingShape">
                  <wps:wsp>
                    <wps:cNvSpPr txBox="1"/>
                    <wps:spPr>
                      <a:xfrm>
                        <a:off x="0" y="0"/>
                        <a:ext cx="2627630" cy="85090"/>
                      </a:xfrm>
                      <a:prstGeom prst="rect">
                        <a:avLst/>
                      </a:prstGeom>
                      <a:noFill/>
                    </wps:spPr>
                    <wps:txbx>
                      <w:txbxContent>
                        <w:p w14:paraId="061C1189"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wps:txbx>
                    <wps:bodyPr lIns="0" tIns="0" rIns="0" bIns="0">
                      <a:spAutoFit/>
                    </wps:bodyPr>
                  </wps:wsp>
                </a:graphicData>
              </a:graphic>
            </wp:anchor>
          </w:drawing>
        </mc:Choice>
        <mc:Fallback>
          <w:pict>
            <v:shapetype w14:anchorId="6BE90C72" id="_x0000_t202" coordsize="21600,21600" o:spt="202" path="m,l,21600r21600,l21600,xe">
              <v:stroke joinstyle="miter"/>
              <v:path gradientshapeok="t" o:connecttype="rect"/>
            </v:shapetype>
            <v:shape id="Shape 48" o:spid="_x0000_s1074" type="#_x0000_t202" style="position:absolute;margin-left:177.75pt;margin-top:21.25pt;width:206.9pt;height:6.7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TkEfwEAAPsCAAAOAAAAZHJzL2Uyb0RvYy54bWysUttOwzAMfUfiH6K8s5YhBl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" filled="f" stroked="f">
              <v:textbox style="mso-fit-shape-to-text:t" inset="0,0,0,0">
                <w:txbxContent>
                  <w:p w14:paraId="061C1189"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26154298" wp14:editId="18A89896">
              <wp:simplePos x="0" y="0"/>
              <wp:positionH relativeFrom="page">
                <wp:posOffset>562610</wp:posOffset>
              </wp:positionH>
              <wp:positionV relativeFrom="page">
                <wp:posOffset>419100</wp:posOffset>
              </wp:positionV>
              <wp:extent cx="4358640" cy="0"/>
              <wp:effectExtent l="0" t="0" r="0" b="0"/>
              <wp:wrapNone/>
              <wp:docPr id="50" name="Shape 5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A4D05B5" id="_x0000_t32" coordsize="21600,21600" o:spt="32" o:oned="t" path="m,l21600,21600e" filled="f">
              <v:path arrowok="t" fillok="f" o:connecttype="none"/>
              <o:lock v:ext="edit" shapetype="t"/>
            </v:shapetype>
            <v:shape id="Shape 50" o:spid="_x0000_s1026" type="#_x0000_t32" style="position:absolute;margin-left:44.3pt;margin-top:33pt;width:343.2pt;height:0;z-index:-251642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BvF&#10;03LaAAAACAEAAA8AAAAAAAAAAAAAAAAAwgMAAGRycy9kb3ducmV2LnhtbFBLBQYAAAAABAAEAPMA&#10;AADJBAAAAAA=&#10;" strokeweight="1pt">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8C8C" w14:textId="77777777" w:rsidR="0072615D" w:rsidRDefault="0072615D"/>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1C58" w14:textId="77777777" w:rsidR="0072615D" w:rsidRDefault="0072615D"/>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FB1B1" w14:textId="77777777" w:rsidR="0072615D" w:rsidRDefault="0072615D"/>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530EA" w14:textId="77777777" w:rsidR="0072615D" w:rsidRDefault="0072615D"/>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1CB4" w14:textId="77777777" w:rsidR="0072615D" w:rsidRDefault="0072615D">
    <w:pPr>
      <w:spacing w:line="1" w:lineRule="exact"/>
    </w:pPr>
    <w:r>
      <w:rPr>
        <w:noProof/>
      </w:rPr>
      <mc:AlternateContent>
        <mc:Choice Requires="wps">
          <w:drawing>
            <wp:anchor distT="0" distB="0" distL="0" distR="0" simplePos="0" relativeHeight="251807744" behindDoc="1" locked="0" layoutInCell="1" allowOverlap="1" wp14:anchorId="6158C5D9" wp14:editId="25AB0182">
              <wp:simplePos x="0" y="0"/>
              <wp:positionH relativeFrom="page">
                <wp:posOffset>579755</wp:posOffset>
              </wp:positionH>
              <wp:positionV relativeFrom="page">
                <wp:posOffset>269875</wp:posOffset>
              </wp:positionV>
              <wp:extent cx="2645410" cy="85090"/>
              <wp:effectExtent l="0" t="0" r="0" b="0"/>
              <wp:wrapNone/>
              <wp:docPr id="61" name="Shape 61"/>
              <wp:cNvGraphicFramePr/>
              <a:graphic xmlns:a="http://schemas.openxmlformats.org/drawingml/2006/main">
                <a:graphicData uri="http://schemas.microsoft.com/office/word/2010/wordprocessingShape">
                  <wps:wsp>
                    <wps:cNvSpPr txBox="1"/>
                    <wps:spPr>
                      <a:xfrm>
                        <a:off x="0" y="0"/>
                        <a:ext cx="2645410" cy="85090"/>
                      </a:xfrm>
                      <a:prstGeom prst="rect">
                        <a:avLst/>
                      </a:prstGeom>
                      <a:noFill/>
                    </wps:spPr>
                    <wps:txbx>
                      <w:txbxContent>
                        <w:p w14:paraId="28B08AC8"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wps:txbx>
                    <wps:bodyPr lIns="0" tIns="0" rIns="0" bIns="0">
                      <a:spAutoFit/>
                    </wps:bodyPr>
                  </wps:wsp>
                </a:graphicData>
              </a:graphic>
            </wp:anchor>
          </w:drawing>
        </mc:Choice>
        <mc:Fallback>
          <w:pict>
            <v:shapetype w14:anchorId="6158C5D9" id="_x0000_t202" coordsize="21600,21600" o:spt="202" path="m,l,21600r21600,l21600,xe">
              <v:stroke joinstyle="miter"/>
              <v:path gradientshapeok="t" o:connecttype="rect"/>
            </v:shapetype>
            <v:shape id="Shape 61" o:spid="_x0000_s1077" type="#_x0000_t202" style="position:absolute;margin-left:45.65pt;margin-top:21.25pt;width:208.3pt;height:6.7pt;z-index:-2515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" filled="f" stroked="f">
              <v:textbox style="mso-fit-shape-to-text:t" inset="0,0,0,0">
                <w:txbxContent>
                  <w:p w14:paraId="28B08AC8"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v:textbox>
              <w10:wrap anchorx="page" anchory="page"/>
            </v:shape>
          </w:pict>
        </mc:Fallback>
      </mc:AlternateContent>
    </w:r>
    <w:r>
      <w:rPr>
        <w:noProof/>
      </w:rPr>
      <mc:AlternateContent>
        <mc:Choice Requires="wps">
          <w:drawing>
            <wp:anchor distT="0" distB="0" distL="114300" distR="114300" simplePos="0" relativeHeight="251676672" behindDoc="1" locked="0" layoutInCell="1" allowOverlap="1" wp14:anchorId="2C658C61" wp14:editId="4EC728E6">
              <wp:simplePos x="0" y="0"/>
              <wp:positionH relativeFrom="page">
                <wp:posOffset>554990</wp:posOffset>
              </wp:positionH>
              <wp:positionV relativeFrom="page">
                <wp:posOffset>419100</wp:posOffset>
              </wp:positionV>
              <wp:extent cx="4358640" cy="0"/>
              <wp:effectExtent l="0" t="0" r="0" b="0"/>
              <wp:wrapNone/>
              <wp:docPr id="63" name="Shape 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D3958A5" id="_x0000_t32" coordsize="21600,21600" o:spt="32" o:oned="t" path="m,l21600,21600e" filled="f">
              <v:path arrowok="t" fillok="f" o:connecttype="none"/>
              <o:lock v:ext="edit" shapetype="t"/>
            </v:shapetype>
            <v:shape id="Shape 63" o:spid="_x0000_s1026" type="#_x0000_t32" style="position:absolute;margin-left:43.7pt;margin-top:33pt;width:343.2pt;height:0;z-index:-251639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Nrp&#10;WyHaAAAACAEAAA8AAAAAAAAAAAAAAAAAwgMAAGRycy9kb3ducmV2LnhtbFBLBQYAAAAABAAEAPMA&#10;AADJBAAAAAA=&#10;" strokeweight="1pt">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0DEB" w14:textId="77777777" w:rsidR="0072615D" w:rsidRDefault="0072615D">
    <w:pPr>
      <w:spacing w:line="1" w:lineRule="exact"/>
    </w:pPr>
    <w:r>
      <w:rPr>
        <w:noProof/>
      </w:rPr>
      <mc:AlternateContent>
        <mc:Choice Requires="wps">
          <w:drawing>
            <wp:anchor distT="0" distB="0" distL="0" distR="0" simplePos="0" relativeHeight="251806720" behindDoc="1" locked="0" layoutInCell="1" allowOverlap="1" wp14:anchorId="4978DA38" wp14:editId="3C5867F1">
              <wp:simplePos x="0" y="0"/>
              <wp:positionH relativeFrom="page">
                <wp:posOffset>2257425</wp:posOffset>
              </wp:positionH>
              <wp:positionV relativeFrom="page">
                <wp:posOffset>269875</wp:posOffset>
              </wp:positionV>
              <wp:extent cx="2627630" cy="85090"/>
              <wp:effectExtent l="0" t="0" r="0" b="0"/>
              <wp:wrapNone/>
              <wp:docPr id="58" name="Shape 58"/>
              <wp:cNvGraphicFramePr/>
              <a:graphic xmlns:a="http://schemas.openxmlformats.org/drawingml/2006/main">
                <a:graphicData uri="http://schemas.microsoft.com/office/word/2010/wordprocessingShape">
                  <wps:wsp>
                    <wps:cNvSpPr txBox="1"/>
                    <wps:spPr>
                      <a:xfrm>
                        <a:off x="0" y="0"/>
                        <a:ext cx="2627630" cy="85090"/>
                      </a:xfrm>
                      <a:prstGeom prst="rect">
                        <a:avLst/>
                      </a:prstGeom>
                      <a:noFill/>
                    </wps:spPr>
                    <wps:txbx>
                      <w:txbxContent>
                        <w:p w14:paraId="0FB80796"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wps:txbx>
                    <wps:bodyPr lIns="0" tIns="0" rIns="0" bIns="0">
                      <a:spAutoFit/>
                    </wps:bodyPr>
                  </wps:wsp>
                </a:graphicData>
              </a:graphic>
            </wp:anchor>
          </w:drawing>
        </mc:Choice>
        <mc:Fallback>
          <w:pict>
            <v:shapetype w14:anchorId="4978DA38" id="_x0000_t202" coordsize="21600,21600" o:spt="202" path="m,l,21600r21600,l21600,xe">
              <v:stroke joinstyle="miter"/>
              <v:path gradientshapeok="t" o:connecttype="rect"/>
            </v:shapetype>
            <v:shape id="Shape 58" o:spid="_x0000_s1078" type="#_x0000_t202" style="position:absolute;margin-left:177.75pt;margin-top:21.25pt;width:206.9pt;height:6.7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3fwEAAPsCAAAOAAAAZHJzL2Uyb0RvYy54bWysUttOwzAMfUfiH6K8s5YhBl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" filled="f" stroked="f">
              <v:textbox style="mso-fit-shape-to-text:t" inset="0,0,0,0">
                <w:txbxContent>
                  <w:p w14:paraId="0FB80796"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v:textbox>
              <w10:wrap anchorx="page" anchory="page"/>
            </v:shape>
          </w:pict>
        </mc:Fallback>
      </mc:AlternateContent>
    </w:r>
    <w:r>
      <w:rPr>
        <w:noProof/>
      </w:rPr>
      <mc:AlternateContent>
        <mc:Choice Requires="wps">
          <w:drawing>
            <wp:anchor distT="0" distB="0" distL="114300" distR="114300" simplePos="0" relativeHeight="251675648" behindDoc="1" locked="0" layoutInCell="1" allowOverlap="1" wp14:anchorId="26985AF9" wp14:editId="3DE6D4CE">
              <wp:simplePos x="0" y="0"/>
              <wp:positionH relativeFrom="page">
                <wp:posOffset>562610</wp:posOffset>
              </wp:positionH>
              <wp:positionV relativeFrom="page">
                <wp:posOffset>419100</wp:posOffset>
              </wp:positionV>
              <wp:extent cx="4358640" cy="0"/>
              <wp:effectExtent l="0" t="0" r="0" b="0"/>
              <wp:wrapNone/>
              <wp:docPr id="60" name="Shape 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0784CCA" id="_x0000_t32" coordsize="21600,21600" o:spt="32" o:oned="t" path="m,l21600,21600e" filled="f">
              <v:path arrowok="t" fillok="f" o:connecttype="none"/>
              <o:lock v:ext="edit" shapetype="t"/>
            </v:shapetype>
            <v:shape id="Shape 60" o:spid="_x0000_s1026" type="#_x0000_t32" style="position:absolute;margin-left:44.3pt;margin-top:33pt;width:343.2pt;height:0;z-index:-251640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BvF&#10;03LaAAAACAEAAA8AAAAAAAAAAAAAAAAAwgMAAGRycy9kb3ducmV2LnhtbFBLBQYAAAAABAAEAPMA&#10;AADJBAAAAAA=&#10;" strokeweight="1pt">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DD52" w14:textId="77777777" w:rsidR="0072615D" w:rsidRDefault="0072615D">
    <w:pPr>
      <w:spacing w:line="1" w:lineRule="exact"/>
    </w:pPr>
    <w:r>
      <w:rPr>
        <w:noProof/>
      </w:rPr>
      <mc:AlternateContent>
        <mc:Choice Requires="wps">
          <w:drawing>
            <wp:anchor distT="0" distB="0" distL="0" distR="0" simplePos="0" relativeHeight="251809792" behindDoc="1" locked="0" layoutInCell="1" allowOverlap="1" wp14:anchorId="5B7EAE36" wp14:editId="25EE437B">
              <wp:simplePos x="0" y="0"/>
              <wp:positionH relativeFrom="page">
                <wp:posOffset>2257425</wp:posOffset>
              </wp:positionH>
              <wp:positionV relativeFrom="page">
                <wp:posOffset>269875</wp:posOffset>
              </wp:positionV>
              <wp:extent cx="2627630" cy="85090"/>
              <wp:effectExtent l="0" t="0" r="0" b="0"/>
              <wp:wrapNone/>
              <wp:docPr id="67" name="Shape 67"/>
              <wp:cNvGraphicFramePr/>
              <a:graphic xmlns:a="http://schemas.openxmlformats.org/drawingml/2006/main">
                <a:graphicData uri="http://schemas.microsoft.com/office/word/2010/wordprocessingShape">
                  <wps:wsp>
                    <wps:cNvSpPr txBox="1"/>
                    <wps:spPr>
                      <a:xfrm>
                        <a:off x="0" y="0"/>
                        <a:ext cx="2627630" cy="85090"/>
                      </a:xfrm>
                      <a:prstGeom prst="rect">
                        <a:avLst/>
                      </a:prstGeom>
                      <a:noFill/>
                    </wps:spPr>
                    <wps:txbx>
                      <w:txbxContent>
                        <w:p w14:paraId="1B810897"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wps:txbx>
                    <wps:bodyPr lIns="0" tIns="0" rIns="0" bIns="0">
                      <a:spAutoFit/>
                    </wps:bodyPr>
                  </wps:wsp>
                </a:graphicData>
              </a:graphic>
            </wp:anchor>
          </w:drawing>
        </mc:Choice>
        <mc:Fallback>
          <w:pict>
            <v:shapetype w14:anchorId="5B7EAE36" id="_x0000_t202" coordsize="21600,21600" o:spt="202" path="m,l,21600r21600,l21600,xe">
              <v:stroke joinstyle="miter"/>
              <v:path gradientshapeok="t" o:connecttype="rect"/>
            </v:shapetype>
            <v:shape id="Shape 67" o:spid="_x0000_s1079" type="#_x0000_t202" style="position:absolute;margin-left:177.75pt;margin-top:21.25pt;width:206.9pt;height:6.7pt;z-index:-2515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" filled="f" stroked="f">
              <v:textbox style="mso-fit-shape-to-text:t" inset="0,0,0,0">
                <w:txbxContent>
                  <w:p w14:paraId="1B810897"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v:textbox>
              <w10:wrap anchorx="page" anchory="page"/>
            </v:shape>
          </w:pict>
        </mc:Fallback>
      </mc:AlternateContent>
    </w:r>
    <w:r>
      <w:rPr>
        <w:noProof/>
      </w:rPr>
      <mc:AlternateContent>
        <mc:Choice Requires="wps">
          <w:drawing>
            <wp:anchor distT="0" distB="0" distL="114300" distR="114300" simplePos="0" relativeHeight="251678720" behindDoc="1" locked="0" layoutInCell="1" allowOverlap="1" wp14:anchorId="409F94CF" wp14:editId="451C9BD8">
              <wp:simplePos x="0" y="0"/>
              <wp:positionH relativeFrom="page">
                <wp:posOffset>562610</wp:posOffset>
              </wp:positionH>
              <wp:positionV relativeFrom="page">
                <wp:posOffset>419100</wp:posOffset>
              </wp:positionV>
              <wp:extent cx="4358640" cy="0"/>
              <wp:effectExtent l="0" t="0" r="0" b="0"/>
              <wp:wrapNone/>
              <wp:docPr id="69" name="Shape 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E13D680" id="_x0000_t32" coordsize="21600,21600" o:spt="32" o:oned="t" path="m,l21600,21600e" filled="f">
              <v:path arrowok="t" fillok="f" o:connecttype="none"/>
              <o:lock v:ext="edit" shapetype="t"/>
            </v:shapetype>
            <v:shape id="Shape 69" o:spid="_x0000_s1026" type="#_x0000_t32" style="position:absolute;margin-left:44.3pt;margin-top:33pt;width:343.2pt;height:0;z-index:-251637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BvF&#10;03LaAAAACAEAAA8AAAAAAAAAAAAAAAAAwgMAAGRycy9kb3ducmV2LnhtbFBLBQYAAAAABAAEAPMA&#10;AADJBAAAAAA=&#10;" strokeweight="1pt">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8D91" w14:textId="77777777" w:rsidR="0072615D" w:rsidRDefault="0072615D">
    <w:pPr>
      <w:spacing w:line="1" w:lineRule="exact"/>
    </w:pPr>
    <w:r>
      <w:rPr>
        <w:noProof/>
      </w:rPr>
      <mc:AlternateContent>
        <mc:Choice Requires="wps">
          <w:drawing>
            <wp:anchor distT="0" distB="0" distL="0" distR="0" simplePos="0" relativeHeight="251808768" behindDoc="1" locked="0" layoutInCell="1" allowOverlap="1" wp14:anchorId="759394B8" wp14:editId="39BD3C39">
              <wp:simplePos x="0" y="0"/>
              <wp:positionH relativeFrom="page">
                <wp:posOffset>579755</wp:posOffset>
              </wp:positionH>
              <wp:positionV relativeFrom="page">
                <wp:posOffset>269875</wp:posOffset>
              </wp:positionV>
              <wp:extent cx="2645410" cy="85090"/>
              <wp:effectExtent l="0" t="0" r="0" b="0"/>
              <wp:wrapNone/>
              <wp:docPr id="64" name="Shape 64"/>
              <wp:cNvGraphicFramePr/>
              <a:graphic xmlns:a="http://schemas.openxmlformats.org/drawingml/2006/main">
                <a:graphicData uri="http://schemas.microsoft.com/office/word/2010/wordprocessingShape">
                  <wps:wsp>
                    <wps:cNvSpPr txBox="1"/>
                    <wps:spPr>
                      <a:xfrm>
                        <a:off x="0" y="0"/>
                        <a:ext cx="2645410" cy="85090"/>
                      </a:xfrm>
                      <a:prstGeom prst="rect">
                        <a:avLst/>
                      </a:prstGeom>
                      <a:noFill/>
                    </wps:spPr>
                    <wps:txbx>
                      <w:txbxContent>
                        <w:p w14:paraId="0A3F27CD"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wps:txbx>
                    <wps:bodyPr lIns="0" tIns="0" rIns="0" bIns="0">
                      <a:spAutoFit/>
                    </wps:bodyPr>
                  </wps:wsp>
                </a:graphicData>
              </a:graphic>
            </wp:anchor>
          </w:drawing>
        </mc:Choice>
        <mc:Fallback>
          <w:pict>
            <v:shapetype w14:anchorId="759394B8" id="_x0000_t202" coordsize="21600,21600" o:spt="202" path="m,l,21600r21600,l21600,xe">
              <v:stroke joinstyle="miter"/>
              <v:path gradientshapeok="t" o:connecttype="rect"/>
            </v:shapetype>
            <v:shape id="Shape 64" o:spid="_x0000_s1080" type="#_x0000_t202" style="position:absolute;margin-left:45.65pt;margin-top:21.25pt;width:208.3pt;height:6.7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" filled="f" stroked="f">
              <v:textbox style="mso-fit-shape-to-text:t" inset="0,0,0,0">
                <w:txbxContent>
                  <w:p w14:paraId="0A3F27CD"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2BBC2768" wp14:editId="6C408C4E">
              <wp:simplePos x="0" y="0"/>
              <wp:positionH relativeFrom="page">
                <wp:posOffset>554990</wp:posOffset>
              </wp:positionH>
              <wp:positionV relativeFrom="page">
                <wp:posOffset>419100</wp:posOffset>
              </wp:positionV>
              <wp:extent cx="4358640" cy="0"/>
              <wp:effectExtent l="0" t="0" r="0" b="0"/>
              <wp:wrapNone/>
              <wp:docPr id="66" name="Shape 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1E56538" id="_x0000_t32" coordsize="21600,21600" o:spt="32" o:oned="t" path="m,l21600,21600e" filled="f">
              <v:path arrowok="t" fillok="f" o:connecttype="none"/>
              <o:lock v:ext="edit" shapetype="t"/>
            </v:shapetype>
            <v:shape id="Shape 66" o:spid="_x0000_s1026" type="#_x0000_t32" style="position:absolute;margin-left:43.7pt;margin-top:33pt;width:343.2pt;height:0;z-index:-251638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Nrp&#10;WyHaAAAACAEAAA8AAAAAAAAAAAAAAAAAwgMAAGRycy9kb3ducmV2LnhtbFBLBQYAAAAABAAEAPMA&#10;AADJBAAAAAA=&#10;" strokeweight="1pt">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8D59C" w14:textId="77777777" w:rsidR="0072615D" w:rsidRDefault="0072615D">
    <w:pPr>
      <w:spacing w:line="1" w:lineRule="exact"/>
    </w:pPr>
    <w:r>
      <w:rPr>
        <w:noProof/>
      </w:rPr>
      <mc:AlternateContent>
        <mc:Choice Requires="wps">
          <w:drawing>
            <wp:anchor distT="0" distB="0" distL="0" distR="0" simplePos="0" relativeHeight="251811840" behindDoc="1" locked="0" layoutInCell="1" allowOverlap="1" wp14:anchorId="03539024" wp14:editId="37CD55AC">
              <wp:simplePos x="0" y="0"/>
              <wp:positionH relativeFrom="page">
                <wp:posOffset>579755</wp:posOffset>
              </wp:positionH>
              <wp:positionV relativeFrom="page">
                <wp:posOffset>269875</wp:posOffset>
              </wp:positionV>
              <wp:extent cx="2645410" cy="85090"/>
              <wp:effectExtent l="0" t="0" r="0" b="0"/>
              <wp:wrapNone/>
              <wp:docPr id="73" name="Shape 73"/>
              <wp:cNvGraphicFramePr/>
              <a:graphic xmlns:a="http://schemas.openxmlformats.org/drawingml/2006/main">
                <a:graphicData uri="http://schemas.microsoft.com/office/word/2010/wordprocessingShape">
                  <wps:wsp>
                    <wps:cNvSpPr txBox="1"/>
                    <wps:spPr>
                      <a:xfrm>
                        <a:off x="0" y="0"/>
                        <a:ext cx="2645410" cy="85090"/>
                      </a:xfrm>
                      <a:prstGeom prst="rect">
                        <a:avLst/>
                      </a:prstGeom>
                      <a:noFill/>
                    </wps:spPr>
                    <wps:txbx>
                      <w:txbxContent>
                        <w:p w14:paraId="32983EAA"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wps:txbx>
                    <wps:bodyPr lIns="0" tIns="0" rIns="0" bIns="0">
                      <a:spAutoFit/>
                    </wps:bodyPr>
                  </wps:wsp>
                </a:graphicData>
              </a:graphic>
            </wp:anchor>
          </w:drawing>
        </mc:Choice>
        <mc:Fallback>
          <w:pict>
            <v:shapetype w14:anchorId="03539024" id="_x0000_t202" coordsize="21600,21600" o:spt="202" path="m,l,21600r21600,l21600,xe">
              <v:stroke joinstyle="miter"/>
              <v:path gradientshapeok="t" o:connecttype="rect"/>
            </v:shapetype>
            <v:shape id="Shape 73" o:spid="_x0000_s1081" type="#_x0000_t202" style="position:absolute;margin-left:45.65pt;margin-top:21.25pt;width:208.3pt;height:6.7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" filled="f" stroked="f">
              <v:textbox style="mso-fit-shape-to-text:t" inset="0,0,0,0">
                <w:txbxContent>
                  <w:p w14:paraId="32983EAA"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v:textbox>
              <w10:wrap anchorx="page" anchory="page"/>
            </v:shape>
          </w:pict>
        </mc:Fallback>
      </mc:AlternateContent>
    </w:r>
    <w:r>
      <w:rPr>
        <w:noProof/>
      </w:rPr>
      <mc:AlternateContent>
        <mc:Choice Requires="wps">
          <w:drawing>
            <wp:anchor distT="0" distB="0" distL="114300" distR="114300" simplePos="0" relativeHeight="251680768" behindDoc="1" locked="0" layoutInCell="1" allowOverlap="1" wp14:anchorId="5B5C81D9" wp14:editId="06EE54ED">
              <wp:simplePos x="0" y="0"/>
              <wp:positionH relativeFrom="page">
                <wp:posOffset>554990</wp:posOffset>
              </wp:positionH>
              <wp:positionV relativeFrom="page">
                <wp:posOffset>419100</wp:posOffset>
              </wp:positionV>
              <wp:extent cx="4358640" cy="0"/>
              <wp:effectExtent l="0" t="0" r="0" b="0"/>
              <wp:wrapNone/>
              <wp:docPr id="75" name="Shape 7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62B8B44" id="_x0000_t32" coordsize="21600,21600" o:spt="32" o:oned="t" path="m,l21600,21600e" filled="f">
              <v:path arrowok="t" fillok="f" o:connecttype="none"/>
              <o:lock v:ext="edit" shapetype="t"/>
            </v:shapetype>
            <v:shape id="Shape 75" o:spid="_x0000_s1026" type="#_x0000_t32" style="position:absolute;margin-left:43.7pt;margin-top:33pt;width:343.2pt;height:0;z-index:-251635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Nrp&#10;WyHaAAAACAEAAA8AAAAAAAAAAAAAAAAAwgMAAGRycy9kb3ducmV2LnhtbFBLBQYAAAAABAAEAPMA&#10;AADJBAAAAAA=&#10;" strokeweight="1pt">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FF40" w14:textId="77777777" w:rsidR="0072615D" w:rsidRDefault="0072615D">
    <w:pPr>
      <w:spacing w:line="1" w:lineRule="exact"/>
    </w:pPr>
    <w:r>
      <w:rPr>
        <w:noProof/>
      </w:rPr>
      <mc:AlternateContent>
        <mc:Choice Requires="wps">
          <w:drawing>
            <wp:anchor distT="0" distB="0" distL="0" distR="0" simplePos="0" relativeHeight="251810816" behindDoc="1" locked="0" layoutInCell="1" allowOverlap="1" wp14:anchorId="003CBB94" wp14:editId="34F4C813">
              <wp:simplePos x="0" y="0"/>
              <wp:positionH relativeFrom="page">
                <wp:posOffset>2257425</wp:posOffset>
              </wp:positionH>
              <wp:positionV relativeFrom="page">
                <wp:posOffset>269875</wp:posOffset>
              </wp:positionV>
              <wp:extent cx="2627630" cy="85090"/>
              <wp:effectExtent l="0" t="0" r="0" b="0"/>
              <wp:wrapNone/>
              <wp:docPr id="70" name="Shape 70"/>
              <wp:cNvGraphicFramePr/>
              <a:graphic xmlns:a="http://schemas.openxmlformats.org/drawingml/2006/main">
                <a:graphicData uri="http://schemas.microsoft.com/office/word/2010/wordprocessingShape">
                  <wps:wsp>
                    <wps:cNvSpPr txBox="1"/>
                    <wps:spPr>
                      <a:xfrm>
                        <a:off x="0" y="0"/>
                        <a:ext cx="2627630" cy="85090"/>
                      </a:xfrm>
                      <a:prstGeom prst="rect">
                        <a:avLst/>
                      </a:prstGeom>
                      <a:noFill/>
                    </wps:spPr>
                    <wps:txbx>
                      <w:txbxContent>
                        <w:p w14:paraId="05CB2122"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wps:txbx>
                    <wps:bodyPr lIns="0" tIns="0" rIns="0" bIns="0">
                      <a:spAutoFit/>
                    </wps:bodyPr>
                  </wps:wsp>
                </a:graphicData>
              </a:graphic>
            </wp:anchor>
          </w:drawing>
        </mc:Choice>
        <mc:Fallback>
          <w:pict>
            <v:shapetype w14:anchorId="003CBB94" id="_x0000_t202" coordsize="21600,21600" o:spt="202" path="m,l,21600r21600,l21600,xe">
              <v:stroke joinstyle="miter"/>
              <v:path gradientshapeok="t" o:connecttype="rect"/>
            </v:shapetype>
            <v:shape id="Shape 70" o:spid="_x0000_s1082" type="#_x0000_t202" style="position:absolute;margin-left:177.75pt;margin-top:21.25pt;width:206.9pt;height:6.7pt;z-index:-2515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" filled="f" stroked="f">
              <v:textbox style="mso-fit-shape-to-text:t" inset="0,0,0,0">
                <w:txbxContent>
                  <w:p w14:paraId="05CB2122"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v:textbox>
              <w10:wrap anchorx="page" anchory="page"/>
            </v:shape>
          </w:pict>
        </mc:Fallback>
      </mc:AlternateContent>
    </w:r>
    <w:r>
      <w:rPr>
        <w:noProof/>
      </w:rPr>
      <mc:AlternateContent>
        <mc:Choice Requires="wps">
          <w:drawing>
            <wp:anchor distT="0" distB="0" distL="114300" distR="114300" simplePos="0" relativeHeight="251679744" behindDoc="1" locked="0" layoutInCell="1" allowOverlap="1" wp14:anchorId="2DAC5A4B" wp14:editId="4810CBDB">
              <wp:simplePos x="0" y="0"/>
              <wp:positionH relativeFrom="page">
                <wp:posOffset>562610</wp:posOffset>
              </wp:positionH>
              <wp:positionV relativeFrom="page">
                <wp:posOffset>419100</wp:posOffset>
              </wp:positionV>
              <wp:extent cx="4358640" cy="0"/>
              <wp:effectExtent l="0" t="0" r="0" b="0"/>
              <wp:wrapNone/>
              <wp:docPr id="72" name="Shape 7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D19725D" id="_x0000_t32" coordsize="21600,21600" o:spt="32" o:oned="t" path="m,l21600,21600e" filled="f">
              <v:path arrowok="t" fillok="f" o:connecttype="none"/>
              <o:lock v:ext="edit" shapetype="t"/>
            </v:shapetype>
            <v:shape id="Shape 72" o:spid="_x0000_s1026" type="#_x0000_t32" style="position:absolute;margin-left:44.3pt;margin-top:33pt;width:343.2pt;height:0;z-index:-251636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BvF&#10;03LaAAAACAEAAA8AAAAAAAAAAAAAAAAAwgMAAGRycy9kb3ducmV2LnhtbFBLBQYAAAAABAAEAPMA&#10;AADJBAAAAAA=&#10;" strokeweight="1pt">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300A5" w14:textId="77777777" w:rsidR="0072615D" w:rsidRDefault="0072615D">
    <w:pPr>
      <w:spacing w:line="1" w:lineRule="exact"/>
    </w:pPr>
    <w:r>
      <w:rPr>
        <w:noProof/>
      </w:rPr>
      <mc:AlternateContent>
        <mc:Choice Requires="wps">
          <w:drawing>
            <wp:anchor distT="0" distB="0" distL="0" distR="0" simplePos="0" relativeHeight="251813888" behindDoc="1" locked="0" layoutInCell="1" allowOverlap="1" wp14:anchorId="47697DE1" wp14:editId="350EFB1A">
              <wp:simplePos x="0" y="0"/>
              <wp:positionH relativeFrom="page">
                <wp:posOffset>2257425</wp:posOffset>
              </wp:positionH>
              <wp:positionV relativeFrom="page">
                <wp:posOffset>269875</wp:posOffset>
              </wp:positionV>
              <wp:extent cx="2627630" cy="85090"/>
              <wp:effectExtent l="0" t="0" r="0" b="0"/>
              <wp:wrapNone/>
              <wp:docPr id="79" name="Shape 79"/>
              <wp:cNvGraphicFramePr/>
              <a:graphic xmlns:a="http://schemas.openxmlformats.org/drawingml/2006/main">
                <a:graphicData uri="http://schemas.microsoft.com/office/word/2010/wordprocessingShape">
                  <wps:wsp>
                    <wps:cNvSpPr txBox="1"/>
                    <wps:spPr>
                      <a:xfrm>
                        <a:off x="0" y="0"/>
                        <a:ext cx="2627630" cy="85090"/>
                      </a:xfrm>
                      <a:prstGeom prst="rect">
                        <a:avLst/>
                      </a:prstGeom>
                      <a:noFill/>
                    </wps:spPr>
                    <wps:txbx>
                      <w:txbxContent>
                        <w:p w14:paraId="39234D3B"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wps:txbx>
                    <wps:bodyPr lIns="0" tIns="0" rIns="0" bIns="0">
                      <a:spAutoFit/>
                    </wps:bodyPr>
                  </wps:wsp>
                </a:graphicData>
              </a:graphic>
            </wp:anchor>
          </w:drawing>
        </mc:Choice>
        <mc:Fallback>
          <w:pict>
            <v:shapetype w14:anchorId="47697DE1" id="_x0000_t202" coordsize="21600,21600" o:spt="202" path="m,l,21600r21600,l21600,xe">
              <v:stroke joinstyle="miter"/>
              <v:path gradientshapeok="t" o:connecttype="rect"/>
            </v:shapetype>
            <v:shape id="Shape 79" o:spid="_x0000_s1083" type="#_x0000_t202" style="position:absolute;margin-left:177.75pt;margin-top:21.25pt;width:206.9pt;height:6.7pt;z-index:-2515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" filled="f" stroked="f">
              <v:textbox style="mso-fit-shape-to-text:t" inset="0,0,0,0">
                <w:txbxContent>
                  <w:p w14:paraId="39234D3B"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v:textbox>
              <w10:wrap anchorx="page" anchory="page"/>
            </v:shape>
          </w:pict>
        </mc:Fallback>
      </mc:AlternateContent>
    </w:r>
    <w:r>
      <w:rPr>
        <w:noProof/>
      </w:rPr>
      <mc:AlternateContent>
        <mc:Choice Requires="wps">
          <w:drawing>
            <wp:anchor distT="0" distB="0" distL="114300" distR="114300" simplePos="0" relativeHeight="251682816" behindDoc="1" locked="0" layoutInCell="1" allowOverlap="1" wp14:anchorId="1AC3F089" wp14:editId="69EF744F">
              <wp:simplePos x="0" y="0"/>
              <wp:positionH relativeFrom="page">
                <wp:posOffset>562610</wp:posOffset>
              </wp:positionH>
              <wp:positionV relativeFrom="page">
                <wp:posOffset>419100</wp:posOffset>
              </wp:positionV>
              <wp:extent cx="4358640" cy="0"/>
              <wp:effectExtent l="0" t="0" r="0" b="0"/>
              <wp:wrapNone/>
              <wp:docPr id="81" name="Shape 8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9312F61" id="_x0000_t32" coordsize="21600,21600" o:spt="32" o:oned="t" path="m,l21600,21600e" filled="f">
              <v:path arrowok="t" fillok="f" o:connecttype="none"/>
              <o:lock v:ext="edit" shapetype="t"/>
            </v:shapetype>
            <v:shape id="Shape 81" o:spid="_x0000_s1026" type="#_x0000_t32" style="position:absolute;margin-left:44.3pt;margin-top:33pt;width:343.2pt;height:0;z-index:-2516336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BvF&#10;03LaAAAACAEAAA8AAAAAAAAAAAAAAAAAwgMAAGRycy9kb3ducmV2LnhtbFBLBQYAAAAABAAEAPMA&#10;AADJBAAAAAA=&#10;" strokeweight="1pt">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04BB" w14:textId="77777777" w:rsidR="0072615D" w:rsidRDefault="0072615D">
    <w:pPr>
      <w:spacing w:line="1" w:lineRule="exact"/>
    </w:pPr>
    <w:r>
      <w:rPr>
        <w:noProof/>
      </w:rPr>
      <mc:AlternateContent>
        <mc:Choice Requires="wps">
          <w:drawing>
            <wp:anchor distT="0" distB="0" distL="0" distR="0" simplePos="0" relativeHeight="251812864" behindDoc="1" locked="0" layoutInCell="1" allowOverlap="1" wp14:anchorId="224DF1EA" wp14:editId="2346511C">
              <wp:simplePos x="0" y="0"/>
              <wp:positionH relativeFrom="page">
                <wp:posOffset>579755</wp:posOffset>
              </wp:positionH>
              <wp:positionV relativeFrom="page">
                <wp:posOffset>269875</wp:posOffset>
              </wp:positionV>
              <wp:extent cx="2645410" cy="85090"/>
              <wp:effectExtent l="0" t="0" r="0" b="0"/>
              <wp:wrapNone/>
              <wp:docPr id="76" name="Shape 76"/>
              <wp:cNvGraphicFramePr/>
              <a:graphic xmlns:a="http://schemas.openxmlformats.org/drawingml/2006/main">
                <a:graphicData uri="http://schemas.microsoft.com/office/word/2010/wordprocessingShape">
                  <wps:wsp>
                    <wps:cNvSpPr txBox="1"/>
                    <wps:spPr>
                      <a:xfrm>
                        <a:off x="0" y="0"/>
                        <a:ext cx="2645410" cy="85090"/>
                      </a:xfrm>
                      <a:prstGeom prst="rect">
                        <a:avLst/>
                      </a:prstGeom>
                      <a:noFill/>
                    </wps:spPr>
                    <wps:txbx>
                      <w:txbxContent>
                        <w:p w14:paraId="06DB131E"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wps:txbx>
                    <wps:bodyPr lIns="0" tIns="0" rIns="0" bIns="0">
                      <a:spAutoFit/>
                    </wps:bodyPr>
                  </wps:wsp>
                </a:graphicData>
              </a:graphic>
            </wp:anchor>
          </w:drawing>
        </mc:Choice>
        <mc:Fallback>
          <w:pict>
            <v:shapetype w14:anchorId="224DF1EA" id="_x0000_t202" coordsize="21600,21600" o:spt="202" path="m,l,21600r21600,l21600,xe">
              <v:stroke joinstyle="miter"/>
              <v:path gradientshapeok="t" o:connecttype="rect"/>
            </v:shapetype>
            <v:shape id="Shape 76" o:spid="_x0000_s1084" type="#_x0000_t202" style="position:absolute;margin-left:45.65pt;margin-top:21.25pt;width:208.3pt;height:6.7pt;z-index:-2515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" filled="f" stroked="f">
              <v:textbox style="mso-fit-shape-to-text:t" inset="0,0,0,0">
                <w:txbxContent>
                  <w:p w14:paraId="06DB131E" w14:textId="77777777" w:rsidR="0072615D" w:rsidRDefault="0072615D">
                    <w:pPr>
                      <w:pStyle w:val="Headerorfooter20"/>
                      <w:tabs>
                        <w:tab w:val="right" w:pos="4166"/>
                      </w:tabs>
                      <w:rPr>
                        <w:sz w:val="14"/>
                        <w:szCs w:val="14"/>
                      </w:rPr>
                    </w:pPr>
                    <w:r>
                      <w:rPr>
                        <w:rFonts w:ascii="Arial" w:eastAsia="Arial" w:hAnsi="Arial" w:cs="Arial"/>
                        <w:color w:val="231F20"/>
                        <w:sz w:val="16"/>
                        <w:szCs w:val="16"/>
                      </w:rPr>
                      <w:t>10</w:t>
                    </w:r>
                    <w:r>
                      <w:rPr>
                        <w:rFonts w:ascii="Arial" w:eastAsia="Arial" w:hAnsi="Arial" w:cs="Arial"/>
                        <w:color w:val="231F20"/>
                        <w:sz w:val="16"/>
                        <w:szCs w:val="16"/>
                      </w:rPr>
                      <w:tab/>
                    </w:r>
                    <w:r>
                      <w:rPr>
                        <w:rFonts w:ascii="Arial" w:eastAsia="Arial" w:hAnsi="Arial" w:cs="Arial"/>
                        <w:color w:val="231F20"/>
                        <w:sz w:val="14"/>
                        <w:szCs w:val="14"/>
                      </w:rPr>
                      <w:t>INMUNIZACIÓN ACTIVA</w:t>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5BA2745D" wp14:editId="025701C9">
              <wp:simplePos x="0" y="0"/>
              <wp:positionH relativeFrom="page">
                <wp:posOffset>554990</wp:posOffset>
              </wp:positionH>
              <wp:positionV relativeFrom="page">
                <wp:posOffset>419100</wp:posOffset>
              </wp:positionV>
              <wp:extent cx="4358640" cy="0"/>
              <wp:effectExtent l="0" t="0" r="0" b="0"/>
              <wp:wrapNone/>
              <wp:docPr id="78" name="Shape 7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92C1F0E" id="_x0000_t32" coordsize="21600,21600" o:spt="32" o:oned="t" path="m,l21600,21600e" filled="f">
              <v:path arrowok="t" fillok="f" o:connecttype="none"/>
              <o:lock v:ext="edit" shapetype="t"/>
            </v:shapetype>
            <v:shape id="Shape 78" o:spid="_x0000_s1026" type="#_x0000_t32" style="position:absolute;margin-left:43.7pt;margin-top:33pt;width:343.2pt;height:0;z-index:-251634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Nrp&#10;WyHaAAAACAEAAA8AAAAAAAAAAAAAAAAAwgMAAGRycy9kb3ducmV2LnhtbFBLBQYAAAAABAAEAPMA&#10;AADJBAAAAAA=&#10;" strokeweight="1pt">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B258" w14:textId="77777777" w:rsidR="0072615D" w:rsidRDefault="0072615D">
    <w:pPr>
      <w:spacing w:line="1" w:lineRule="exact"/>
    </w:pPr>
    <w:r>
      <w:rPr>
        <w:noProof/>
      </w:rPr>
      <mc:AlternateContent>
        <mc:Choice Requires="wps">
          <w:drawing>
            <wp:anchor distT="0" distB="0" distL="0" distR="0" simplePos="0" relativeHeight="251815936" behindDoc="1" locked="0" layoutInCell="1" allowOverlap="1" wp14:anchorId="5EEC2202" wp14:editId="23E18417">
              <wp:simplePos x="0" y="0"/>
              <wp:positionH relativeFrom="page">
                <wp:posOffset>2257425</wp:posOffset>
              </wp:positionH>
              <wp:positionV relativeFrom="page">
                <wp:posOffset>269875</wp:posOffset>
              </wp:positionV>
              <wp:extent cx="2627630" cy="85090"/>
              <wp:effectExtent l="0" t="0" r="0" b="0"/>
              <wp:wrapNone/>
              <wp:docPr id="85" name="Shape 85"/>
              <wp:cNvGraphicFramePr/>
              <a:graphic xmlns:a="http://schemas.openxmlformats.org/drawingml/2006/main">
                <a:graphicData uri="http://schemas.microsoft.com/office/word/2010/wordprocessingShape">
                  <wps:wsp>
                    <wps:cNvSpPr txBox="1"/>
                    <wps:spPr>
                      <a:xfrm>
                        <a:off x="0" y="0"/>
                        <a:ext cx="2627630" cy="85090"/>
                      </a:xfrm>
                      <a:prstGeom prst="rect">
                        <a:avLst/>
                      </a:prstGeom>
                      <a:noFill/>
                    </wps:spPr>
                    <wps:txbx>
                      <w:txbxContent>
                        <w:p w14:paraId="4B30D9A4"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wps:txbx>
                    <wps:bodyPr lIns="0" tIns="0" rIns="0" bIns="0">
                      <a:spAutoFit/>
                    </wps:bodyPr>
                  </wps:wsp>
                </a:graphicData>
              </a:graphic>
            </wp:anchor>
          </w:drawing>
        </mc:Choice>
        <mc:Fallback>
          <w:pict>
            <v:shapetype w14:anchorId="5EEC2202" id="_x0000_t202" coordsize="21600,21600" o:spt="202" path="m,l,21600r21600,l21600,xe">
              <v:stroke joinstyle="miter"/>
              <v:path gradientshapeok="t" o:connecttype="rect"/>
            </v:shapetype>
            <v:shape id="Shape 85" o:spid="_x0000_s1085" type="#_x0000_t202" style="position:absolute;margin-left:177.75pt;margin-top:21.25pt;width:206.9pt;height:6.7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MilfgEAAPsCAAAOAAAAZHJzL2Uyb0RvYy54bWysUttOwzAMfUfiH6K8s5YhBl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" filled="f" stroked="f">
              <v:textbox style="mso-fit-shape-to-text:t" inset="0,0,0,0">
                <w:txbxContent>
                  <w:p w14:paraId="4B30D9A4"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v:textbox>
              <w10:wrap anchorx="page" anchory="page"/>
            </v:shape>
          </w:pict>
        </mc:Fallback>
      </mc:AlternateContent>
    </w:r>
    <w:r>
      <w:rPr>
        <w:noProof/>
      </w:rPr>
      <mc:AlternateContent>
        <mc:Choice Requires="wps">
          <w:drawing>
            <wp:anchor distT="0" distB="0" distL="114300" distR="114300" simplePos="0" relativeHeight="251684864" behindDoc="1" locked="0" layoutInCell="1" allowOverlap="1" wp14:anchorId="1D953D46" wp14:editId="015C74E2">
              <wp:simplePos x="0" y="0"/>
              <wp:positionH relativeFrom="page">
                <wp:posOffset>562610</wp:posOffset>
              </wp:positionH>
              <wp:positionV relativeFrom="page">
                <wp:posOffset>419100</wp:posOffset>
              </wp:positionV>
              <wp:extent cx="4358640" cy="0"/>
              <wp:effectExtent l="0" t="0" r="0" b="0"/>
              <wp:wrapNone/>
              <wp:docPr id="87" name="Shape 8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C213E57" id="_x0000_t32" coordsize="21600,21600" o:spt="32" o:oned="t" path="m,l21600,21600e" filled="f">
              <v:path arrowok="t" fillok="f" o:connecttype="none"/>
              <o:lock v:ext="edit" shapetype="t"/>
            </v:shapetype>
            <v:shape id="Shape 87" o:spid="_x0000_s1026" type="#_x0000_t32" style="position:absolute;margin-left:44.3pt;margin-top:33pt;width:343.2pt;height:0;z-index:-251631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BvF&#10;03LaAAAACAEAAA8AAAAAAAAAAAAAAAAAwgMAAGRycy9kb3ducmV2LnhtbFBLBQYAAAAABAAEAPMA&#10;AADJBAAAAAA=&#10;" strokeweight="1pt">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F6E05" w14:textId="77777777" w:rsidR="0072615D" w:rsidRDefault="0072615D">
    <w:pPr>
      <w:spacing w:line="1" w:lineRule="exact"/>
    </w:pPr>
    <w:r>
      <w:rPr>
        <w:noProof/>
      </w:rPr>
      <mc:AlternateContent>
        <mc:Choice Requires="wps">
          <w:drawing>
            <wp:anchor distT="0" distB="0" distL="0" distR="0" simplePos="0" relativeHeight="251814912" behindDoc="1" locked="0" layoutInCell="1" allowOverlap="1" wp14:anchorId="52FCBC65" wp14:editId="44D454AC">
              <wp:simplePos x="0" y="0"/>
              <wp:positionH relativeFrom="page">
                <wp:posOffset>2257425</wp:posOffset>
              </wp:positionH>
              <wp:positionV relativeFrom="page">
                <wp:posOffset>269875</wp:posOffset>
              </wp:positionV>
              <wp:extent cx="2627630" cy="85090"/>
              <wp:effectExtent l="0" t="0" r="0" b="0"/>
              <wp:wrapNone/>
              <wp:docPr id="82" name="Shape 82"/>
              <wp:cNvGraphicFramePr/>
              <a:graphic xmlns:a="http://schemas.openxmlformats.org/drawingml/2006/main">
                <a:graphicData uri="http://schemas.microsoft.com/office/word/2010/wordprocessingShape">
                  <wps:wsp>
                    <wps:cNvSpPr txBox="1"/>
                    <wps:spPr>
                      <a:xfrm>
                        <a:off x="0" y="0"/>
                        <a:ext cx="2627630" cy="85090"/>
                      </a:xfrm>
                      <a:prstGeom prst="rect">
                        <a:avLst/>
                      </a:prstGeom>
                      <a:noFill/>
                    </wps:spPr>
                    <wps:txbx>
                      <w:txbxContent>
                        <w:p w14:paraId="0528436B"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wps:txbx>
                    <wps:bodyPr lIns="0" tIns="0" rIns="0" bIns="0">
                      <a:spAutoFit/>
                    </wps:bodyPr>
                  </wps:wsp>
                </a:graphicData>
              </a:graphic>
            </wp:anchor>
          </w:drawing>
        </mc:Choice>
        <mc:Fallback>
          <w:pict>
            <v:shapetype w14:anchorId="52FCBC65" id="_x0000_t202" coordsize="21600,21600" o:spt="202" path="m,l,21600r21600,l21600,xe">
              <v:stroke joinstyle="miter"/>
              <v:path gradientshapeok="t" o:connecttype="rect"/>
            </v:shapetype>
            <v:shape id="Shape 82" o:spid="_x0000_s1086" type="#_x0000_t202" style="position:absolute;margin-left:177.75pt;margin-top:21.25pt;width:206.9pt;height:6.7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q3YfwEAAPsCAAAOAAAAZHJzL2Uyb0RvYy54bWysUttOwzAMfUfiH6K8s5YhBl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" filled="f" stroked="f">
              <v:textbox style="mso-fit-shape-to-text:t" inset="0,0,0,0">
                <w:txbxContent>
                  <w:p w14:paraId="0528436B" w14:textId="77777777" w:rsidR="0072615D" w:rsidRDefault="0072615D">
                    <w:pPr>
                      <w:pStyle w:val="Headerorfooter20"/>
                      <w:tabs>
                        <w:tab w:val="right" w:pos="4138"/>
                      </w:tabs>
                      <w:rPr>
                        <w:sz w:val="16"/>
                        <w:szCs w:val="16"/>
                      </w:rPr>
                    </w:pPr>
                    <w:r>
                      <w:rPr>
                        <w:rFonts w:ascii="Arial" w:eastAsia="Arial" w:hAnsi="Arial" w:cs="Arial"/>
                        <w:color w:val="231F20"/>
                        <w:sz w:val="14"/>
                        <w:szCs w:val="14"/>
                      </w:rPr>
                      <w:t>INMUNIZACIÓN ACTIVA</w:t>
                    </w:r>
                    <w:r>
                      <w:rPr>
                        <w:rFonts w:ascii="Arial" w:eastAsia="Arial" w:hAnsi="Arial" w:cs="Arial"/>
                        <w:color w:val="231F20"/>
                        <w:sz w:val="14"/>
                        <w:szCs w:val="14"/>
                      </w:rPr>
                      <w:tab/>
                    </w:r>
                    <w:r>
                      <w:rPr>
                        <w:rFonts w:ascii="Arial" w:eastAsia="Arial" w:hAnsi="Arial" w:cs="Arial"/>
                        <w:color w:val="231F20"/>
                        <w:sz w:val="16"/>
                        <w:szCs w:val="16"/>
                      </w:rPr>
                      <w:t>11</w:t>
                    </w:r>
                  </w:p>
                </w:txbxContent>
              </v:textbox>
              <w10:wrap anchorx="page" anchory="page"/>
            </v:shape>
          </w:pict>
        </mc:Fallback>
      </mc:AlternateContent>
    </w:r>
    <w:r>
      <w:rPr>
        <w:noProof/>
      </w:rPr>
      <mc:AlternateContent>
        <mc:Choice Requires="wps">
          <w:drawing>
            <wp:anchor distT="0" distB="0" distL="114300" distR="114300" simplePos="0" relativeHeight="251683840" behindDoc="1" locked="0" layoutInCell="1" allowOverlap="1" wp14:anchorId="20C11198" wp14:editId="29CCB628">
              <wp:simplePos x="0" y="0"/>
              <wp:positionH relativeFrom="page">
                <wp:posOffset>562610</wp:posOffset>
              </wp:positionH>
              <wp:positionV relativeFrom="page">
                <wp:posOffset>419100</wp:posOffset>
              </wp:positionV>
              <wp:extent cx="4358640" cy="0"/>
              <wp:effectExtent l="0" t="0" r="0" b="0"/>
              <wp:wrapNone/>
              <wp:docPr id="84" name="Shape 8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45AE79" id="_x0000_t32" coordsize="21600,21600" o:spt="32" o:oned="t" path="m,l21600,21600e" filled="f">
              <v:path arrowok="t" fillok="f" o:connecttype="none"/>
              <o:lock v:ext="edit" shapetype="t"/>
            </v:shapetype>
            <v:shape id="Shape 84" o:spid="_x0000_s1026" type="#_x0000_t32" style="position:absolute;margin-left:44.3pt;margin-top:33pt;width:343.2pt;height:0;z-index:-251632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" strokeweight="1pt">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1E381" w14:textId="77777777" w:rsidR="0072615D" w:rsidRDefault="0072615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F93B6" w14:textId="77777777" w:rsidR="0072615D" w:rsidRDefault="0072615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C96FE" w14:textId="77777777" w:rsidR="0072615D" w:rsidRDefault="0072615D"/>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ABBE" w14:textId="77777777" w:rsidR="0072615D" w:rsidRDefault="0072615D"/>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70F0" w14:textId="77777777" w:rsidR="0072615D" w:rsidRDefault="0072615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52AF" w14:textId="77777777" w:rsidR="0072615D" w:rsidRDefault="0072615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50555" w14:textId="77777777" w:rsidR="0072615D" w:rsidRDefault="0072615D">
    <w:pPr>
      <w:spacing w:line="1" w:lineRule="exact"/>
    </w:pPr>
    <w:r>
      <w:rPr>
        <w:noProof/>
      </w:rPr>
      <mc:AlternateContent>
        <mc:Choice Requires="wps">
          <w:drawing>
            <wp:anchor distT="0" distB="0" distL="0" distR="0" simplePos="0" relativeHeight="251821056" behindDoc="1" locked="0" layoutInCell="1" allowOverlap="1" wp14:anchorId="64978B5E" wp14:editId="24CA81B9">
              <wp:simplePos x="0" y="0"/>
              <wp:positionH relativeFrom="page">
                <wp:posOffset>2211705</wp:posOffset>
              </wp:positionH>
              <wp:positionV relativeFrom="page">
                <wp:posOffset>295910</wp:posOffset>
              </wp:positionV>
              <wp:extent cx="2642870" cy="85090"/>
              <wp:effectExtent l="0" t="0" r="0" b="0"/>
              <wp:wrapNone/>
              <wp:docPr id="115" name="Shape 115"/>
              <wp:cNvGraphicFramePr/>
              <a:graphic xmlns:a="http://schemas.openxmlformats.org/drawingml/2006/main">
                <a:graphicData uri="http://schemas.microsoft.com/office/word/2010/wordprocessingShape">
                  <wps:wsp>
                    <wps:cNvSpPr txBox="1"/>
                    <wps:spPr>
                      <a:xfrm>
                        <a:off x="0" y="0"/>
                        <a:ext cx="2642870" cy="85090"/>
                      </a:xfrm>
                      <a:prstGeom prst="rect">
                        <a:avLst/>
                      </a:prstGeom>
                      <a:noFill/>
                    </wps:spPr>
                    <wps:txbx>
                      <w:txbxContent>
                        <w:p w14:paraId="7F838A86" w14:textId="77777777" w:rsidR="0072615D" w:rsidRDefault="0072615D">
                          <w:pPr>
                            <w:pStyle w:val="Headerorfooter0"/>
                            <w:tabs>
                              <w:tab w:val="right" w:pos="4162"/>
                            </w:tabs>
                            <w:rPr>
                              <w:sz w:val="16"/>
                              <w:szCs w:val="16"/>
                            </w:rPr>
                          </w:pPr>
                          <w:r>
                            <w:t>INMUNIZACIÓN ACTIVA</w:t>
                          </w:r>
                          <w:r>
                            <w:tab/>
                          </w:r>
                          <w:r>
                            <w:rPr>
                              <w:sz w:val="16"/>
                              <w:szCs w:val="16"/>
                            </w:rPr>
                            <w:t>35</w:t>
                          </w:r>
                        </w:p>
                      </w:txbxContent>
                    </wps:txbx>
                    <wps:bodyPr lIns="0" tIns="0" rIns="0" bIns="0">
                      <a:spAutoFit/>
                    </wps:bodyPr>
                  </wps:wsp>
                </a:graphicData>
              </a:graphic>
            </wp:anchor>
          </w:drawing>
        </mc:Choice>
        <mc:Fallback>
          <w:pict>
            <v:shapetype w14:anchorId="64978B5E" id="_x0000_t202" coordsize="21600,21600" o:spt="202" path="m,l,21600r21600,l21600,xe">
              <v:stroke joinstyle="miter"/>
              <v:path gradientshapeok="t" o:connecttype="rect"/>
            </v:shapetype>
            <v:shape id="Shape 115" o:spid="_x0000_s1090" type="#_x0000_t202" style="position:absolute;margin-left:174.15pt;margin-top:23.3pt;width:208.1pt;height:6.7pt;z-index:-2514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" filled="f" stroked="f">
              <v:textbox style="mso-fit-shape-to-text:t" inset="0,0,0,0">
                <w:txbxContent>
                  <w:p w14:paraId="7F838A86" w14:textId="77777777" w:rsidR="0072615D" w:rsidRDefault="0072615D">
                    <w:pPr>
                      <w:pStyle w:val="Headerorfooter0"/>
                      <w:tabs>
                        <w:tab w:val="right" w:pos="4162"/>
                      </w:tabs>
                      <w:rPr>
                        <w:sz w:val="16"/>
                        <w:szCs w:val="16"/>
                      </w:rPr>
                    </w:pPr>
                    <w:r>
                      <w:t>INMUNIZACIÓN ACTIVA</w:t>
                    </w:r>
                    <w:r>
                      <w:tab/>
                    </w:r>
                    <w:r>
                      <w:rPr>
                        <w:sz w:val="16"/>
                        <w:szCs w:val="16"/>
                      </w:rPr>
                      <w:t>35</w:t>
                    </w:r>
                  </w:p>
                </w:txbxContent>
              </v:textbox>
              <w10:wrap anchorx="page" anchory="page"/>
            </v:shape>
          </w:pict>
        </mc:Fallback>
      </mc:AlternateContent>
    </w:r>
    <w:r>
      <w:rPr>
        <w:noProof/>
      </w:rPr>
      <mc:AlternateContent>
        <mc:Choice Requires="wps">
          <w:drawing>
            <wp:anchor distT="0" distB="0" distL="114300" distR="114300" simplePos="0" relativeHeight="251686912" behindDoc="1" locked="0" layoutInCell="1" allowOverlap="1" wp14:anchorId="07DF5141" wp14:editId="1D3CE330">
              <wp:simplePos x="0" y="0"/>
              <wp:positionH relativeFrom="page">
                <wp:posOffset>516890</wp:posOffset>
              </wp:positionH>
              <wp:positionV relativeFrom="page">
                <wp:posOffset>419100</wp:posOffset>
              </wp:positionV>
              <wp:extent cx="4358640" cy="0"/>
              <wp:effectExtent l="0" t="0" r="0" b="0"/>
              <wp:wrapNone/>
              <wp:docPr id="117" name="Shape 11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BB1A8BC" id="_x0000_t32" coordsize="21600,21600" o:spt="32" o:oned="t" path="m,l21600,21600e" filled="f">
              <v:path arrowok="t" fillok="f" o:connecttype="none"/>
              <o:lock v:ext="edit" shapetype="t"/>
            </v:shapetype>
            <v:shape id="Shape 117" o:spid="_x0000_s1026" type="#_x0000_t32" style="position:absolute;margin-left:40.7pt;margin-top:33pt;width:343.2pt;height:0;z-index:-251629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KA5&#10;HTvaAAAACAEAAA8AAAAAAAAAAAAAAAAAwgMAAGRycy9kb3ducmV2LnhtbFBLBQYAAAAABAAEAPMA&#10;AADJBAAAAAA=&#10;" strokeweight="1pt">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2361" w14:textId="77777777" w:rsidR="0072615D" w:rsidRDefault="0072615D">
    <w:pPr>
      <w:spacing w:line="1" w:lineRule="exact"/>
    </w:pPr>
    <w:r>
      <w:rPr>
        <w:noProof/>
      </w:rPr>
      <mc:AlternateContent>
        <mc:Choice Requires="wps">
          <w:drawing>
            <wp:anchor distT="0" distB="0" distL="0" distR="0" simplePos="0" relativeHeight="251820032" behindDoc="1" locked="0" layoutInCell="1" allowOverlap="1" wp14:anchorId="43E4613C" wp14:editId="2B730880">
              <wp:simplePos x="0" y="0"/>
              <wp:positionH relativeFrom="page">
                <wp:posOffset>2211705</wp:posOffset>
              </wp:positionH>
              <wp:positionV relativeFrom="page">
                <wp:posOffset>295910</wp:posOffset>
              </wp:positionV>
              <wp:extent cx="2642870" cy="85090"/>
              <wp:effectExtent l="0" t="0" r="0" b="0"/>
              <wp:wrapNone/>
              <wp:docPr id="112" name="Shape 112"/>
              <wp:cNvGraphicFramePr/>
              <a:graphic xmlns:a="http://schemas.openxmlformats.org/drawingml/2006/main">
                <a:graphicData uri="http://schemas.microsoft.com/office/word/2010/wordprocessingShape">
                  <wps:wsp>
                    <wps:cNvSpPr txBox="1"/>
                    <wps:spPr>
                      <a:xfrm>
                        <a:off x="0" y="0"/>
                        <a:ext cx="2642870" cy="85090"/>
                      </a:xfrm>
                      <a:prstGeom prst="rect">
                        <a:avLst/>
                      </a:prstGeom>
                      <a:noFill/>
                    </wps:spPr>
                    <wps:txbx>
                      <w:txbxContent>
                        <w:p w14:paraId="0D12B35B" w14:textId="77777777" w:rsidR="0072615D" w:rsidRDefault="0072615D">
                          <w:pPr>
                            <w:pStyle w:val="Headerorfooter0"/>
                            <w:tabs>
                              <w:tab w:val="right" w:pos="4162"/>
                            </w:tabs>
                            <w:rPr>
                              <w:sz w:val="16"/>
                              <w:szCs w:val="16"/>
                            </w:rPr>
                          </w:pPr>
                          <w:r>
                            <w:t>INMUNIZACIÓN ACTIVA</w:t>
                          </w:r>
                          <w:r>
                            <w:tab/>
                          </w:r>
                          <w:r>
                            <w:rPr>
                              <w:sz w:val="16"/>
                              <w:szCs w:val="16"/>
                            </w:rPr>
                            <w:t>35</w:t>
                          </w:r>
                        </w:p>
                      </w:txbxContent>
                    </wps:txbx>
                    <wps:bodyPr lIns="0" tIns="0" rIns="0" bIns="0">
                      <a:spAutoFit/>
                    </wps:bodyPr>
                  </wps:wsp>
                </a:graphicData>
              </a:graphic>
            </wp:anchor>
          </w:drawing>
        </mc:Choice>
        <mc:Fallback>
          <w:pict>
            <v:shapetype w14:anchorId="43E4613C" id="_x0000_t202" coordsize="21600,21600" o:spt="202" path="m,l,21600r21600,l21600,xe">
              <v:stroke joinstyle="miter"/>
              <v:path gradientshapeok="t" o:connecttype="rect"/>
            </v:shapetype>
            <v:shape id="Shape 112" o:spid="_x0000_s1091" type="#_x0000_t202" style="position:absolute;margin-left:174.15pt;margin-top:23.3pt;width:208.1pt;height:6.7pt;z-index:-2514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" filled="f" stroked="f">
              <v:textbox style="mso-fit-shape-to-text:t" inset="0,0,0,0">
                <w:txbxContent>
                  <w:p w14:paraId="0D12B35B" w14:textId="77777777" w:rsidR="0072615D" w:rsidRDefault="0072615D">
                    <w:pPr>
                      <w:pStyle w:val="Headerorfooter0"/>
                      <w:tabs>
                        <w:tab w:val="right" w:pos="4162"/>
                      </w:tabs>
                      <w:rPr>
                        <w:sz w:val="16"/>
                        <w:szCs w:val="16"/>
                      </w:rPr>
                    </w:pPr>
                    <w:r>
                      <w:t>INMUNIZACIÓN ACTIVA</w:t>
                    </w:r>
                    <w:r>
                      <w:tab/>
                    </w:r>
                    <w:r>
                      <w:rPr>
                        <w:sz w:val="16"/>
                        <w:szCs w:val="16"/>
                      </w:rPr>
                      <w:t>35</w:t>
                    </w: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7719D7D6" wp14:editId="357A1591">
              <wp:simplePos x="0" y="0"/>
              <wp:positionH relativeFrom="page">
                <wp:posOffset>516890</wp:posOffset>
              </wp:positionH>
              <wp:positionV relativeFrom="page">
                <wp:posOffset>419100</wp:posOffset>
              </wp:positionV>
              <wp:extent cx="4358640" cy="0"/>
              <wp:effectExtent l="0" t="0" r="0" b="0"/>
              <wp:wrapNone/>
              <wp:docPr id="114" name="Shape 11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B512D6D" id="_x0000_t32" coordsize="21600,21600" o:spt="32" o:oned="t" path="m,l21600,21600e" filled="f">
              <v:path arrowok="t" fillok="f" o:connecttype="none"/>
              <o:lock v:ext="edit" shapetype="t"/>
            </v:shapetype>
            <v:shape id="Shape 114" o:spid="_x0000_s1026" type="#_x0000_t32" style="position:absolute;margin-left:40.7pt;margin-top:33pt;width:343.2pt;height:0;z-index:-251630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KA5&#10;HTvaAAAACAEAAA8AAAAAAAAAAAAAAAAAwgMAAGRycy9kb3ducmV2LnhtbFBLBQYAAAAABAAEAPMA&#10;AADJBAAAAAA=&#10;" strokeweight="1pt">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9956" w14:textId="77777777" w:rsidR="0072615D" w:rsidRDefault="0072615D">
    <w:pPr>
      <w:spacing w:line="1" w:lineRule="exact"/>
    </w:pPr>
    <w:r>
      <w:rPr>
        <w:noProof/>
      </w:rPr>
      <mc:AlternateContent>
        <mc:Choice Requires="wps">
          <w:drawing>
            <wp:anchor distT="0" distB="0" distL="0" distR="0" simplePos="0" relativeHeight="251822080" behindDoc="1" locked="0" layoutInCell="1" allowOverlap="1" wp14:anchorId="279A3A03" wp14:editId="62B052DD">
              <wp:simplePos x="0" y="0"/>
              <wp:positionH relativeFrom="page">
                <wp:posOffset>546100</wp:posOffset>
              </wp:positionH>
              <wp:positionV relativeFrom="page">
                <wp:posOffset>295910</wp:posOffset>
              </wp:positionV>
              <wp:extent cx="2654935" cy="85090"/>
              <wp:effectExtent l="0" t="0" r="0" b="0"/>
              <wp:wrapNone/>
              <wp:docPr id="118" name="Shape 118"/>
              <wp:cNvGraphicFramePr/>
              <a:graphic xmlns:a="http://schemas.openxmlformats.org/drawingml/2006/main">
                <a:graphicData uri="http://schemas.microsoft.com/office/word/2010/wordprocessingShape">
                  <wps:wsp>
                    <wps:cNvSpPr txBox="1"/>
                    <wps:spPr>
                      <a:xfrm>
                        <a:off x="0" y="0"/>
                        <a:ext cx="2654935" cy="85090"/>
                      </a:xfrm>
                      <a:prstGeom prst="rect">
                        <a:avLst/>
                      </a:prstGeom>
                      <a:noFill/>
                    </wps:spPr>
                    <wps:txbx>
                      <w:txbxContent>
                        <w:p w14:paraId="7D294CF8" w14:textId="77777777" w:rsidR="0072615D" w:rsidRDefault="0072615D">
                          <w:pPr>
                            <w:pStyle w:val="Headerorfooter0"/>
                            <w:tabs>
                              <w:tab w:val="right" w:pos="4181"/>
                            </w:tabs>
                          </w:pPr>
                          <w:r>
                            <w:rPr>
                              <w:sz w:val="16"/>
                              <w:szCs w:val="16"/>
                            </w:rPr>
                            <w:t>34</w:t>
                          </w:r>
                          <w:r>
                            <w:rPr>
                              <w:sz w:val="16"/>
                              <w:szCs w:val="16"/>
                            </w:rPr>
                            <w:tab/>
                          </w:r>
                          <w:r>
                            <w:t>INMUNIZACIÓN ACTIVA</w:t>
                          </w:r>
                        </w:p>
                      </w:txbxContent>
                    </wps:txbx>
                    <wps:bodyPr lIns="0" tIns="0" rIns="0" bIns="0">
                      <a:spAutoFit/>
                    </wps:bodyPr>
                  </wps:wsp>
                </a:graphicData>
              </a:graphic>
            </wp:anchor>
          </w:drawing>
        </mc:Choice>
        <mc:Fallback>
          <w:pict>
            <v:shapetype w14:anchorId="279A3A03" id="_x0000_t202" coordsize="21600,21600" o:spt="202" path="m,l,21600r21600,l21600,xe">
              <v:stroke joinstyle="miter"/>
              <v:path gradientshapeok="t" o:connecttype="rect"/>
            </v:shapetype>
            <v:shape id="Shape 118" o:spid="_x0000_s1092" type="#_x0000_t202" style="position:absolute;margin-left:43pt;margin-top:23.3pt;width:209.05pt;height:6.7pt;z-index:-251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" filled="f" stroked="f">
              <v:textbox style="mso-fit-shape-to-text:t" inset="0,0,0,0">
                <w:txbxContent>
                  <w:p w14:paraId="7D294CF8" w14:textId="77777777" w:rsidR="0072615D" w:rsidRDefault="0072615D">
                    <w:pPr>
                      <w:pStyle w:val="Headerorfooter0"/>
                      <w:tabs>
                        <w:tab w:val="right" w:pos="4181"/>
                      </w:tabs>
                    </w:pPr>
                    <w:r>
                      <w:rPr>
                        <w:sz w:val="16"/>
                        <w:szCs w:val="16"/>
                      </w:rPr>
                      <w:t>34</w:t>
                    </w:r>
                    <w:r>
                      <w:rPr>
                        <w:sz w:val="16"/>
                        <w:szCs w:val="16"/>
                      </w:rPr>
                      <w:tab/>
                    </w:r>
                    <w:r>
                      <w:t>INMUNIZACIÓN ACTIVA</w:t>
                    </w:r>
                  </w:p>
                </w:txbxContent>
              </v:textbox>
              <w10:wrap anchorx="page" anchory="page"/>
            </v:shape>
          </w:pict>
        </mc:Fallback>
      </mc:AlternateContent>
    </w:r>
    <w:r>
      <w:rPr>
        <w:noProof/>
      </w:rPr>
      <mc:AlternateContent>
        <mc:Choice Requires="wps">
          <w:drawing>
            <wp:anchor distT="0" distB="0" distL="114300" distR="114300" simplePos="0" relativeHeight="251687936" behindDoc="1" locked="0" layoutInCell="1" allowOverlap="1" wp14:anchorId="2167D6F5" wp14:editId="27AE3359">
              <wp:simplePos x="0" y="0"/>
              <wp:positionH relativeFrom="page">
                <wp:posOffset>530860</wp:posOffset>
              </wp:positionH>
              <wp:positionV relativeFrom="page">
                <wp:posOffset>419100</wp:posOffset>
              </wp:positionV>
              <wp:extent cx="4358640" cy="0"/>
              <wp:effectExtent l="0" t="0" r="0" b="0"/>
              <wp:wrapNone/>
              <wp:docPr id="120" name="Shape 12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AFDCA95" id="_x0000_t32" coordsize="21600,21600" o:spt="32" o:oned="t" path="m,l21600,21600e" filled="f">
              <v:path arrowok="t" fillok="f" o:connecttype="none"/>
              <o:lock v:ext="edit" shapetype="t"/>
            </v:shapetype>
            <v:shape id="Shape 120" o:spid="_x0000_s1026" type="#_x0000_t32" style="position:absolute;margin-left:41.8pt;margin-top:33pt;width:343.2pt;height:0;z-index:-251628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" strokeweight="1pt">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58B8" w14:textId="77777777" w:rsidR="0072615D" w:rsidRDefault="0072615D">
    <w:pPr>
      <w:spacing w:line="1" w:lineRule="exact"/>
    </w:pPr>
    <w:r>
      <w:rPr>
        <w:noProof/>
      </w:rPr>
      <mc:AlternateContent>
        <mc:Choice Requires="wps">
          <w:drawing>
            <wp:anchor distT="0" distB="0" distL="0" distR="0" simplePos="0" relativeHeight="251824128" behindDoc="1" locked="0" layoutInCell="1" allowOverlap="1" wp14:anchorId="60F4959A" wp14:editId="221C1E99">
              <wp:simplePos x="0" y="0"/>
              <wp:positionH relativeFrom="page">
                <wp:posOffset>2211705</wp:posOffset>
              </wp:positionH>
              <wp:positionV relativeFrom="page">
                <wp:posOffset>295910</wp:posOffset>
              </wp:positionV>
              <wp:extent cx="2642870" cy="85090"/>
              <wp:effectExtent l="0" t="0" r="0" b="0"/>
              <wp:wrapNone/>
              <wp:docPr id="124" name="Shape 124"/>
              <wp:cNvGraphicFramePr/>
              <a:graphic xmlns:a="http://schemas.openxmlformats.org/drawingml/2006/main">
                <a:graphicData uri="http://schemas.microsoft.com/office/word/2010/wordprocessingShape">
                  <wps:wsp>
                    <wps:cNvSpPr txBox="1"/>
                    <wps:spPr>
                      <a:xfrm>
                        <a:off x="0" y="0"/>
                        <a:ext cx="2642870" cy="85090"/>
                      </a:xfrm>
                      <a:prstGeom prst="rect">
                        <a:avLst/>
                      </a:prstGeom>
                      <a:noFill/>
                    </wps:spPr>
                    <wps:txbx>
                      <w:txbxContent>
                        <w:p w14:paraId="65FC1902" w14:textId="77777777" w:rsidR="0072615D" w:rsidRDefault="0072615D">
                          <w:pPr>
                            <w:pStyle w:val="Headerorfooter0"/>
                            <w:tabs>
                              <w:tab w:val="right" w:pos="4162"/>
                            </w:tabs>
                            <w:rPr>
                              <w:sz w:val="16"/>
                              <w:szCs w:val="16"/>
                            </w:rPr>
                          </w:pPr>
                          <w:r>
                            <w:t>INMUNIZACIÓN ACTIVA</w:t>
                          </w:r>
                          <w:r>
                            <w:tab/>
                          </w:r>
                          <w:r>
                            <w:rPr>
                              <w:sz w:val="16"/>
                              <w:szCs w:val="16"/>
                            </w:rPr>
                            <w:t>35</w:t>
                          </w:r>
                        </w:p>
                      </w:txbxContent>
                    </wps:txbx>
                    <wps:bodyPr lIns="0" tIns="0" rIns="0" bIns="0">
                      <a:spAutoFit/>
                    </wps:bodyPr>
                  </wps:wsp>
                </a:graphicData>
              </a:graphic>
            </wp:anchor>
          </w:drawing>
        </mc:Choice>
        <mc:Fallback>
          <w:pict>
            <v:shapetype w14:anchorId="60F4959A" id="_x0000_t202" coordsize="21600,21600" o:spt="202" path="m,l,21600r21600,l21600,xe">
              <v:stroke joinstyle="miter"/>
              <v:path gradientshapeok="t" o:connecttype="rect"/>
            </v:shapetype>
            <v:shape id="Shape 124" o:spid="_x0000_s1093" type="#_x0000_t202" style="position:absolute;margin-left:174.15pt;margin-top:23.3pt;width:208.1pt;height:6.7pt;z-index:-2514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" filled="f" stroked="f">
              <v:textbox style="mso-fit-shape-to-text:t" inset="0,0,0,0">
                <w:txbxContent>
                  <w:p w14:paraId="65FC1902" w14:textId="77777777" w:rsidR="0072615D" w:rsidRDefault="0072615D">
                    <w:pPr>
                      <w:pStyle w:val="Headerorfooter0"/>
                      <w:tabs>
                        <w:tab w:val="right" w:pos="4162"/>
                      </w:tabs>
                      <w:rPr>
                        <w:sz w:val="16"/>
                        <w:szCs w:val="16"/>
                      </w:rPr>
                    </w:pPr>
                    <w:r>
                      <w:t>INMUNIZACIÓN ACTIVA</w:t>
                    </w:r>
                    <w:r>
                      <w:tab/>
                    </w:r>
                    <w:r>
                      <w:rPr>
                        <w:sz w:val="16"/>
                        <w:szCs w:val="16"/>
                      </w:rPr>
                      <w:t>35</w:t>
                    </w:r>
                  </w:p>
                </w:txbxContent>
              </v:textbox>
              <w10:wrap anchorx="page" anchory="page"/>
            </v:shape>
          </w:pict>
        </mc:Fallback>
      </mc:AlternateContent>
    </w:r>
    <w:r>
      <w:rPr>
        <w:noProof/>
      </w:rPr>
      <mc:AlternateContent>
        <mc:Choice Requires="wps">
          <w:drawing>
            <wp:anchor distT="0" distB="0" distL="114300" distR="114300" simplePos="0" relativeHeight="251689984" behindDoc="1" locked="0" layoutInCell="1" allowOverlap="1" wp14:anchorId="2BCE8B68" wp14:editId="2DC6D49F">
              <wp:simplePos x="0" y="0"/>
              <wp:positionH relativeFrom="page">
                <wp:posOffset>516890</wp:posOffset>
              </wp:positionH>
              <wp:positionV relativeFrom="page">
                <wp:posOffset>419100</wp:posOffset>
              </wp:positionV>
              <wp:extent cx="4358640" cy="0"/>
              <wp:effectExtent l="0" t="0" r="0" b="0"/>
              <wp:wrapNone/>
              <wp:docPr id="126" name="Shape 1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B05EBE6" id="_x0000_t32" coordsize="21600,21600" o:spt="32" o:oned="t" path="m,l21600,21600e" filled="f">
              <v:path arrowok="t" fillok="f" o:connecttype="none"/>
              <o:lock v:ext="edit" shapetype="t"/>
            </v:shapetype>
            <v:shape id="Shape 126" o:spid="_x0000_s1026" type="#_x0000_t32" style="position:absolute;margin-left:40.7pt;margin-top:33pt;width:343.2pt;height:0;z-index:-251626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KA5&#10;HTvaAAAACAEAAA8AAAAAAAAAAAAAAAAAwgMAAGRycy9kb3ducmV2LnhtbFBLBQYAAAAABAAEAPMA&#10;AADJBAAAAAA=&#10;" strokeweight="1pt">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ED45" w14:textId="77777777" w:rsidR="0072615D" w:rsidRDefault="0072615D">
    <w:pPr>
      <w:spacing w:line="1" w:lineRule="exact"/>
    </w:pPr>
    <w:r>
      <w:rPr>
        <w:noProof/>
      </w:rPr>
      <mc:AlternateContent>
        <mc:Choice Requires="wps">
          <w:drawing>
            <wp:anchor distT="0" distB="0" distL="0" distR="0" simplePos="0" relativeHeight="251823104" behindDoc="1" locked="0" layoutInCell="1" allowOverlap="1" wp14:anchorId="3FD7A84F" wp14:editId="4F60C2A7">
              <wp:simplePos x="0" y="0"/>
              <wp:positionH relativeFrom="page">
                <wp:posOffset>546100</wp:posOffset>
              </wp:positionH>
              <wp:positionV relativeFrom="page">
                <wp:posOffset>295910</wp:posOffset>
              </wp:positionV>
              <wp:extent cx="2654935" cy="85090"/>
              <wp:effectExtent l="0" t="0" r="0" b="0"/>
              <wp:wrapNone/>
              <wp:docPr id="121" name="Shape 121"/>
              <wp:cNvGraphicFramePr/>
              <a:graphic xmlns:a="http://schemas.openxmlformats.org/drawingml/2006/main">
                <a:graphicData uri="http://schemas.microsoft.com/office/word/2010/wordprocessingShape">
                  <wps:wsp>
                    <wps:cNvSpPr txBox="1"/>
                    <wps:spPr>
                      <a:xfrm>
                        <a:off x="0" y="0"/>
                        <a:ext cx="2654935" cy="85090"/>
                      </a:xfrm>
                      <a:prstGeom prst="rect">
                        <a:avLst/>
                      </a:prstGeom>
                      <a:noFill/>
                    </wps:spPr>
                    <wps:txbx>
                      <w:txbxContent>
                        <w:p w14:paraId="3E41F532" w14:textId="77777777" w:rsidR="0072615D" w:rsidRDefault="0072615D">
                          <w:pPr>
                            <w:pStyle w:val="Headerorfooter0"/>
                            <w:tabs>
                              <w:tab w:val="right" w:pos="4181"/>
                            </w:tabs>
                          </w:pPr>
                          <w:r>
                            <w:rPr>
                              <w:sz w:val="16"/>
                              <w:szCs w:val="16"/>
                            </w:rPr>
                            <w:t>34</w:t>
                          </w:r>
                          <w:r>
                            <w:rPr>
                              <w:sz w:val="16"/>
                              <w:szCs w:val="16"/>
                            </w:rPr>
                            <w:tab/>
                          </w:r>
                          <w:r>
                            <w:t>INMUNIZACIÓN ACTIVA</w:t>
                          </w:r>
                        </w:p>
                      </w:txbxContent>
                    </wps:txbx>
                    <wps:bodyPr lIns="0" tIns="0" rIns="0" bIns="0">
                      <a:spAutoFit/>
                    </wps:bodyPr>
                  </wps:wsp>
                </a:graphicData>
              </a:graphic>
            </wp:anchor>
          </w:drawing>
        </mc:Choice>
        <mc:Fallback>
          <w:pict>
            <v:shapetype w14:anchorId="3FD7A84F" id="_x0000_t202" coordsize="21600,21600" o:spt="202" path="m,l,21600r21600,l21600,xe">
              <v:stroke joinstyle="miter"/>
              <v:path gradientshapeok="t" o:connecttype="rect"/>
            </v:shapetype>
            <v:shape id="Shape 121" o:spid="_x0000_s1094" type="#_x0000_t202" style="position:absolute;margin-left:43pt;margin-top:23.3pt;width:209.05pt;height:6.7pt;z-index:-251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" filled="f" stroked="f">
              <v:textbox style="mso-fit-shape-to-text:t" inset="0,0,0,0">
                <w:txbxContent>
                  <w:p w14:paraId="3E41F532" w14:textId="77777777" w:rsidR="0072615D" w:rsidRDefault="0072615D">
                    <w:pPr>
                      <w:pStyle w:val="Headerorfooter0"/>
                      <w:tabs>
                        <w:tab w:val="right" w:pos="4181"/>
                      </w:tabs>
                    </w:pPr>
                    <w:r>
                      <w:rPr>
                        <w:sz w:val="16"/>
                        <w:szCs w:val="16"/>
                      </w:rPr>
                      <w:t>34</w:t>
                    </w:r>
                    <w:r>
                      <w:rPr>
                        <w:sz w:val="16"/>
                        <w:szCs w:val="16"/>
                      </w:rPr>
                      <w:tab/>
                    </w:r>
                    <w:r>
                      <w:t>INMUNIZACIÓN ACTIVA</w:t>
                    </w:r>
                  </w:p>
                </w:txbxContent>
              </v:textbox>
              <w10:wrap anchorx="page" anchory="page"/>
            </v:shape>
          </w:pict>
        </mc:Fallback>
      </mc:AlternateContent>
    </w:r>
    <w:r>
      <w:rPr>
        <w:noProof/>
      </w:rPr>
      <mc:AlternateContent>
        <mc:Choice Requires="wps">
          <w:drawing>
            <wp:anchor distT="0" distB="0" distL="114300" distR="114300" simplePos="0" relativeHeight="251688960" behindDoc="1" locked="0" layoutInCell="1" allowOverlap="1" wp14:anchorId="4E186658" wp14:editId="191B2A78">
              <wp:simplePos x="0" y="0"/>
              <wp:positionH relativeFrom="page">
                <wp:posOffset>530860</wp:posOffset>
              </wp:positionH>
              <wp:positionV relativeFrom="page">
                <wp:posOffset>419100</wp:posOffset>
              </wp:positionV>
              <wp:extent cx="4358640" cy="0"/>
              <wp:effectExtent l="0" t="0" r="0" b="0"/>
              <wp:wrapNone/>
              <wp:docPr id="123" name="Shape 1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9D314C7" id="_x0000_t32" coordsize="21600,21600" o:spt="32" o:oned="t" path="m,l21600,21600e" filled="f">
              <v:path arrowok="t" fillok="f" o:connecttype="none"/>
              <o:lock v:ext="edit" shapetype="t"/>
            </v:shapetype>
            <v:shape id="Shape 123" o:spid="_x0000_s1026" type="#_x0000_t32" style="position:absolute;margin-left:41.8pt;margin-top:33pt;width:343.2pt;height:0;z-index:-251627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" strokeweight="1pt">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57B9" w14:textId="77777777" w:rsidR="0072615D" w:rsidRDefault="0072615D">
    <w:pPr>
      <w:spacing w:line="1" w:lineRule="exact"/>
    </w:pPr>
    <w:r>
      <w:rPr>
        <w:noProof/>
      </w:rPr>
      <mc:AlternateContent>
        <mc:Choice Requires="wps">
          <w:drawing>
            <wp:anchor distT="0" distB="0" distL="0" distR="0" simplePos="0" relativeHeight="251826176" behindDoc="1" locked="0" layoutInCell="1" allowOverlap="1" wp14:anchorId="4238F1AB" wp14:editId="1D9C102E">
              <wp:simplePos x="0" y="0"/>
              <wp:positionH relativeFrom="page">
                <wp:posOffset>546100</wp:posOffset>
              </wp:positionH>
              <wp:positionV relativeFrom="page">
                <wp:posOffset>295910</wp:posOffset>
              </wp:positionV>
              <wp:extent cx="2654935" cy="85090"/>
              <wp:effectExtent l="0" t="0" r="0" b="0"/>
              <wp:wrapNone/>
              <wp:docPr id="130" name="Shape 130"/>
              <wp:cNvGraphicFramePr/>
              <a:graphic xmlns:a="http://schemas.openxmlformats.org/drawingml/2006/main">
                <a:graphicData uri="http://schemas.microsoft.com/office/word/2010/wordprocessingShape">
                  <wps:wsp>
                    <wps:cNvSpPr txBox="1"/>
                    <wps:spPr>
                      <a:xfrm>
                        <a:off x="0" y="0"/>
                        <a:ext cx="2654935" cy="85090"/>
                      </a:xfrm>
                      <a:prstGeom prst="rect">
                        <a:avLst/>
                      </a:prstGeom>
                      <a:noFill/>
                    </wps:spPr>
                    <wps:txbx>
                      <w:txbxContent>
                        <w:p w14:paraId="56E3193F" w14:textId="77777777" w:rsidR="0072615D" w:rsidRDefault="0072615D">
                          <w:pPr>
                            <w:pStyle w:val="Headerorfooter0"/>
                            <w:tabs>
                              <w:tab w:val="right" w:pos="4181"/>
                            </w:tabs>
                          </w:pPr>
                          <w:r>
                            <w:rPr>
                              <w:sz w:val="16"/>
                              <w:szCs w:val="16"/>
                            </w:rPr>
                            <w:t>34</w:t>
                          </w:r>
                          <w:r>
                            <w:rPr>
                              <w:sz w:val="16"/>
                              <w:szCs w:val="16"/>
                            </w:rPr>
                            <w:tab/>
                          </w:r>
                          <w:r>
                            <w:t>INMUNIZACIÓN ACTIVA</w:t>
                          </w:r>
                        </w:p>
                      </w:txbxContent>
                    </wps:txbx>
                    <wps:bodyPr lIns="0" tIns="0" rIns="0" bIns="0">
                      <a:spAutoFit/>
                    </wps:bodyPr>
                  </wps:wsp>
                </a:graphicData>
              </a:graphic>
            </wp:anchor>
          </w:drawing>
        </mc:Choice>
        <mc:Fallback>
          <w:pict>
            <v:shapetype w14:anchorId="4238F1AB" id="_x0000_t202" coordsize="21600,21600" o:spt="202" path="m,l,21600r21600,l21600,xe">
              <v:stroke joinstyle="miter"/>
              <v:path gradientshapeok="t" o:connecttype="rect"/>
            </v:shapetype>
            <v:shape id="Shape 130" o:spid="_x0000_s1095" type="#_x0000_t202" style="position:absolute;margin-left:43pt;margin-top:23.3pt;width:209.05pt;height:6.7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" filled="f" stroked="f">
              <v:textbox style="mso-fit-shape-to-text:t" inset="0,0,0,0">
                <w:txbxContent>
                  <w:p w14:paraId="56E3193F" w14:textId="77777777" w:rsidR="0072615D" w:rsidRDefault="0072615D">
                    <w:pPr>
                      <w:pStyle w:val="Headerorfooter0"/>
                      <w:tabs>
                        <w:tab w:val="right" w:pos="4181"/>
                      </w:tabs>
                    </w:pPr>
                    <w:r>
                      <w:rPr>
                        <w:sz w:val="16"/>
                        <w:szCs w:val="16"/>
                      </w:rPr>
                      <w:t>34</w:t>
                    </w:r>
                    <w:r>
                      <w:rPr>
                        <w:sz w:val="16"/>
                        <w:szCs w:val="16"/>
                      </w:rPr>
                      <w:tab/>
                    </w:r>
                    <w:r>
                      <w:t>INMUNIZACIÓN ACTIVA</w:t>
                    </w:r>
                  </w:p>
                </w:txbxContent>
              </v:textbox>
              <w10:wrap anchorx="page" anchory="page"/>
            </v:shape>
          </w:pict>
        </mc:Fallback>
      </mc:AlternateContent>
    </w:r>
    <w:r>
      <w:rPr>
        <w:noProof/>
      </w:rPr>
      <mc:AlternateContent>
        <mc:Choice Requires="wps">
          <w:drawing>
            <wp:anchor distT="0" distB="0" distL="114300" distR="114300" simplePos="0" relativeHeight="251692032" behindDoc="1" locked="0" layoutInCell="1" allowOverlap="1" wp14:anchorId="07256D23" wp14:editId="41D88293">
              <wp:simplePos x="0" y="0"/>
              <wp:positionH relativeFrom="page">
                <wp:posOffset>530860</wp:posOffset>
              </wp:positionH>
              <wp:positionV relativeFrom="page">
                <wp:posOffset>419100</wp:posOffset>
              </wp:positionV>
              <wp:extent cx="4358640" cy="0"/>
              <wp:effectExtent l="0" t="0" r="0" b="0"/>
              <wp:wrapNone/>
              <wp:docPr id="132" name="Shape 13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3D4D991" id="_x0000_t32" coordsize="21600,21600" o:spt="32" o:oned="t" path="m,l21600,21600e" filled="f">
              <v:path arrowok="t" fillok="f" o:connecttype="none"/>
              <o:lock v:ext="edit" shapetype="t"/>
            </v:shapetype>
            <v:shape id="Shape 132" o:spid="_x0000_s1026" type="#_x0000_t32" style="position:absolute;margin-left:41.8pt;margin-top:33pt;width:343.2pt;height:0;z-index:-251624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" strokeweight="1pt">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B98A" w14:textId="77777777" w:rsidR="0072615D" w:rsidRDefault="0072615D">
    <w:pPr>
      <w:spacing w:line="1" w:lineRule="exact"/>
    </w:pPr>
    <w:r>
      <w:rPr>
        <w:noProof/>
      </w:rPr>
      <mc:AlternateContent>
        <mc:Choice Requires="wps">
          <w:drawing>
            <wp:anchor distT="0" distB="0" distL="0" distR="0" simplePos="0" relativeHeight="251825152" behindDoc="1" locked="0" layoutInCell="1" allowOverlap="1" wp14:anchorId="2A161759" wp14:editId="2C8A71EC">
              <wp:simplePos x="0" y="0"/>
              <wp:positionH relativeFrom="page">
                <wp:posOffset>2211705</wp:posOffset>
              </wp:positionH>
              <wp:positionV relativeFrom="page">
                <wp:posOffset>295910</wp:posOffset>
              </wp:positionV>
              <wp:extent cx="2642870" cy="85090"/>
              <wp:effectExtent l="0" t="0" r="0" b="0"/>
              <wp:wrapNone/>
              <wp:docPr id="127" name="Shape 127"/>
              <wp:cNvGraphicFramePr/>
              <a:graphic xmlns:a="http://schemas.openxmlformats.org/drawingml/2006/main">
                <a:graphicData uri="http://schemas.microsoft.com/office/word/2010/wordprocessingShape">
                  <wps:wsp>
                    <wps:cNvSpPr txBox="1"/>
                    <wps:spPr>
                      <a:xfrm>
                        <a:off x="0" y="0"/>
                        <a:ext cx="2642870" cy="85090"/>
                      </a:xfrm>
                      <a:prstGeom prst="rect">
                        <a:avLst/>
                      </a:prstGeom>
                      <a:noFill/>
                    </wps:spPr>
                    <wps:txbx>
                      <w:txbxContent>
                        <w:p w14:paraId="4D2EAFA4" w14:textId="77777777" w:rsidR="0072615D" w:rsidRDefault="0072615D">
                          <w:pPr>
                            <w:pStyle w:val="Headerorfooter0"/>
                            <w:tabs>
                              <w:tab w:val="right" w:pos="4162"/>
                            </w:tabs>
                            <w:rPr>
                              <w:sz w:val="16"/>
                              <w:szCs w:val="16"/>
                            </w:rPr>
                          </w:pPr>
                          <w:r>
                            <w:t>INMUNIZACIÓN ACTIVA</w:t>
                          </w:r>
                          <w:r>
                            <w:tab/>
                          </w:r>
                          <w:r>
                            <w:rPr>
                              <w:sz w:val="16"/>
                              <w:szCs w:val="16"/>
                            </w:rPr>
                            <w:t>35</w:t>
                          </w:r>
                        </w:p>
                      </w:txbxContent>
                    </wps:txbx>
                    <wps:bodyPr lIns="0" tIns="0" rIns="0" bIns="0">
                      <a:spAutoFit/>
                    </wps:bodyPr>
                  </wps:wsp>
                </a:graphicData>
              </a:graphic>
            </wp:anchor>
          </w:drawing>
        </mc:Choice>
        <mc:Fallback>
          <w:pict>
            <v:shapetype w14:anchorId="2A161759" id="_x0000_t202" coordsize="21600,21600" o:spt="202" path="m,l,21600r21600,l21600,xe">
              <v:stroke joinstyle="miter"/>
              <v:path gradientshapeok="t" o:connecttype="rect"/>
            </v:shapetype>
            <v:shape id="Shape 127" o:spid="_x0000_s1096" type="#_x0000_t202" style="position:absolute;margin-left:174.15pt;margin-top:23.3pt;width:208.1pt;height:6.7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" filled="f" stroked="f">
              <v:textbox style="mso-fit-shape-to-text:t" inset="0,0,0,0">
                <w:txbxContent>
                  <w:p w14:paraId="4D2EAFA4" w14:textId="77777777" w:rsidR="0072615D" w:rsidRDefault="0072615D">
                    <w:pPr>
                      <w:pStyle w:val="Headerorfooter0"/>
                      <w:tabs>
                        <w:tab w:val="right" w:pos="4162"/>
                      </w:tabs>
                      <w:rPr>
                        <w:sz w:val="16"/>
                        <w:szCs w:val="16"/>
                      </w:rPr>
                    </w:pPr>
                    <w:r>
                      <w:t>INMUNIZACIÓN ACTIVA</w:t>
                    </w:r>
                    <w:r>
                      <w:tab/>
                    </w:r>
                    <w:r>
                      <w:rPr>
                        <w:sz w:val="16"/>
                        <w:szCs w:val="16"/>
                      </w:rPr>
                      <w:t>35</w:t>
                    </w:r>
                  </w:p>
                </w:txbxContent>
              </v:textbox>
              <w10:wrap anchorx="page" anchory="page"/>
            </v:shape>
          </w:pict>
        </mc:Fallback>
      </mc:AlternateContent>
    </w:r>
    <w:r>
      <w:rPr>
        <w:noProof/>
      </w:rPr>
      <mc:AlternateContent>
        <mc:Choice Requires="wps">
          <w:drawing>
            <wp:anchor distT="0" distB="0" distL="114300" distR="114300" simplePos="0" relativeHeight="251691008" behindDoc="1" locked="0" layoutInCell="1" allowOverlap="1" wp14:anchorId="5641343D" wp14:editId="1E7DE945">
              <wp:simplePos x="0" y="0"/>
              <wp:positionH relativeFrom="page">
                <wp:posOffset>516890</wp:posOffset>
              </wp:positionH>
              <wp:positionV relativeFrom="page">
                <wp:posOffset>419100</wp:posOffset>
              </wp:positionV>
              <wp:extent cx="4358640" cy="0"/>
              <wp:effectExtent l="0" t="0" r="0" b="0"/>
              <wp:wrapNone/>
              <wp:docPr id="129" name="Shape 12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190FCCE" id="_x0000_t32" coordsize="21600,21600" o:spt="32" o:oned="t" path="m,l21600,21600e" filled="f">
              <v:path arrowok="t" fillok="f" o:connecttype="none"/>
              <o:lock v:ext="edit" shapetype="t"/>
            </v:shapetype>
            <v:shape id="Shape 129" o:spid="_x0000_s1026" type="#_x0000_t32" style="position:absolute;margin-left:40.7pt;margin-top:33pt;width:343.2pt;height:0;z-index:-251625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KA5&#10;HTvaAAAACAEAAA8AAAAAAAAAAAAAAAAAwgMAAGRycy9kb3ducmV2LnhtbFBLBQYAAAAABAAEAPMA&#10;AADJBAAAAAA=&#10;" strokeweight="1pt">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C4B1" w14:textId="77777777" w:rsidR="0072615D" w:rsidRDefault="0072615D">
    <w:pPr>
      <w:spacing w:line="1" w:lineRule="exact"/>
    </w:pPr>
    <w:r>
      <w:rPr>
        <w:noProof/>
      </w:rPr>
      <mc:AlternateContent>
        <mc:Choice Requires="wps">
          <w:drawing>
            <wp:anchor distT="0" distB="0" distL="0" distR="0" simplePos="0" relativeHeight="251828224" behindDoc="1" locked="0" layoutInCell="1" allowOverlap="1" wp14:anchorId="5F6ABF20" wp14:editId="1D331E45">
              <wp:simplePos x="0" y="0"/>
              <wp:positionH relativeFrom="page">
                <wp:posOffset>2211705</wp:posOffset>
              </wp:positionH>
              <wp:positionV relativeFrom="page">
                <wp:posOffset>295910</wp:posOffset>
              </wp:positionV>
              <wp:extent cx="2642870" cy="85090"/>
              <wp:effectExtent l="0" t="0" r="0" b="0"/>
              <wp:wrapNone/>
              <wp:docPr id="140" name="Shape 140"/>
              <wp:cNvGraphicFramePr/>
              <a:graphic xmlns:a="http://schemas.openxmlformats.org/drawingml/2006/main">
                <a:graphicData uri="http://schemas.microsoft.com/office/word/2010/wordprocessingShape">
                  <wps:wsp>
                    <wps:cNvSpPr txBox="1"/>
                    <wps:spPr>
                      <a:xfrm>
                        <a:off x="0" y="0"/>
                        <a:ext cx="2642870" cy="85090"/>
                      </a:xfrm>
                      <a:prstGeom prst="rect">
                        <a:avLst/>
                      </a:prstGeom>
                      <a:noFill/>
                    </wps:spPr>
                    <wps:txbx>
                      <w:txbxContent>
                        <w:p w14:paraId="2B1F139E" w14:textId="77777777" w:rsidR="0072615D" w:rsidRDefault="0072615D">
                          <w:pPr>
                            <w:pStyle w:val="Headerorfooter0"/>
                            <w:tabs>
                              <w:tab w:val="right" w:pos="4162"/>
                            </w:tabs>
                            <w:rPr>
                              <w:sz w:val="16"/>
                              <w:szCs w:val="16"/>
                            </w:rPr>
                          </w:pPr>
                          <w:r>
                            <w:t>INMUNIZACIÓN ACTIVA</w:t>
                          </w:r>
                          <w:r>
                            <w:tab/>
                          </w:r>
                          <w:r>
                            <w:rPr>
                              <w:sz w:val="16"/>
                              <w:szCs w:val="16"/>
                            </w:rPr>
                            <w:t>35</w:t>
                          </w:r>
                        </w:p>
                      </w:txbxContent>
                    </wps:txbx>
                    <wps:bodyPr lIns="0" tIns="0" rIns="0" bIns="0">
                      <a:spAutoFit/>
                    </wps:bodyPr>
                  </wps:wsp>
                </a:graphicData>
              </a:graphic>
            </wp:anchor>
          </w:drawing>
        </mc:Choice>
        <mc:Fallback>
          <w:pict>
            <v:shapetype w14:anchorId="5F6ABF20" id="_x0000_t202" coordsize="21600,21600" o:spt="202" path="m,l,21600r21600,l21600,xe">
              <v:stroke joinstyle="miter"/>
              <v:path gradientshapeok="t" o:connecttype="rect"/>
            </v:shapetype>
            <v:shape id="Shape 140" o:spid="_x0000_s1097" type="#_x0000_t202" style="position:absolute;margin-left:174.15pt;margin-top:23.3pt;width:208.1pt;height:6.7pt;z-index:-251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" filled="f" stroked="f">
              <v:textbox style="mso-fit-shape-to-text:t" inset="0,0,0,0">
                <w:txbxContent>
                  <w:p w14:paraId="2B1F139E" w14:textId="77777777" w:rsidR="0072615D" w:rsidRDefault="0072615D">
                    <w:pPr>
                      <w:pStyle w:val="Headerorfooter0"/>
                      <w:tabs>
                        <w:tab w:val="right" w:pos="4162"/>
                      </w:tabs>
                      <w:rPr>
                        <w:sz w:val="16"/>
                        <w:szCs w:val="16"/>
                      </w:rPr>
                    </w:pPr>
                    <w:r>
                      <w:t>INMUNIZACIÓN ACTIVA</w:t>
                    </w:r>
                    <w:r>
                      <w:tab/>
                    </w:r>
                    <w:r>
                      <w:rPr>
                        <w:sz w:val="16"/>
                        <w:szCs w:val="16"/>
                      </w:rPr>
                      <w:t>35</w:t>
                    </w:r>
                  </w:p>
                </w:txbxContent>
              </v:textbox>
              <w10:wrap anchorx="page" anchory="page"/>
            </v:shape>
          </w:pict>
        </mc:Fallback>
      </mc:AlternateContent>
    </w:r>
    <w:r>
      <w:rPr>
        <w:noProof/>
      </w:rPr>
      <mc:AlternateContent>
        <mc:Choice Requires="wps">
          <w:drawing>
            <wp:anchor distT="0" distB="0" distL="114300" distR="114300" simplePos="0" relativeHeight="251694080" behindDoc="1" locked="0" layoutInCell="1" allowOverlap="1" wp14:anchorId="4D1D0945" wp14:editId="6DF96B7D">
              <wp:simplePos x="0" y="0"/>
              <wp:positionH relativeFrom="page">
                <wp:posOffset>516890</wp:posOffset>
              </wp:positionH>
              <wp:positionV relativeFrom="page">
                <wp:posOffset>419100</wp:posOffset>
              </wp:positionV>
              <wp:extent cx="4358640" cy="0"/>
              <wp:effectExtent l="0" t="0" r="0" b="0"/>
              <wp:wrapNone/>
              <wp:docPr id="142" name="Shape 14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4F4FCEC" id="_x0000_t32" coordsize="21600,21600" o:spt="32" o:oned="t" path="m,l21600,21600e" filled="f">
              <v:path arrowok="t" fillok="f" o:connecttype="none"/>
              <o:lock v:ext="edit" shapetype="t"/>
            </v:shapetype>
            <v:shape id="Shape 142" o:spid="_x0000_s1026" type="#_x0000_t32" style="position:absolute;margin-left:40.7pt;margin-top:33pt;width:343.2pt;height:0;z-index:-251622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" strokeweight="1pt">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4EAA" w14:textId="77777777" w:rsidR="0072615D" w:rsidRDefault="0072615D">
    <w:pPr>
      <w:spacing w:line="1" w:lineRule="exact"/>
    </w:pPr>
    <w:r>
      <w:rPr>
        <w:noProof/>
      </w:rPr>
      <mc:AlternateContent>
        <mc:Choice Requires="wps">
          <w:drawing>
            <wp:anchor distT="0" distB="0" distL="0" distR="0" simplePos="0" relativeHeight="251827200" behindDoc="1" locked="0" layoutInCell="1" allowOverlap="1" wp14:anchorId="149D88EF" wp14:editId="7A9AE94D">
              <wp:simplePos x="0" y="0"/>
              <wp:positionH relativeFrom="page">
                <wp:posOffset>546100</wp:posOffset>
              </wp:positionH>
              <wp:positionV relativeFrom="page">
                <wp:posOffset>295910</wp:posOffset>
              </wp:positionV>
              <wp:extent cx="2654935" cy="85090"/>
              <wp:effectExtent l="0" t="0" r="0" b="0"/>
              <wp:wrapNone/>
              <wp:docPr id="137" name="Shape 137"/>
              <wp:cNvGraphicFramePr/>
              <a:graphic xmlns:a="http://schemas.openxmlformats.org/drawingml/2006/main">
                <a:graphicData uri="http://schemas.microsoft.com/office/word/2010/wordprocessingShape">
                  <wps:wsp>
                    <wps:cNvSpPr txBox="1"/>
                    <wps:spPr>
                      <a:xfrm>
                        <a:off x="0" y="0"/>
                        <a:ext cx="2654935" cy="85090"/>
                      </a:xfrm>
                      <a:prstGeom prst="rect">
                        <a:avLst/>
                      </a:prstGeom>
                      <a:noFill/>
                    </wps:spPr>
                    <wps:txbx>
                      <w:txbxContent>
                        <w:p w14:paraId="5AD522B9" w14:textId="77777777" w:rsidR="0072615D" w:rsidRDefault="0072615D">
                          <w:pPr>
                            <w:pStyle w:val="Headerorfooter0"/>
                            <w:tabs>
                              <w:tab w:val="right" w:pos="4181"/>
                            </w:tabs>
                          </w:pPr>
                          <w:r>
                            <w:rPr>
                              <w:sz w:val="16"/>
                              <w:szCs w:val="16"/>
                            </w:rPr>
                            <w:t>34</w:t>
                          </w:r>
                          <w:r>
                            <w:rPr>
                              <w:sz w:val="16"/>
                              <w:szCs w:val="16"/>
                            </w:rPr>
                            <w:tab/>
                          </w:r>
                          <w:r>
                            <w:t>INMUNIZACIÓN ACTIVA</w:t>
                          </w:r>
                        </w:p>
                      </w:txbxContent>
                    </wps:txbx>
                    <wps:bodyPr lIns="0" tIns="0" rIns="0" bIns="0">
                      <a:spAutoFit/>
                    </wps:bodyPr>
                  </wps:wsp>
                </a:graphicData>
              </a:graphic>
            </wp:anchor>
          </w:drawing>
        </mc:Choice>
        <mc:Fallback>
          <w:pict>
            <v:shapetype w14:anchorId="149D88EF" id="_x0000_t202" coordsize="21600,21600" o:spt="202" path="m,l,21600r21600,l21600,xe">
              <v:stroke joinstyle="miter"/>
              <v:path gradientshapeok="t" o:connecttype="rect"/>
            </v:shapetype>
            <v:shape id="Shape 137" o:spid="_x0000_s1098" type="#_x0000_t202" style="position:absolute;margin-left:43pt;margin-top:23.3pt;width:209.05pt;height:6.7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" filled="f" stroked="f">
              <v:textbox style="mso-fit-shape-to-text:t" inset="0,0,0,0">
                <w:txbxContent>
                  <w:p w14:paraId="5AD522B9" w14:textId="77777777" w:rsidR="0072615D" w:rsidRDefault="0072615D">
                    <w:pPr>
                      <w:pStyle w:val="Headerorfooter0"/>
                      <w:tabs>
                        <w:tab w:val="right" w:pos="4181"/>
                      </w:tabs>
                    </w:pPr>
                    <w:r>
                      <w:rPr>
                        <w:sz w:val="16"/>
                        <w:szCs w:val="16"/>
                      </w:rPr>
                      <w:t>34</w:t>
                    </w:r>
                    <w:r>
                      <w:rPr>
                        <w:sz w:val="16"/>
                        <w:szCs w:val="16"/>
                      </w:rPr>
                      <w:tab/>
                    </w:r>
                    <w:r>
                      <w:t>INMUNIZACIÓN ACTIVA</w:t>
                    </w:r>
                  </w:p>
                </w:txbxContent>
              </v:textbox>
              <w10:wrap anchorx="page" anchory="page"/>
            </v:shape>
          </w:pict>
        </mc:Fallback>
      </mc:AlternateContent>
    </w:r>
    <w:r>
      <w:rPr>
        <w:noProof/>
      </w:rPr>
      <mc:AlternateContent>
        <mc:Choice Requires="wps">
          <w:drawing>
            <wp:anchor distT="0" distB="0" distL="114300" distR="114300" simplePos="0" relativeHeight="251693056" behindDoc="1" locked="0" layoutInCell="1" allowOverlap="1" wp14:anchorId="23F51CD2" wp14:editId="0D5F62DC">
              <wp:simplePos x="0" y="0"/>
              <wp:positionH relativeFrom="page">
                <wp:posOffset>530860</wp:posOffset>
              </wp:positionH>
              <wp:positionV relativeFrom="page">
                <wp:posOffset>419100</wp:posOffset>
              </wp:positionV>
              <wp:extent cx="4358640" cy="0"/>
              <wp:effectExtent l="0" t="0" r="0" b="0"/>
              <wp:wrapNone/>
              <wp:docPr id="139" name="Shape 13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4963F0E" id="_x0000_t32" coordsize="21600,21600" o:spt="32" o:oned="t" path="m,l21600,21600e" filled="f">
              <v:path arrowok="t" fillok="f" o:connecttype="none"/>
              <o:lock v:ext="edit" shapetype="t"/>
            </v:shapetype>
            <v:shape id="Shape 139" o:spid="_x0000_s1026" type="#_x0000_t32" style="position:absolute;margin-left:41.8pt;margin-top:33pt;width:343.2pt;height:0;z-index:-251623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" strokeweight="1pt">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D417" w14:textId="77777777" w:rsidR="0072615D" w:rsidRDefault="0072615D">
    <w:pPr>
      <w:spacing w:line="1" w:lineRule="exact"/>
    </w:pPr>
    <w:r>
      <w:rPr>
        <w:noProof/>
      </w:rPr>
      <mc:AlternateContent>
        <mc:Choice Requires="wps">
          <w:drawing>
            <wp:anchor distT="0" distB="0" distL="0" distR="0" simplePos="0" relativeHeight="251830272" behindDoc="1" locked="0" layoutInCell="1" allowOverlap="1" wp14:anchorId="1F6038BD" wp14:editId="496D6195">
              <wp:simplePos x="0" y="0"/>
              <wp:positionH relativeFrom="page">
                <wp:posOffset>2186940</wp:posOffset>
              </wp:positionH>
              <wp:positionV relativeFrom="page">
                <wp:posOffset>295910</wp:posOffset>
              </wp:positionV>
              <wp:extent cx="2639695" cy="85090"/>
              <wp:effectExtent l="0" t="0" r="0" b="0"/>
              <wp:wrapNone/>
              <wp:docPr id="146" name="Shape 146"/>
              <wp:cNvGraphicFramePr/>
              <a:graphic xmlns:a="http://schemas.openxmlformats.org/drawingml/2006/main">
                <a:graphicData uri="http://schemas.microsoft.com/office/word/2010/wordprocessingShape">
                  <wps:wsp>
                    <wps:cNvSpPr txBox="1"/>
                    <wps:spPr>
                      <a:xfrm>
                        <a:off x="0" y="0"/>
                        <a:ext cx="2639695" cy="85090"/>
                      </a:xfrm>
                      <a:prstGeom prst="rect">
                        <a:avLst/>
                      </a:prstGeom>
                      <a:noFill/>
                    </wps:spPr>
                    <wps:txbx>
                      <w:txbxContent>
                        <w:p w14:paraId="081296E8" w14:textId="77777777" w:rsidR="0072615D" w:rsidRDefault="0072615D">
                          <w:pPr>
                            <w:pStyle w:val="Headerorfooter0"/>
                            <w:tabs>
                              <w:tab w:val="right" w:pos="4157"/>
                            </w:tabs>
                            <w:rPr>
                              <w:sz w:val="16"/>
                              <w:szCs w:val="16"/>
                            </w:rPr>
                          </w:pPr>
                          <w:r>
                            <w:t>INMUNIZACIÓN PASIVA</w:t>
                          </w:r>
                          <w:r>
                            <w:tab/>
                          </w:r>
                          <w:r>
                            <w:rPr>
                              <w:sz w:val="16"/>
                              <w:szCs w:val="16"/>
                            </w:rPr>
                            <w:t>57</w:t>
                          </w:r>
                        </w:p>
                      </w:txbxContent>
                    </wps:txbx>
                    <wps:bodyPr lIns="0" tIns="0" rIns="0" bIns="0">
                      <a:spAutoFit/>
                    </wps:bodyPr>
                  </wps:wsp>
                </a:graphicData>
              </a:graphic>
            </wp:anchor>
          </w:drawing>
        </mc:Choice>
        <mc:Fallback>
          <w:pict>
            <v:shapetype w14:anchorId="1F6038BD" id="_x0000_t202" coordsize="21600,21600" o:spt="202" path="m,l,21600r21600,l21600,xe">
              <v:stroke joinstyle="miter"/>
              <v:path gradientshapeok="t" o:connecttype="rect"/>
            </v:shapetype>
            <v:shape id="Shape 146" o:spid="_x0000_s1099" type="#_x0000_t202" style="position:absolute;margin-left:172.2pt;margin-top:23.3pt;width:207.85pt;height:6.7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" filled="f" stroked="f">
              <v:textbox style="mso-fit-shape-to-text:t" inset="0,0,0,0">
                <w:txbxContent>
                  <w:p w14:paraId="081296E8" w14:textId="77777777" w:rsidR="0072615D" w:rsidRDefault="0072615D">
                    <w:pPr>
                      <w:pStyle w:val="Headerorfooter0"/>
                      <w:tabs>
                        <w:tab w:val="right" w:pos="4157"/>
                      </w:tabs>
                      <w:rPr>
                        <w:sz w:val="16"/>
                        <w:szCs w:val="16"/>
                      </w:rPr>
                    </w:pPr>
                    <w:r>
                      <w:t>INMUNIZACIÓN PASIVA</w:t>
                    </w:r>
                    <w:r>
                      <w:tab/>
                    </w:r>
                    <w:r>
                      <w:rPr>
                        <w:sz w:val="16"/>
                        <w:szCs w:val="16"/>
                      </w:rPr>
                      <w:t>57</w:t>
                    </w:r>
                  </w:p>
                </w:txbxContent>
              </v:textbox>
              <w10:wrap anchorx="page" anchory="page"/>
            </v:shape>
          </w:pict>
        </mc:Fallback>
      </mc:AlternateContent>
    </w:r>
    <w:r>
      <w:rPr>
        <w:noProof/>
      </w:rPr>
      <mc:AlternateContent>
        <mc:Choice Requires="wps">
          <w:drawing>
            <wp:anchor distT="0" distB="0" distL="114300" distR="114300" simplePos="0" relativeHeight="251696128" behindDoc="1" locked="0" layoutInCell="1" allowOverlap="1" wp14:anchorId="04457071" wp14:editId="76F75452">
              <wp:simplePos x="0" y="0"/>
              <wp:positionH relativeFrom="page">
                <wp:posOffset>489585</wp:posOffset>
              </wp:positionH>
              <wp:positionV relativeFrom="page">
                <wp:posOffset>419100</wp:posOffset>
              </wp:positionV>
              <wp:extent cx="4358640" cy="0"/>
              <wp:effectExtent l="0" t="0" r="0" b="0"/>
              <wp:wrapNone/>
              <wp:docPr id="148" name="Shape 14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34C141C" id="_x0000_t32" coordsize="21600,21600" o:spt="32" o:oned="t" path="m,l21600,21600e" filled="f">
              <v:path arrowok="t" fillok="f" o:connecttype="none"/>
              <o:lock v:ext="edit" shapetype="t"/>
            </v:shapetype>
            <v:shape id="Shape 148" o:spid="_x0000_s1026" type="#_x0000_t32" style="position:absolute;margin-left:38.55pt;margin-top:33pt;width:343.2pt;height:0;z-index:-251620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" strokeweight="1pt">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1E090" w14:textId="77777777" w:rsidR="0072615D" w:rsidRDefault="0072615D">
    <w:pPr>
      <w:spacing w:line="1" w:lineRule="exact"/>
    </w:pPr>
    <w:r>
      <w:rPr>
        <w:noProof/>
      </w:rPr>
      <mc:AlternateContent>
        <mc:Choice Requires="wps">
          <w:drawing>
            <wp:anchor distT="0" distB="0" distL="0" distR="0" simplePos="0" relativeHeight="251829248" behindDoc="1" locked="0" layoutInCell="1" allowOverlap="1" wp14:anchorId="096AD39D" wp14:editId="6244F165">
              <wp:simplePos x="0" y="0"/>
              <wp:positionH relativeFrom="page">
                <wp:posOffset>2186940</wp:posOffset>
              </wp:positionH>
              <wp:positionV relativeFrom="page">
                <wp:posOffset>295910</wp:posOffset>
              </wp:positionV>
              <wp:extent cx="2639695" cy="85090"/>
              <wp:effectExtent l="0" t="0" r="0" b="0"/>
              <wp:wrapNone/>
              <wp:docPr id="143" name="Shape 143"/>
              <wp:cNvGraphicFramePr/>
              <a:graphic xmlns:a="http://schemas.openxmlformats.org/drawingml/2006/main">
                <a:graphicData uri="http://schemas.microsoft.com/office/word/2010/wordprocessingShape">
                  <wps:wsp>
                    <wps:cNvSpPr txBox="1"/>
                    <wps:spPr>
                      <a:xfrm>
                        <a:off x="0" y="0"/>
                        <a:ext cx="2639695" cy="85090"/>
                      </a:xfrm>
                      <a:prstGeom prst="rect">
                        <a:avLst/>
                      </a:prstGeom>
                      <a:noFill/>
                    </wps:spPr>
                    <wps:txbx>
                      <w:txbxContent>
                        <w:p w14:paraId="7FB88D09" w14:textId="77777777" w:rsidR="0072615D" w:rsidRDefault="0072615D">
                          <w:pPr>
                            <w:pStyle w:val="Headerorfooter0"/>
                            <w:tabs>
                              <w:tab w:val="right" w:pos="4157"/>
                            </w:tabs>
                            <w:rPr>
                              <w:sz w:val="16"/>
                              <w:szCs w:val="16"/>
                            </w:rPr>
                          </w:pPr>
                          <w:r>
                            <w:t>INMUNIZACIÓN PASIVA</w:t>
                          </w:r>
                          <w:r>
                            <w:tab/>
                          </w:r>
                          <w:r>
                            <w:rPr>
                              <w:sz w:val="16"/>
                              <w:szCs w:val="16"/>
                            </w:rPr>
                            <w:t>57</w:t>
                          </w:r>
                        </w:p>
                      </w:txbxContent>
                    </wps:txbx>
                    <wps:bodyPr lIns="0" tIns="0" rIns="0" bIns="0">
                      <a:spAutoFit/>
                    </wps:bodyPr>
                  </wps:wsp>
                </a:graphicData>
              </a:graphic>
            </wp:anchor>
          </w:drawing>
        </mc:Choice>
        <mc:Fallback>
          <w:pict>
            <v:shapetype w14:anchorId="096AD39D" id="_x0000_t202" coordsize="21600,21600" o:spt="202" path="m,l,21600r21600,l21600,xe">
              <v:stroke joinstyle="miter"/>
              <v:path gradientshapeok="t" o:connecttype="rect"/>
            </v:shapetype>
            <v:shape id="Shape 143" o:spid="_x0000_s1100" type="#_x0000_t202" style="position:absolute;margin-left:172.2pt;margin-top:23.3pt;width:207.85pt;height:6.7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" filled="f" stroked="f">
              <v:textbox style="mso-fit-shape-to-text:t" inset="0,0,0,0">
                <w:txbxContent>
                  <w:p w14:paraId="7FB88D09" w14:textId="77777777" w:rsidR="0072615D" w:rsidRDefault="0072615D">
                    <w:pPr>
                      <w:pStyle w:val="Headerorfooter0"/>
                      <w:tabs>
                        <w:tab w:val="right" w:pos="4157"/>
                      </w:tabs>
                      <w:rPr>
                        <w:sz w:val="16"/>
                        <w:szCs w:val="16"/>
                      </w:rPr>
                    </w:pPr>
                    <w:r>
                      <w:t>INMUNIZACIÓN PASIVA</w:t>
                    </w:r>
                    <w:r>
                      <w:tab/>
                    </w:r>
                    <w:r>
                      <w:rPr>
                        <w:sz w:val="16"/>
                        <w:szCs w:val="16"/>
                      </w:rPr>
                      <w:t>57</w:t>
                    </w:r>
                  </w:p>
                </w:txbxContent>
              </v:textbox>
              <w10:wrap anchorx="page" anchory="page"/>
            </v:shape>
          </w:pict>
        </mc:Fallback>
      </mc:AlternateContent>
    </w:r>
    <w:r>
      <w:rPr>
        <w:noProof/>
      </w:rPr>
      <mc:AlternateContent>
        <mc:Choice Requires="wps">
          <w:drawing>
            <wp:anchor distT="0" distB="0" distL="114300" distR="114300" simplePos="0" relativeHeight="251695104" behindDoc="1" locked="0" layoutInCell="1" allowOverlap="1" wp14:anchorId="09ED94D9" wp14:editId="7A74048C">
              <wp:simplePos x="0" y="0"/>
              <wp:positionH relativeFrom="page">
                <wp:posOffset>489585</wp:posOffset>
              </wp:positionH>
              <wp:positionV relativeFrom="page">
                <wp:posOffset>419100</wp:posOffset>
              </wp:positionV>
              <wp:extent cx="4358640" cy="0"/>
              <wp:effectExtent l="0" t="0" r="0" b="0"/>
              <wp:wrapNone/>
              <wp:docPr id="145" name="Shape 14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762C4E6" id="_x0000_t32" coordsize="21600,21600" o:spt="32" o:oned="t" path="m,l21600,21600e" filled="f">
              <v:path arrowok="t" fillok="f" o:connecttype="none"/>
              <o:lock v:ext="edit" shapetype="t"/>
            </v:shapetype>
            <v:shape id="Shape 145" o:spid="_x0000_s1026" type="#_x0000_t32" style="position:absolute;margin-left:38.55pt;margin-top:33pt;width:343.2pt;height:0;z-index:-251621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" strokeweight="1pt">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2456" w14:textId="77777777" w:rsidR="0072615D" w:rsidRDefault="0072615D">
    <w:pPr>
      <w:spacing w:line="1" w:lineRule="exact"/>
    </w:pPr>
    <w:r>
      <w:rPr>
        <w:noProof/>
      </w:rPr>
      <mc:AlternateContent>
        <mc:Choice Requires="wps">
          <w:drawing>
            <wp:anchor distT="0" distB="0" distL="0" distR="0" simplePos="0" relativeHeight="251832320" behindDoc="1" locked="0" layoutInCell="1" allowOverlap="1" wp14:anchorId="4FDF6625" wp14:editId="485E79E0">
              <wp:simplePos x="0" y="0"/>
              <wp:positionH relativeFrom="page">
                <wp:posOffset>494030</wp:posOffset>
              </wp:positionH>
              <wp:positionV relativeFrom="page">
                <wp:posOffset>295910</wp:posOffset>
              </wp:positionV>
              <wp:extent cx="2651760" cy="85090"/>
              <wp:effectExtent l="0" t="0" r="0" b="0"/>
              <wp:wrapNone/>
              <wp:docPr id="152" name="Shape 152"/>
              <wp:cNvGraphicFramePr/>
              <a:graphic xmlns:a="http://schemas.openxmlformats.org/drawingml/2006/main">
                <a:graphicData uri="http://schemas.microsoft.com/office/word/2010/wordprocessingShape">
                  <wps:wsp>
                    <wps:cNvSpPr txBox="1"/>
                    <wps:spPr>
                      <a:xfrm>
                        <a:off x="0" y="0"/>
                        <a:ext cx="2651760" cy="85090"/>
                      </a:xfrm>
                      <a:prstGeom prst="rect">
                        <a:avLst/>
                      </a:prstGeom>
                      <a:noFill/>
                    </wps:spPr>
                    <wps:txbx>
                      <w:txbxContent>
                        <w:p w14:paraId="48E77C05" w14:textId="77777777" w:rsidR="0072615D" w:rsidRDefault="0072615D">
                          <w:pPr>
                            <w:pStyle w:val="Headerorfooter0"/>
                            <w:tabs>
                              <w:tab w:val="right" w:pos="4176"/>
                            </w:tabs>
                          </w:pPr>
                          <w:r>
                            <w:rPr>
                              <w:sz w:val="16"/>
                              <w:szCs w:val="16"/>
                            </w:rPr>
                            <w:t>58</w:t>
                          </w:r>
                          <w:r>
                            <w:rPr>
                              <w:sz w:val="16"/>
                              <w:szCs w:val="16"/>
                            </w:rPr>
                            <w:tab/>
                          </w:r>
                          <w:r>
                            <w:t>INMUNIZACIÓN PASIVA</w:t>
                          </w:r>
                        </w:p>
                      </w:txbxContent>
                    </wps:txbx>
                    <wps:bodyPr lIns="0" tIns="0" rIns="0" bIns="0">
                      <a:spAutoFit/>
                    </wps:bodyPr>
                  </wps:wsp>
                </a:graphicData>
              </a:graphic>
            </wp:anchor>
          </w:drawing>
        </mc:Choice>
        <mc:Fallback>
          <w:pict>
            <v:shapetype w14:anchorId="4FDF6625" id="_x0000_t202" coordsize="21600,21600" o:spt="202" path="m,l,21600r21600,l21600,xe">
              <v:stroke joinstyle="miter"/>
              <v:path gradientshapeok="t" o:connecttype="rect"/>
            </v:shapetype>
            <v:shape id="Shape 152" o:spid="_x0000_s1101" type="#_x0000_t202" style="position:absolute;margin-left:38.9pt;margin-top:23.3pt;width:208.8pt;height:6.7pt;z-index:-2514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" filled="f" stroked="f">
              <v:textbox style="mso-fit-shape-to-text:t" inset="0,0,0,0">
                <w:txbxContent>
                  <w:p w14:paraId="48E77C05" w14:textId="77777777" w:rsidR="0072615D" w:rsidRDefault="0072615D">
                    <w:pPr>
                      <w:pStyle w:val="Headerorfooter0"/>
                      <w:tabs>
                        <w:tab w:val="right" w:pos="4176"/>
                      </w:tabs>
                    </w:pPr>
                    <w:r>
                      <w:rPr>
                        <w:sz w:val="16"/>
                        <w:szCs w:val="16"/>
                      </w:rPr>
                      <w:t>58</w:t>
                    </w:r>
                    <w:r>
                      <w:rPr>
                        <w:sz w:val="16"/>
                        <w:szCs w:val="16"/>
                      </w:rPr>
                      <w:tab/>
                    </w:r>
                    <w:r>
                      <w:t>INMUNIZACIÓN PASIVA</w:t>
                    </w: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6B765772" wp14:editId="36059EC9">
              <wp:simplePos x="0" y="0"/>
              <wp:positionH relativeFrom="page">
                <wp:posOffset>478790</wp:posOffset>
              </wp:positionH>
              <wp:positionV relativeFrom="page">
                <wp:posOffset>419100</wp:posOffset>
              </wp:positionV>
              <wp:extent cx="4358640" cy="0"/>
              <wp:effectExtent l="0" t="0" r="0" b="0"/>
              <wp:wrapNone/>
              <wp:docPr id="154" name="Shape 1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B9B7991" id="_x0000_t32" coordsize="21600,21600" o:spt="32" o:oned="t" path="m,l21600,21600e" filled="f">
              <v:path arrowok="t" fillok="f" o:connecttype="none"/>
              <o:lock v:ext="edit" shapetype="t"/>
            </v:shapetype>
            <v:shape id="Shape 154" o:spid="_x0000_s1026" type="#_x0000_t32" style="position:absolute;margin-left:37.7pt;margin-top:33pt;width:343.2pt;height:0;z-index:-2516183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" strokeweight="1pt">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531D" w14:textId="77777777" w:rsidR="0072615D" w:rsidRDefault="0072615D">
    <w:pPr>
      <w:spacing w:line="1" w:lineRule="exact"/>
    </w:pPr>
    <w:r>
      <w:rPr>
        <w:noProof/>
      </w:rPr>
      <mc:AlternateContent>
        <mc:Choice Requires="wps">
          <w:drawing>
            <wp:anchor distT="0" distB="0" distL="0" distR="0" simplePos="0" relativeHeight="251831296" behindDoc="1" locked="0" layoutInCell="1" allowOverlap="1" wp14:anchorId="10A94DEE" wp14:editId="4A1F4CD2">
              <wp:simplePos x="0" y="0"/>
              <wp:positionH relativeFrom="page">
                <wp:posOffset>494030</wp:posOffset>
              </wp:positionH>
              <wp:positionV relativeFrom="page">
                <wp:posOffset>295910</wp:posOffset>
              </wp:positionV>
              <wp:extent cx="2651760" cy="85090"/>
              <wp:effectExtent l="0" t="0" r="0" b="0"/>
              <wp:wrapNone/>
              <wp:docPr id="149" name="Shape 149"/>
              <wp:cNvGraphicFramePr/>
              <a:graphic xmlns:a="http://schemas.openxmlformats.org/drawingml/2006/main">
                <a:graphicData uri="http://schemas.microsoft.com/office/word/2010/wordprocessingShape">
                  <wps:wsp>
                    <wps:cNvSpPr txBox="1"/>
                    <wps:spPr>
                      <a:xfrm>
                        <a:off x="0" y="0"/>
                        <a:ext cx="2651760" cy="85090"/>
                      </a:xfrm>
                      <a:prstGeom prst="rect">
                        <a:avLst/>
                      </a:prstGeom>
                      <a:noFill/>
                    </wps:spPr>
                    <wps:txbx>
                      <w:txbxContent>
                        <w:p w14:paraId="1D6F0051" w14:textId="77777777" w:rsidR="0072615D" w:rsidRDefault="0072615D">
                          <w:pPr>
                            <w:pStyle w:val="Headerorfooter0"/>
                            <w:tabs>
                              <w:tab w:val="right" w:pos="4176"/>
                            </w:tabs>
                          </w:pPr>
                          <w:r>
                            <w:rPr>
                              <w:sz w:val="16"/>
                              <w:szCs w:val="16"/>
                            </w:rPr>
                            <w:t>58</w:t>
                          </w:r>
                          <w:r>
                            <w:rPr>
                              <w:sz w:val="16"/>
                              <w:szCs w:val="16"/>
                            </w:rPr>
                            <w:tab/>
                          </w:r>
                          <w:r>
                            <w:t>INMUNIZACIÓN PASIVA</w:t>
                          </w:r>
                        </w:p>
                      </w:txbxContent>
                    </wps:txbx>
                    <wps:bodyPr lIns="0" tIns="0" rIns="0" bIns="0">
                      <a:spAutoFit/>
                    </wps:bodyPr>
                  </wps:wsp>
                </a:graphicData>
              </a:graphic>
            </wp:anchor>
          </w:drawing>
        </mc:Choice>
        <mc:Fallback>
          <w:pict>
            <v:shapetype w14:anchorId="10A94DEE" id="_x0000_t202" coordsize="21600,21600" o:spt="202" path="m,l,21600r21600,l21600,xe">
              <v:stroke joinstyle="miter"/>
              <v:path gradientshapeok="t" o:connecttype="rect"/>
            </v:shapetype>
            <v:shape id="Shape 149" o:spid="_x0000_s1102" type="#_x0000_t202" style="position:absolute;margin-left:38.9pt;margin-top:23.3pt;width:208.8pt;height:6.7pt;z-index:-2514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" filled="f" stroked="f">
              <v:textbox style="mso-fit-shape-to-text:t" inset="0,0,0,0">
                <w:txbxContent>
                  <w:p w14:paraId="1D6F0051" w14:textId="77777777" w:rsidR="0072615D" w:rsidRDefault="0072615D">
                    <w:pPr>
                      <w:pStyle w:val="Headerorfooter0"/>
                      <w:tabs>
                        <w:tab w:val="right" w:pos="4176"/>
                      </w:tabs>
                    </w:pPr>
                    <w:r>
                      <w:rPr>
                        <w:sz w:val="16"/>
                        <w:szCs w:val="16"/>
                      </w:rPr>
                      <w:t>58</w:t>
                    </w:r>
                    <w:r>
                      <w:rPr>
                        <w:sz w:val="16"/>
                        <w:szCs w:val="16"/>
                      </w:rPr>
                      <w:tab/>
                    </w:r>
                    <w:r>
                      <w:t>INMUNIZACIÓN PASIVA</w:t>
                    </w: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2DD2F852" wp14:editId="118D2813">
              <wp:simplePos x="0" y="0"/>
              <wp:positionH relativeFrom="page">
                <wp:posOffset>478790</wp:posOffset>
              </wp:positionH>
              <wp:positionV relativeFrom="page">
                <wp:posOffset>419100</wp:posOffset>
              </wp:positionV>
              <wp:extent cx="4358640" cy="0"/>
              <wp:effectExtent l="0" t="0" r="0" b="0"/>
              <wp:wrapNone/>
              <wp:docPr id="151" name="Shape 1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BAF1B42" id="_x0000_t32" coordsize="21600,21600" o:spt="32" o:oned="t" path="m,l21600,21600e" filled="f">
              <v:path arrowok="t" fillok="f" o:connecttype="none"/>
              <o:lock v:ext="edit" shapetype="t"/>
            </v:shapetype>
            <v:shape id="Shape 151" o:spid="_x0000_s1026" type="#_x0000_t32" style="position:absolute;margin-left:37.7pt;margin-top:33pt;width:343.2pt;height:0;z-index:-251619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" strokeweight="1pt">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8F65" w14:textId="77777777" w:rsidR="0072615D" w:rsidRDefault="0072615D">
    <w:pPr>
      <w:spacing w:line="1" w:lineRule="exact"/>
    </w:pPr>
    <w:r>
      <w:rPr>
        <w:noProof/>
      </w:rPr>
      <mc:AlternateContent>
        <mc:Choice Requires="wps">
          <w:drawing>
            <wp:anchor distT="0" distB="0" distL="0" distR="0" simplePos="0" relativeHeight="251834368" behindDoc="1" locked="0" layoutInCell="1" allowOverlap="1" wp14:anchorId="6F4722E9" wp14:editId="171345D3">
              <wp:simplePos x="0" y="0"/>
              <wp:positionH relativeFrom="page">
                <wp:posOffset>494030</wp:posOffset>
              </wp:positionH>
              <wp:positionV relativeFrom="page">
                <wp:posOffset>295910</wp:posOffset>
              </wp:positionV>
              <wp:extent cx="2651760" cy="85090"/>
              <wp:effectExtent l="0" t="0" r="0" b="0"/>
              <wp:wrapNone/>
              <wp:docPr id="158" name="Shape 158"/>
              <wp:cNvGraphicFramePr/>
              <a:graphic xmlns:a="http://schemas.openxmlformats.org/drawingml/2006/main">
                <a:graphicData uri="http://schemas.microsoft.com/office/word/2010/wordprocessingShape">
                  <wps:wsp>
                    <wps:cNvSpPr txBox="1"/>
                    <wps:spPr>
                      <a:xfrm>
                        <a:off x="0" y="0"/>
                        <a:ext cx="2651760" cy="85090"/>
                      </a:xfrm>
                      <a:prstGeom prst="rect">
                        <a:avLst/>
                      </a:prstGeom>
                      <a:noFill/>
                    </wps:spPr>
                    <wps:txbx>
                      <w:txbxContent>
                        <w:p w14:paraId="3350DFE2" w14:textId="77777777" w:rsidR="0072615D" w:rsidRDefault="0072615D">
                          <w:pPr>
                            <w:pStyle w:val="Headerorfooter0"/>
                            <w:tabs>
                              <w:tab w:val="right" w:pos="4176"/>
                            </w:tabs>
                          </w:pPr>
                          <w:r>
                            <w:rPr>
                              <w:sz w:val="16"/>
                              <w:szCs w:val="16"/>
                            </w:rPr>
                            <w:t>58</w:t>
                          </w:r>
                          <w:r>
                            <w:rPr>
                              <w:sz w:val="16"/>
                              <w:szCs w:val="16"/>
                            </w:rPr>
                            <w:tab/>
                          </w:r>
                          <w:r>
                            <w:t>INMUNIZACIÓN PASIVA</w:t>
                          </w:r>
                        </w:p>
                      </w:txbxContent>
                    </wps:txbx>
                    <wps:bodyPr lIns="0" tIns="0" rIns="0" bIns="0">
                      <a:spAutoFit/>
                    </wps:bodyPr>
                  </wps:wsp>
                </a:graphicData>
              </a:graphic>
            </wp:anchor>
          </w:drawing>
        </mc:Choice>
        <mc:Fallback>
          <w:pict>
            <v:shapetype w14:anchorId="6F4722E9" id="_x0000_t202" coordsize="21600,21600" o:spt="202" path="m,l,21600r21600,l21600,xe">
              <v:stroke joinstyle="miter"/>
              <v:path gradientshapeok="t" o:connecttype="rect"/>
            </v:shapetype>
            <v:shape id="Shape 158" o:spid="_x0000_s1103" type="#_x0000_t202" style="position:absolute;margin-left:38.9pt;margin-top:23.3pt;width:208.8pt;height:6.7pt;z-index:-251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" filled="f" stroked="f">
              <v:textbox style="mso-fit-shape-to-text:t" inset="0,0,0,0">
                <w:txbxContent>
                  <w:p w14:paraId="3350DFE2" w14:textId="77777777" w:rsidR="0072615D" w:rsidRDefault="0072615D">
                    <w:pPr>
                      <w:pStyle w:val="Headerorfooter0"/>
                      <w:tabs>
                        <w:tab w:val="right" w:pos="4176"/>
                      </w:tabs>
                    </w:pPr>
                    <w:r>
                      <w:rPr>
                        <w:sz w:val="16"/>
                        <w:szCs w:val="16"/>
                      </w:rPr>
                      <w:t>58</w:t>
                    </w:r>
                    <w:r>
                      <w:rPr>
                        <w:sz w:val="16"/>
                        <w:szCs w:val="16"/>
                      </w:rPr>
                      <w:tab/>
                    </w:r>
                    <w:r>
                      <w:t>INMUNIZACIÓN PASIVA</w:t>
                    </w:r>
                  </w:p>
                </w:txbxContent>
              </v:textbox>
              <w10:wrap anchorx="page" anchory="page"/>
            </v:shape>
          </w:pict>
        </mc:Fallback>
      </mc:AlternateContent>
    </w:r>
    <w:r>
      <w:rPr>
        <w:noProof/>
      </w:rPr>
      <mc:AlternateContent>
        <mc:Choice Requires="wps">
          <w:drawing>
            <wp:anchor distT="0" distB="0" distL="114300" distR="114300" simplePos="0" relativeHeight="251700224" behindDoc="1" locked="0" layoutInCell="1" allowOverlap="1" wp14:anchorId="596A68D2" wp14:editId="624430D4">
              <wp:simplePos x="0" y="0"/>
              <wp:positionH relativeFrom="page">
                <wp:posOffset>478790</wp:posOffset>
              </wp:positionH>
              <wp:positionV relativeFrom="page">
                <wp:posOffset>419100</wp:posOffset>
              </wp:positionV>
              <wp:extent cx="4358640" cy="0"/>
              <wp:effectExtent l="0" t="0" r="0" b="0"/>
              <wp:wrapNone/>
              <wp:docPr id="160" name="Shape 1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7B03217" id="_x0000_t32" coordsize="21600,21600" o:spt="32" o:oned="t" path="m,l21600,21600e" filled="f">
              <v:path arrowok="t" fillok="f" o:connecttype="none"/>
              <o:lock v:ext="edit" shapetype="t"/>
            </v:shapetype>
            <v:shape id="Shape 160" o:spid="_x0000_s1026" type="#_x0000_t32" style="position:absolute;margin-left:37.7pt;margin-top:33pt;width:343.2pt;height:0;z-index:-251616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" strokeweight="1pt">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0307" w14:textId="77777777" w:rsidR="0072615D" w:rsidRDefault="0072615D">
    <w:pPr>
      <w:spacing w:line="1" w:lineRule="exact"/>
    </w:pPr>
    <w:r>
      <w:rPr>
        <w:noProof/>
      </w:rPr>
      <mc:AlternateContent>
        <mc:Choice Requires="wps">
          <w:drawing>
            <wp:anchor distT="0" distB="0" distL="0" distR="0" simplePos="0" relativeHeight="251833344" behindDoc="1" locked="0" layoutInCell="1" allowOverlap="1" wp14:anchorId="6D122E79" wp14:editId="6D8DC2A7">
              <wp:simplePos x="0" y="0"/>
              <wp:positionH relativeFrom="page">
                <wp:posOffset>494030</wp:posOffset>
              </wp:positionH>
              <wp:positionV relativeFrom="page">
                <wp:posOffset>295910</wp:posOffset>
              </wp:positionV>
              <wp:extent cx="2651760" cy="85090"/>
              <wp:effectExtent l="0" t="0" r="0" b="0"/>
              <wp:wrapNone/>
              <wp:docPr id="155" name="Shape 155"/>
              <wp:cNvGraphicFramePr/>
              <a:graphic xmlns:a="http://schemas.openxmlformats.org/drawingml/2006/main">
                <a:graphicData uri="http://schemas.microsoft.com/office/word/2010/wordprocessingShape">
                  <wps:wsp>
                    <wps:cNvSpPr txBox="1"/>
                    <wps:spPr>
                      <a:xfrm>
                        <a:off x="0" y="0"/>
                        <a:ext cx="2651760" cy="85090"/>
                      </a:xfrm>
                      <a:prstGeom prst="rect">
                        <a:avLst/>
                      </a:prstGeom>
                      <a:noFill/>
                    </wps:spPr>
                    <wps:txbx>
                      <w:txbxContent>
                        <w:p w14:paraId="482B1B9B" w14:textId="77777777" w:rsidR="0072615D" w:rsidRDefault="0072615D">
                          <w:pPr>
                            <w:pStyle w:val="Headerorfooter0"/>
                            <w:tabs>
                              <w:tab w:val="right" w:pos="4176"/>
                            </w:tabs>
                          </w:pPr>
                          <w:r>
                            <w:rPr>
                              <w:sz w:val="16"/>
                              <w:szCs w:val="16"/>
                            </w:rPr>
                            <w:t>58</w:t>
                          </w:r>
                          <w:r>
                            <w:rPr>
                              <w:sz w:val="16"/>
                              <w:szCs w:val="16"/>
                            </w:rPr>
                            <w:tab/>
                          </w:r>
                          <w:r>
                            <w:t>INMUNIZACIÓN PASIVA</w:t>
                          </w:r>
                        </w:p>
                      </w:txbxContent>
                    </wps:txbx>
                    <wps:bodyPr lIns="0" tIns="0" rIns="0" bIns="0">
                      <a:spAutoFit/>
                    </wps:bodyPr>
                  </wps:wsp>
                </a:graphicData>
              </a:graphic>
            </wp:anchor>
          </w:drawing>
        </mc:Choice>
        <mc:Fallback>
          <w:pict>
            <v:shapetype w14:anchorId="6D122E79" id="_x0000_t202" coordsize="21600,21600" o:spt="202" path="m,l,21600r21600,l21600,xe">
              <v:stroke joinstyle="miter"/>
              <v:path gradientshapeok="t" o:connecttype="rect"/>
            </v:shapetype>
            <v:shape id="Shape 155" o:spid="_x0000_s1104" type="#_x0000_t202" style="position:absolute;margin-left:38.9pt;margin-top:23.3pt;width:208.8pt;height:6.7pt;z-index:-251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" filled="f" stroked="f">
              <v:textbox style="mso-fit-shape-to-text:t" inset="0,0,0,0">
                <w:txbxContent>
                  <w:p w14:paraId="482B1B9B" w14:textId="77777777" w:rsidR="0072615D" w:rsidRDefault="0072615D">
                    <w:pPr>
                      <w:pStyle w:val="Headerorfooter0"/>
                      <w:tabs>
                        <w:tab w:val="right" w:pos="4176"/>
                      </w:tabs>
                    </w:pPr>
                    <w:r>
                      <w:rPr>
                        <w:sz w:val="16"/>
                        <w:szCs w:val="16"/>
                      </w:rPr>
                      <w:t>58</w:t>
                    </w:r>
                    <w:r>
                      <w:rPr>
                        <w:sz w:val="16"/>
                        <w:szCs w:val="16"/>
                      </w:rPr>
                      <w:tab/>
                    </w:r>
                    <w:r>
                      <w:t>INMUNIZACIÓN PASIVA</w:t>
                    </w:r>
                  </w:p>
                </w:txbxContent>
              </v:textbox>
              <w10:wrap anchorx="page" anchory="page"/>
            </v:shape>
          </w:pict>
        </mc:Fallback>
      </mc:AlternateContent>
    </w:r>
    <w:r>
      <w:rPr>
        <w:noProof/>
      </w:rPr>
      <mc:AlternateContent>
        <mc:Choice Requires="wps">
          <w:drawing>
            <wp:anchor distT="0" distB="0" distL="114300" distR="114300" simplePos="0" relativeHeight="251699200" behindDoc="1" locked="0" layoutInCell="1" allowOverlap="1" wp14:anchorId="727173AE" wp14:editId="056FD386">
              <wp:simplePos x="0" y="0"/>
              <wp:positionH relativeFrom="page">
                <wp:posOffset>478790</wp:posOffset>
              </wp:positionH>
              <wp:positionV relativeFrom="page">
                <wp:posOffset>419100</wp:posOffset>
              </wp:positionV>
              <wp:extent cx="4358640" cy="0"/>
              <wp:effectExtent l="0" t="0" r="0" b="0"/>
              <wp:wrapNone/>
              <wp:docPr id="157" name="Shape 1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7AD58C8" id="_x0000_t32" coordsize="21600,21600" o:spt="32" o:oned="t" path="m,l21600,21600e" filled="f">
              <v:path arrowok="t" fillok="f" o:connecttype="none"/>
              <o:lock v:ext="edit" shapetype="t"/>
            </v:shapetype>
            <v:shape id="Shape 157" o:spid="_x0000_s1026" type="#_x0000_t32" style="position:absolute;margin-left:37.7pt;margin-top:33pt;width:343.2pt;height:0;z-index:-251617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" strokeweight="1pt">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ADA8" w14:textId="77777777" w:rsidR="0072615D" w:rsidRDefault="0072615D">
    <w:pPr>
      <w:spacing w:line="1" w:lineRule="exact"/>
    </w:pPr>
    <w:r>
      <w:rPr>
        <w:noProof/>
      </w:rPr>
      <mc:AlternateContent>
        <mc:Choice Requires="wps">
          <w:drawing>
            <wp:anchor distT="0" distB="0" distL="0" distR="0" simplePos="0" relativeHeight="251835392" behindDoc="1" locked="0" layoutInCell="1" allowOverlap="1" wp14:anchorId="2E127227" wp14:editId="14B21E08">
              <wp:simplePos x="0" y="0"/>
              <wp:positionH relativeFrom="page">
                <wp:posOffset>2186940</wp:posOffset>
              </wp:positionH>
              <wp:positionV relativeFrom="page">
                <wp:posOffset>295910</wp:posOffset>
              </wp:positionV>
              <wp:extent cx="2639695" cy="85090"/>
              <wp:effectExtent l="0" t="0" r="0" b="0"/>
              <wp:wrapNone/>
              <wp:docPr id="161" name="Shape 161"/>
              <wp:cNvGraphicFramePr/>
              <a:graphic xmlns:a="http://schemas.openxmlformats.org/drawingml/2006/main">
                <a:graphicData uri="http://schemas.microsoft.com/office/word/2010/wordprocessingShape">
                  <wps:wsp>
                    <wps:cNvSpPr txBox="1"/>
                    <wps:spPr>
                      <a:xfrm>
                        <a:off x="0" y="0"/>
                        <a:ext cx="2639695" cy="85090"/>
                      </a:xfrm>
                      <a:prstGeom prst="rect">
                        <a:avLst/>
                      </a:prstGeom>
                      <a:noFill/>
                    </wps:spPr>
                    <wps:txbx>
                      <w:txbxContent>
                        <w:p w14:paraId="735D40F1" w14:textId="77777777" w:rsidR="0072615D" w:rsidRDefault="0072615D">
                          <w:pPr>
                            <w:pStyle w:val="Headerorfooter0"/>
                            <w:tabs>
                              <w:tab w:val="right" w:pos="4157"/>
                            </w:tabs>
                            <w:rPr>
                              <w:sz w:val="16"/>
                              <w:szCs w:val="16"/>
                            </w:rPr>
                          </w:pPr>
                          <w:r>
                            <w:t>INMUNIZACIÓN PASIVA</w:t>
                          </w:r>
                          <w:r>
                            <w:tab/>
                          </w:r>
                          <w:r>
                            <w:rPr>
                              <w:sz w:val="16"/>
                              <w:szCs w:val="16"/>
                            </w:rPr>
                            <w:t>57</w:t>
                          </w:r>
                        </w:p>
                      </w:txbxContent>
                    </wps:txbx>
                    <wps:bodyPr lIns="0" tIns="0" rIns="0" bIns="0">
                      <a:spAutoFit/>
                    </wps:bodyPr>
                  </wps:wsp>
                </a:graphicData>
              </a:graphic>
            </wp:anchor>
          </w:drawing>
        </mc:Choice>
        <mc:Fallback>
          <w:pict>
            <v:shapetype w14:anchorId="2E127227" id="_x0000_t202" coordsize="21600,21600" o:spt="202" path="m,l,21600r21600,l21600,xe">
              <v:stroke joinstyle="miter"/>
              <v:path gradientshapeok="t" o:connecttype="rect"/>
            </v:shapetype>
            <v:shape id="Shape 161" o:spid="_x0000_s1105" type="#_x0000_t202" style="position:absolute;margin-left:172.2pt;margin-top:23.3pt;width:207.85pt;height:6.7pt;z-index:-2514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" filled="f" stroked="f">
              <v:textbox style="mso-fit-shape-to-text:t" inset="0,0,0,0">
                <w:txbxContent>
                  <w:p w14:paraId="735D40F1" w14:textId="77777777" w:rsidR="0072615D" w:rsidRDefault="0072615D">
                    <w:pPr>
                      <w:pStyle w:val="Headerorfooter0"/>
                      <w:tabs>
                        <w:tab w:val="right" w:pos="4157"/>
                      </w:tabs>
                      <w:rPr>
                        <w:sz w:val="16"/>
                        <w:szCs w:val="16"/>
                      </w:rPr>
                    </w:pPr>
                    <w:r>
                      <w:t>INMUNIZACIÓN PASIVA</w:t>
                    </w:r>
                    <w:r>
                      <w:tab/>
                    </w:r>
                    <w:r>
                      <w:rPr>
                        <w:sz w:val="16"/>
                        <w:szCs w:val="16"/>
                      </w:rPr>
                      <w:t>57</w:t>
                    </w:r>
                  </w:p>
                </w:txbxContent>
              </v:textbox>
              <w10:wrap anchorx="page" anchory="page"/>
            </v:shape>
          </w:pict>
        </mc:Fallback>
      </mc:AlternateContent>
    </w:r>
    <w:r>
      <w:rPr>
        <w:noProof/>
      </w:rPr>
      <mc:AlternateContent>
        <mc:Choice Requires="wps">
          <w:drawing>
            <wp:anchor distT="0" distB="0" distL="114300" distR="114300" simplePos="0" relativeHeight="251701248" behindDoc="1" locked="0" layoutInCell="1" allowOverlap="1" wp14:anchorId="1036E6E9" wp14:editId="25452F7E">
              <wp:simplePos x="0" y="0"/>
              <wp:positionH relativeFrom="page">
                <wp:posOffset>489585</wp:posOffset>
              </wp:positionH>
              <wp:positionV relativeFrom="page">
                <wp:posOffset>419100</wp:posOffset>
              </wp:positionV>
              <wp:extent cx="4358640" cy="0"/>
              <wp:effectExtent l="0" t="0" r="0" b="0"/>
              <wp:wrapNone/>
              <wp:docPr id="163" name="Shape 1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BDCE358" id="_x0000_t32" coordsize="21600,21600" o:spt="32" o:oned="t" path="m,l21600,21600e" filled="f">
              <v:path arrowok="t" fillok="f" o:connecttype="none"/>
              <o:lock v:ext="edit" shapetype="t"/>
            </v:shapetype>
            <v:shape id="Shape 163" o:spid="_x0000_s1026" type="#_x0000_t32" style="position:absolute;margin-left:38.55pt;margin-top:33pt;width:343.2pt;height:0;z-index:-251615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" strokeweight="1pt">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0E08" w14:textId="77777777" w:rsidR="0072615D" w:rsidRDefault="0072615D">
    <w:pPr>
      <w:spacing w:line="1" w:lineRule="exact"/>
    </w:pPr>
    <w:r>
      <w:rPr>
        <w:noProof/>
      </w:rPr>
      <mc:AlternateContent>
        <mc:Choice Requires="wps">
          <w:drawing>
            <wp:anchor distT="0" distB="0" distL="0" distR="0" simplePos="0" relativeHeight="251837440" behindDoc="1" locked="0" layoutInCell="1" allowOverlap="1" wp14:anchorId="6A3BCD1D" wp14:editId="1338B14C">
              <wp:simplePos x="0" y="0"/>
              <wp:positionH relativeFrom="page">
                <wp:posOffset>494030</wp:posOffset>
              </wp:positionH>
              <wp:positionV relativeFrom="page">
                <wp:posOffset>295910</wp:posOffset>
              </wp:positionV>
              <wp:extent cx="2651760" cy="85090"/>
              <wp:effectExtent l="0" t="0" r="0" b="0"/>
              <wp:wrapNone/>
              <wp:docPr id="167" name="Shape 167"/>
              <wp:cNvGraphicFramePr/>
              <a:graphic xmlns:a="http://schemas.openxmlformats.org/drawingml/2006/main">
                <a:graphicData uri="http://schemas.microsoft.com/office/word/2010/wordprocessingShape">
                  <wps:wsp>
                    <wps:cNvSpPr txBox="1"/>
                    <wps:spPr>
                      <a:xfrm>
                        <a:off x="0" y="0"/>
                        <a:ext cx="2651760" cy="85090"/>
                      </a:xfrm>
                      <a:prstGeom prst="rect">
                        <a:avLst/>
                      </a:prstGeom>
                      <a:noFill/>
                    </wps:spPr>
                    <wps:txbx>
                      <w:txbxContent>
                        <w:p w14:paraId="6F17B147" w14:textId="77777777" w:rsidR="0072615D" w:rsidRDefault="0072615D">
                          <w:pPr>
                            <w:pStyle w:val="Headerorfooter0"/>
                            <w:tabs>
                              <w:tab w:val="right" w:pos="4176"/>
                            </w:tabs>
                          </w:pPr>
                          <w:r>
                            <w:rPr>
                              <w:sz w:val="16"/>
                              <w:szCs w:val="16"/>
                            </w:rPr>
                            <w:t>58</w:t>
                          </w:r>
                          <w:r>
                            <w:rPr>
                              <w:sz w:val="16"/>
                              <w:szCs w:val="16"/>
                            </w:rPr>
                            <w:tab/>
                          </w:r>
                          <w:r>
                            <w:t>INMUNIZACIÓN PASIVA</w:t>
                          </w:r>
                        </w:p>
                      </w:txbxContent>
                    </wps:txbx>
                    <wps:bodyPr lIns="0" tIns="0" rIns="0" bIns="0">
                      <a:spAutoFit/>
                    </wps:bodyPr>
                  </wps:wsp>
                </a:graphicData>
              </a:graphic>
            </wp:anchor>
          </w:drawing>
        </mc:Choice>
        <mc:Fallback>
          <w:pict>
            <v:shapetype w14:anchorId="6A3BCD1D" id="_x0000_t202" coordsize="21600,21600" o:spt="202" path="m,l,21600r21600,l21600,xe">
              <v:stroke joinstyle="miter"/>
              <v:path gradientshapeok="t" o:connecttype="rect"/>
            </v:shapetype>
            <v:shape id="Shape 167" o:spid="_x0000_s1106" type="#_x0000_t202" style="position:absolute;margin-left:38.9pt;margin-top:23.3pt;width:208.8pt;height:6.7pt;z-index:-251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" filled="f" stroked="f">
              <v:textbox style="mso-fit-shape-to-text:t" inset="0,0,0,0">
                <w:txbxContent>
                  <w:p w14:paraId="6F17B147" w14:textId="77777777" w:rsidR="0072615D" w:rsidRDefault="0072615D">
                    <w:pPr>
                      <w:pStyle w:val="Headerorfooter0"/>
                      <w:tabs>
                        <w:tab w:val="right" w:pos="4176"/>
                      </w:tabs>
                    </w:pPr>
                    <w:r>
                      <w:rPr>
                        <w:sz w:val="16"/>
                        <w:szCs w:val="16"/>
                      </w:rPr>
                      <w:t>58</w:t>
                    </w:r>
                    <w:r>
                      <w:rPr>
                        <w:sz w:val="16"/>
                        <w:szCs w:val="16"/>
                      </w:rPr>
                      <w:tab/>
                    </w:r>
                    <w:r>
                      <w:t>INMUNIZACIÓN PASIVA</w:t>
                    </w:r>
                  </w:p>
                </w:txbxContent>
              </v:textbox>
              <w10:wrap anchorx="page" anchory="page"/>
            </v:shape>
          </w:pict>
        </mc:Fallback>
      </mc:AlternateContent>
    </w:r>
    <w:r>
      <w:rPr>
        <w:noProof/>
      </w:rPr>
      <mc:AlternateContent>
        <mc:Choice Requires="wps">
          <w:drawing>
            <wp:anchor distT="0" distB="0" distL="114300" distR="114300" simplePos="0" relativeHeight="251703296" behindDoc="1" locked="0" layoutInCell="1" allowOverlap="1" wp14:anchorId="00F66956" wp14:editId="0833A89D">
              <wp:simplePos x="0" y="0"/>
              <wp:positionH relativeFrom="page">
                <wp:posOffset>478790</wp:posOffset>
              </wp:positionH>
              <wp:positionV relativeFrom="page">
                <wp:posOffset>419100</wp:posOffset>
              </wp:positionV>
              <wp:extent cx="4358640" cy="0"/>
              <wp:effectExtent l="0" t="0" r="0" b="0"/>
              <wp:wrapNone/>
              <wp:docPr id="169" name="Shape 1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8CD0FEA" id="_x0000_t32" coordsize="21600,21600" o:spt="32" o:oned="t" path="m,l21600,21600e" filled="f">
              <v:path arrowok="t" fillok="f" o:connecttype="none"/>
              <o:lock v:ext="edit" shapetype="t"/>
            </v:shapetype>
            <v:shape id="Shape 169" o:spid="_x0000_s1026" type="#_x0000_t32" style="position:absolute;margin-left:37.7pt;margin-top:33pt;width:343.2pt;height:0;z-index:-251613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" strokeweight="1pt">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C3E0" w14:textId="77777777" w:rsidR="0072615D" w:rsidRDefault="0072615D">
    <w:pPr>
      <w:spacing w:line="1" w:lineRule="exact"/>
    </w:pPr>
    <w:r>
      <w:rPr>
        <w:noProof/>
      </w:rPr>
      <mc:AlternateContent>
        <mc:Choice Requires="wps">
          <w:drawing>
            <wp:anchor distT="0" distB="0" distL="0" distR="0" simplePos="0" relativeHeight="251836416" behindDoc="1" locked="0" layoutInCell="1" allowOverlap="1" wp14:anchorId="40D8547F" wp14:editId="462E59BA">
              <wp:simplePos x="0" y="0"/>
              <wp:positionH relativeFrom="page">
                <wp:posOffset>2186940</wp:posOffset>
              </wp:positionH>
              <wp:positionV relativeFrom="page">
                <wp:posOffset>295910</wp:posOffset>
              </wp:positionV>
              <wp:extent cx="2639695" cy="85090"/>
              <wp:effectExtent l="0" t="0" r="0" b="0"/>
              <wp:wrapNone/>
              <wp:docPr id="164" name="Shape 164"/>
              <wp:cNvGraphicFramePr/>
              <a:graphic xmlns:a="http://schemas.openxmlformats.org/drawingml/2006/main">
                <a:graphicData uri="http://schemas.microsoft.com/office/word/2010/wordprocessingShape">
                  <wps:wsp>
                    <wps:cNvSpPr txBox="1"/>
                    <wps:spPr>
                      <a:xfrm>
                        <a:off x="0" y="0"/>
                        <a:ext cx="2639695" cy="85090"/>
                      </a:xfrm>
                      <a:prstGeom prst="rect">
                        <a:avLst/>
                      </a:prstGeom>
                      <a:noFill/>
                    </wps:spPr>
                    <wps:txbx>
                      <w:txbxContent>
                        <w:p w14:paraId="37D57FE7" w14:textId="77777777" w:rsidR="0072615D" w:rsidRDefault="0072615D">
                          <w:pPr>
                            <w:pStyle w:val="Headerorfooter0"/>
                            <w:tabs>
                              <w:tab w:val="right" w:pos="4157"/>
                            </w:tabs>
                            <w:rPr>
                              <w:sz w:val="16"/>
                              <w:szCs w:val="16"/>
                            </w:rPr>
                          </w:pPr>
                          <w:r>
                            <w:t>INMUNIZACIÓN PASIVA</w:t>
                          </w:r>
                          <w:r>
                            <w:tab/>
                          </w:r>
                          <w:r>
                            <w:rPr>
                              <w:sz w:val="16"/>
                              <w:szCs w:val="16"/>
                            </w:rPr>
                            <w:t>57</w:t>
                          </w:r>
                        </w:p>
                      </w:txbxContent>
                    </wps:txbx>
                    <wps:bodyPr lIns="0" tIns="0" rIns="0" bIns="0">
                      <a:spAutoFit/>
                    </wps:bodyPr>
                  </wps:wsp>
                </a:graphicData>
              </a:graphic>
            </wp:anchor>
          </w:drawing>
        </mc:Choice>
        <mc:Fallback>
          <w:pict>
            <v:shapetype w14:anchorId="40D8547F" id="_x0000_t202" coordsize="21600,21600" o:spt="202" path="m,l,21600r21600,l21600,xe">
              <v:stroke joinstyle="miter"/>
              <v:path gradientshapeok="t" o:connecttype="rect"/>
            </v:shapetype>
            <v:shape id="Shape 164" o:spid="_x0000_s1107" type="#_x0000_t202" style="position:absolute;margin-left:172.2pt;margin-top:23.3pt;width:207.85pt;height:6.7pt;z-index:-2514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" filled="f" stroked="f">
              <v:textbox style="mso-fit-shape-to-text:t" inset="0,0,0,0">
                <w:txbxContent>
                  <w:p w14:paraId="37D57FE7" w14:textId="77777777" w:rsidR="0072615D" w:rsidRDefault="0072615D">
                    <w:pPr>
                      <w:pStyle w:val="Headerorfooter0"/>
                      <w:tabs>
                        <w:tab w:val="right" w:pos="4157"/>
                      </w:tabs>
                      <w:rPr>
                        <w:sz w:val="16"/>
                        <w:szCs w:val="16"/>
                      </w:rPr>
                    </w:pPr>
                    <w:r>
                      <w:t>INMUNIZACIÓN PASIVA</w:t>
                    </w:r>
                    <w:r>
                      <w:tab/>
                    </w:r>
                    <w:r>
                      <w:rPr>
                        <w:sz w:val="16"/>
                        <w:szCs w:val="16"/>
                      </w:rPr>
                      <w:t>57</w:t>
                    </w:r>
                  </w:p>
                </w:txbxContent>
              </v:textbox>
              <w10:wrap anchorx="page" anchory="page"/>
            </v:shape>
          </w:pict>
        </mc:Fallback>
      </mc:AlternateContent>
    </w:r>
    <w:r>
      <w:rPr>
        <w:noProof/>
      </w:rPr>
      <mc:AlternateContent>
        <mc:Choice Requires="wps">
          <w:drawing>
            <wp:anchor distT="0" distB="0" distL="114300" distR="114300" simplePos="0" relativeHeight="251702272" behindDoc="1" locked="0" layoutInCell="1" allowOverlap="1" wp14:anchorId="7B34FE99" wp14:editId="3B181F1B">
              <wp:simplePos x="0" y="0"/>
              <wp:positionH relativeFrom="page">
                <wp:posOffset>489585</wp:posOffset>
              </wp:positionH>
              <wp:positionV relativeFrom="page">
                <wp:posOffset>419100</wp:posOffset>
              </wp:positionV>
              <wp:extent cx="4358640" cy="0"/>
              <wp:effectExtent l="0" t="0" r="0" b="0"/>
              <wp:wrapNone/>
              <wp:docPr id="166" name="Shape 1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76519E9" id="_x0000_t32" coordsize="21600,21600" o:spt="32" o:oned="t" path="m,l21600,21600e" filled="f">
              <v:path arrowok="t" fillok="f" o:connecttype="none"/>
              <o:lock v:ext="edit" shapetype="t"/>
            </v:shapetype>
            <v:shape id="Shape 166" o:spid="_x0000_s1026" type="#_x0000_t32" style="position:absolute;margin-left:38.55pt;margin-top:33pt;width:343.2pt;height:0;z-index:-251614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" strokeweight="1pt">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A3C6" w14:textId="77777777" w:rsidR="0072615D" w:rsidRDefault="0072615D">
    <w:pPr>
      <w:spacing w:line="1" w:lineRule="exact"/>
    </w:pPr>
    <w:r>
      <w:rPr>
        <w:noProof/>
      </w:rPr>
      <mc:AlternateContent>
        <mc:Choice Requires="wps">
          <w:drawing>
            <wp:anchor distT="0" distB="0" distL="0" distR="0" simplePos="0" relativeHeight="251839488" behindDoc="1" locked="0" layoutInCell="1" allowOverlap="1" wp14:anchorId="276E1B76" wp14:editId="462050BD">
              <wp:simplePos x="0" y="0"/>
              <wp:positionH relativeFrom="page">
                <wp:posOffset>2186940</wp:posOffset>
              </wp:positionH>
              <wp:positionV relativeFrom="page">
                <wp:posOffset>295910</wp:posOffset>
              </wp:positionV>
              <wp:extent cx="2639695" cy="85090"/>
              <wp:effectExtent l="0" t="0" r="0" b="0"/>
              <wp:wrapNone/>
              <wp:docPr id="173" name="Shape 173"/>
              <wp:cNvGraphicFramePr/>
              <a:graphic xmlns:a="http://schemas.openxmlformats.org/drawingml/2006/main">
                <a:graphicData uri="http://schemas.microsoft.com/office/word/2010/wordprocessingShape">
                  <wps:wsp>
                    <wps:cNvSpPr txBox="1"/>
                    <wps:spPr>
                      <a:xfrm>
                        <a:off x="0" y="0"/>
                        <a:ext cx="2639695" cy="85090"/>
                      </a:xfrm>
                      <a:prstGeom prst="rect">
                        <a:avLst/>
                      </a:prstGeom>
                      <a:noFill/>
                    </wps:spPr>
                    <wps:txbx>
                      <w:txbxContent>
                        <w:p w14:paraId="3E224E64" w14:textId="77777777" w:rsidR="0072615D" w:rsidRDefault="0072615D">
                          <w:pPr>
                            <w:pStyle w:val="Headerorfooter0"/>
                            <w:tabs>
                              <w:tab w:val="right" w:pos="4157"/>
                            </w:tabs>
                            <w:rPr>
                              <w:sz w:val="16"/>
                              <w:szCs w:val="16"/>
                            </w:rPr>
                          </w:pPr>
                          <w:r>
                            <w:t>INMUNIZACIÓN PASIVA</w:t>
                          </w:r>
                          <w:r>
                            <w:tab/>
                          </w:r>
                          <w:r>
                            <w:rPr>
                              <w:sz w:val="16"/>
                              <w:szCs w:val="16"/>
                            </w:rPr>
                            <w:t>57</w:t>
                          </w:r>
                        </w:p>
                      </w:txbxContent>
                    </wps:txbx>
                    <wps:bodyPr lIns="0" tIns="0" rIns="0" bIns="0">
                      <a:spAutoFit/>
                    </wps:bodyPr>
                  </wps:wsp>
                </a:graphicData>
              </a:graphic>
            </wp:anchor>
          </w:drawing>
        </mc:Choice>
        <mc:Fallback>
          <w:pict>
            <v:shapetype w14:anchorId="276E1B76" id="_x0000_t202" coordsize="21600,21600" o:spt="202" path="m,l,21600r21600,l21600,xe">
              <v:stroke joinstyle="miter"/>
              <v:path gradientshapeok="t" o:connecttype="rect"/>
            </v:shapetype>
            <v:shape id="Shape 173" o:spid="_x0000_s1108" type="#_x0000_t202" style="position:absolute;margin-left:172.2pt;margin-top:23.3pt;width:207.85pt;height:6.7pt;z-index:-2514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" filled="f" stroked="f">
              <v:textbox style="mso-fit-shape-to-text:t" inset="0,0,0,0">
                <w:txbxContent>
                  <w:p w14:paraId="3E224E64" w14:textId="77777777" w:rsidR="0072615D" w:rsidRDefault="0072615D">
                    <w:pPr>
                      <w:pStyle w:val="Headerorfooter0"/>
                      <w:tabs>
                        <w:tab w:val="right" w:pos="4157"/>
                      </w:tabs>
                      <w:rPr>
                        <w:sz w:val="16"/>
                        <w:szCs w:val="16"/>
                      </w:rPr>
                    </w:pPr>
                    <w:r>
                      <w:t>INMUNIZACIÓN PASIVA</w:t>
                    </w:r>
                    <w:r>
                      <w:tab/>
                    </w:r>
                    <w:r>
                      <w:rPr>
                        <w:sz w:val="16"/>
                        <w:szCs w:val="16"/>
                      </w:rPr>
                      <w:t>57</w:t>
                    </w:r>
                  </w:p>
                </w:txbxContent>
              </v:textbox>
              <w10:wrap anchorx="page" anchory="page"/>
            </v:shape>
          </w:pict>
        </mc:Fallback>
      </mc:AlternateContent>
    </w:r>
    <w:r>
      <w:rPr>
        <w:noProof/>
      </w:rPr>
      <mc:AlternateContent>
        <mc:Choice Requires="wps">
          <w:drawing>
            <wp:anchor distT="0" distB="0" distL="114300" distR="114300" simplePos="0" relativeHeight="251705344" behindDoc="1" locked="0" layoutInCell="1" allowOverlap="1" wp14:anchorId="60C63874" wp14:editId="2F709328">
              <wp:simplePos x="0" y="0"/>
              <wp:positionH relativeFrom="page">
                <wp:posOffset>489585</wp:posOffset>
              </wp:positionH>
              <wp:positionV relativeFrom="page">
                <wp:posOffset>419100</wp:posOffset>
              </wp:positionV>
              <wp:extent cx="4358640" cy="0"/>
              <wp:effectExtent l="0" t="0" r="0" b="0"/>
              <wp:wrapNone/>
              <wp:docPr id="175" name="Shape 17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61BDBCB" id="_x0000_t32" coordsize="21600,21600" o:spt="32" o:oned="t" path="m,l21600,21600e" filled="f">
              <v:path arrowok="t" fillok="f" o:connecttype="none"/>
              <o:lock v:ext="edit" shapetype="t"/>
            </v:shapetype>
            <v:shape id="Shape 175" o:spid="_x0000_s1026" type="#_x0000_t32" style="position:absolute;margin-left:38.55pt;margin-top:33pt;width:343.2pt;height:0;z-index:-251611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" strokeweight="1pt">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B7FC" w14:textId="77777777" w:rsidR="0072615D" w:rsidRDefault="0072615D">
    <w:pPr>
      <w:spacing w:line="1" w:lineRule="exact"/>
    </w:pPr>
    <w:r>
      <w:rPr>
        <w:noProof/>
      </w:rPr>
      <mc:AlternateContent>
        <mc:Choice Requires="wps">
          <w:drawing>
            <wp:anchor distT="0" distB="0" distL="0" distR="0" simplePos="0" relativeHeight="251838464" behindDoc="1" locked="0" layoutInCell="1" allowOverlap="1" wp14:anchorId="0CCA3748" wp14:editId="44B77F27">
              <wp:simplePos x="0" y="0"/>
              <wp:positionH relativeFrom="page">
                <wp:posOffset>494030</wp:posOffset>
              </wp:positionH>
              <wp:positionV relativeFrom="page">
                <wp:posOffset>295910</wp:posOffset>
              </wp:positionV>
              <wp:extent cx="2651760" cy="85090"/>
              <wp:effectExtent l="0" t="0" r="0" b="0"/>
              <wp:wrapNone/>
              <wp:docPr id="170" name="Shape 170"/>
              <wp:cNvGraphicFramePr/>
              <a:graphic xmlns:a="http://schemas.openxmlformats.org/drawingml/2006/main">
                <a:graphicData uri="http://schemas.microsoft.com/office/word/2010/wordprocessingShape">
                  <wps:wsp>
                    <wps:cNvSpPr txBox="1"/>
                    <wps:spPr>
                      <a:xfrm>
                        <a:off x="0" y="0"/>
                        <a:ext cx="2651760" cy="85090"/>
                      </a:xfrm>
                      <a:prstGeom prst="rect">
                        <a:avLst/>
                      </a:prstGeom>
                      <a:noFill/>
                    </wps:spPr>
                    <wps:txbx>
                      <w:txbxContent>
                        <w:p w14:paraId="61D89D8E" w14:textId="77777777" w:rsidR="0072615D" w:rsidRDefault="0072615D">
                          <w:pPr>
                            <w:pStyle w:val="Headerorfooter0"/>
                            <w:tabs>
                              <w:tab w:val="right" w:pos="4176"/>
                            </w:tabs>
                          </w:pPr>
                          <w:r>
                            <w:rPr>
                              <w:sz w:val="16"/>
                              <w:szCs w:val="16"/>
                            </w:rPr>
                            <w:t>58</w:t>
                          </w:r>
                          <w:r>
                            <w:rPr>
                              <w:sz w:val="16"/>
                              <w:szCs w:val="16"/>
                            </w:rPr>
                            <w:tab/>
                          </w:r>
                          <w:r>
                            <w:t>INMUNIZACIÓN PASIVA</w:t>
                          </w:r>
                        </w:p>
                      </w:txbxContent>
                    </wps:txbx>
                    <wps:bodyPr lIns="0" tIns="0" rIns="0" bIns="0">
                      <a:spAutoFit/>
                    </wps:bodyPr>
                  </wps:wsp>
                </a:graphicData>
              </a:graphic>
            </wp:anchor>
          </w:drawing>
        </mc:Choice>
        <mc:Fallback>
          <w:pict>
            <v:shapetype w14:anchorId="0CCA3748" id="_x0000_t202" coordsize="21600,21600" o:spt="202" path="m,l,21600r21600,l21600,xe">
              <v:stroke joinstyle="miter"/>
              <v:path gradientshapeok="t" o:connecttype="rect"/>
            </v:shapetype>
            <v:shape id="Shape 170" o:spid="_x0000_s1109" type="#_x0000_t202" style="position:absolute;margin-left:38.9pt;margin-top:23.3pt;width:208.8pt;height:6.7pt;z-index:-2514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" filled="f" stroked="f">
              <v:textbox style="mso-fit-shape-to-text:t" inset="0,0,0,0">
                <w:txbxContent>
                  <w:p w14:paraId="61D89D8E" w14:textId="77777777" w:rsidR="0072615D" w:rsidRDefault="0072615D">
                    <w:pPr>
                      <w:pStyle w:val="Headerorfooter0"/>
                      <w:tabs>
                        <w:tab w:val="right" w:pos="4176"/>
                      </w:tabs>
                    </w:pPr>
                    <w:r>
                      <w:rPr>
                        <w:sz w:val="16"/>
                        <w:szCs w:val="16"/>
                      </w:rPr>
                      <w:t>58</w:t>
                    </w:r>
                    <w:r>
                      <w:rPr>
                        <w:sz w:val="16"/>
                        <w:szCs w:val="16"/>
                      </w:rPr>
                      <w:tab/>
                    </w:r>
                    <w:r>
                      <w:t>INMUNIZACIÓN PASIVA</w:t>
                    </w:r>
                  </w:p>
                </w:txbxContent>
              </v:textbox>
              <w10:wrap anchorx="page" anchory="page"/>
            </v:shape>
          </w:pict>
        </mc:Fallback>
      </mc:AlternateContent>
    </w:r>
    <w:r>
      <w:rPr>
        <w:noProof/>
      </w:rPr>
      <mc:AlternateContent>
        <mc:Choice Requires="wps">
          <w:drawing>
            <wp:anchor distT="0" distB="0" distL="114300" distR="114300" simplePos="0" relativeHeight="251704320" behindDoc="1" locked="0" layoutInCell="1" allowOverlap="1" wp14:anchorId="4E95C546" wp14:editId="62BDDA8E">
              <wp:simplePos x="0" y="0"/>
              <wp:positionH relativeFrom="page">
                <wp:posOffset>478790</wp:posOffset>
              </wp:positionH>
              <wp:positionV relativeFrom="page">
                <wp:posOffset>419100</wp:posOffset>
              </wp:positionV>
              <wp:extent cx="4358640" cy="0"/>
              <wp:effectExtent l="0" t="0" r="0" b="0"/>
              <wp:wrapNone/>
              <wp:docPr id="172" name="Shape 17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D416B8A" id="_x0000_t32" coordsize="21600,21600" o:spt="32" o:oned="t" path="m,l21600,21600e" filled="f">
              <v:path arrowok="t" fillok="f" o:connecttype="none"/>
              <o:lock v:ext="edit" shapetype="t"/>
            </v:shapetype>
            <v:shape id="Shape 172" o:spid="_x0000_s1026" type="#_x0000_t32" style="position:absolute;margin-left:37.7pt;margin-top:33pt;width:343.2pt;height:0;z-index:-2516121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" strokeweight="1pt">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18BF" w14:textId="77777777" w:rsidR="0072615D" w:rsidRDefault="0072615D">
    <w:pPr>
      <w:spacing w:line="1" w:lineRule="exact"/>
    </w:pPr>
    <w:r>
      <w:rPr>
        <w:noProof/>
      </w:rPr>
      <mc:AlternateContent>
        <mc:Choice Requires="wps">
          <w:drawing>
            <wp:anchor distT="0" distB="0" distL="0" distR="0" simplePos="0" relativeHeight="251841536" behindDoc="1" locked="0" layoutInCell="1" allowOverlap="1" wp14:anchorId="28766868" wp14:editId="61902A0E">
              <wp:simplePos x="0" y="0"/>
              <wp:positionH relativeFrom="page">
                <wp:posOffset>494030</wp:posOffset>
              </wp:positionH>
              <wp:positionV relativeFrom="page">
                <wp:posOffset>295910</wp:posOffset>
              </wp:positionV>
              <wp:extent cx="2651760" cy="85090"/>
              <wp:effectExtent l="0" t="0" r="0" b="0"/>
              <wp:wrapNone/>
              <wp:docPr id="179" name="Shape 179"/>
              <wp:cNvGraphicFramePr/>
              <a:graphic xmlns:a="http://schemas.openxmlformats.org/drawingml/2006/main">
                <a:graphicData uri="http://schemas.microsoft.com/office/word/2010/wordprocessingShape">
                  <wps:wsp>
                    <wps:cNvSpPr txBox="1"/>
                    <wps:spPr>
                      <a:xfrm>
                        <a:off x="0" y="0"/>
                        <a:ext cx="2651760" cy="85090"/>
                      </a:xfrm>
                      <a:prstGeom prst="rect">
                        <a:avLst/>
                      </a:prstGeom>
                      <a:noFill/>
                    </wps:spPr>
                    <wps:txbx>
                      <w:txbxContent>
                        <w:p w14:paraId="6A1D60FE" w14:textId="77777777" w:rsidR="0072615D" w:rsidRDefault="0072615D">
                          <w:pPr>
                            <w:pStyle w:val="Headerorfooter0"/>
                            <w:tabs>
                              <w:tab w:val="right" w:pos="4176"/>
                            </w:tabs>
                          </w:pPr>
                          <w:r>
                            <w:rPr>
                              <w:sz w:val="16"/>
                              <w:szCs w:val="16"/>
                            </w:rPr>
                            <w:t>58</w:t>
                          </w:r>
                          <w:r>
                            <w:rPr>
                              <w:sz w:val="16"/>
                              <w:szCs w:val="16"/>
                            </w:rPr>
                            <w:tab/>
                          </w:r>
                          <w:r>
                            <w:t>INMUNIZACIÓN PASIVA</w:t>
                          </w:r>
                        </w:p>
                      </w:txbxContent>
                    </wps:txbx>
                    <wps:bodyPr lIns="0" tIns="0" rIns="0" bIns="0">
                      <a:spAutoFit/>
                    </wps:bodyPr>
                  </wps:wsp>
                </a:graphicData>
              </a:graphic>
            </wp:anchor>
          </w:drawing>
        </mc:Choice>
        <mc:Fallback>
          <w:pict>
            <v:shapetype w14:anchorId="28766868" id="_x0000_t202" coordsize="21600,21600" o:spt="202" path="m,l,21600r21600,l21600,xe">
              <v:stroke joinstyle="miter"/>
              <v:path gradientshapeok="t" o:connecttype="rect"/>
            </v:shapetype>
            <v:shape id="Shape 179" o:spid="_x0000_s1110" type="#_x0000_t202" style="position:absolute;margin-left:38.9pt;margin-top:23.3pt;width:208.8pt;height:6.7pt;z-index:-2514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" filled="f" stroked="f">
              <v:textbox style="mso-fit-shape-to-text:t" inset="0,0,0,0">
                <w:txbxContent>
                  <w:p w14:paraId="6A1D60FE" w14:textId="77777777" w:rsidR="0072615D" w:rsidRDefault="0072615D">
                    <w:pPr>
                      <w:pStyle w:val="Headerorfooter0"/>
                      <w:tabs>
                        <w:tab w:val="right" w:pos="4176"/>
                      </w:tabs>
                    </w:pPr>
                    <w:r>
                      <w:rPr>
                        <w:sz w:val="16"/>
                        <w:szCs w:val="16"/>
                      </w:rPr>
                      <w:t>58</w:t>
                    </w:r>
                    <w:r>
                      <w:rPr>
                        <w:sz w:val="16"/>
                        <w:szCs w:val="16"/>
                      </w:rPr>
                      <w:tab/>
                    </w:r>
                    <w:r>
                      <w:t>INMUNIZACIÓN PASIVA</w:t>
                    </w:r>
                  </w:p>
                </w:txbxContent>
              </v:textbox>
              <w10:wrap anchorx="page" anchory="page"/>
            </v:shape>
          </w:pict>
        </mc:Fallback>
      </mc:AlternateContent>
    </w:r>
    <w:r>
      <w:rPr>
        <w:noProof/>
      </w:rPr>
      <mc:AlternateContent>
        <mc:Choice Requires="wps">
          <w:drawing>
            <wp:anchor distT="0" distB="0" distL="114300" distR="114300" simplePos="0" relativeHeight="251707392" behindDoc="1" locked="0" layoutInCell="1" allowOverlap="1" wp14:anchorId="72AA57D7" wp14:editId="0BF8BD82">
              <wp:simplePos x="0" y="0"/>
              <wp:positionH relativeFrom="page">
                <wp:posOffset>478790</wp:posOffset>
              </wp:positionH>
              <wp:positionV relativeFrom="page">
                <wp:posOffset>419100</wp:posOffset>
              </wp:positionV>
              <wp:extent cx="4358640" cy="0"/>
              <wp:effectExtent l="0" t="0" r="0" b="0"/>
              <wp:wrapNone/>
              <wp:docPr id="181" name="Shape 18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139D10D" id="_x0000_t32" coordsize="21600,21600" o:spt="32" o:oned="t" path="m,l21600,21600e" filled="f">
              <v:path arrowok="t" fillok="f" o:connecttype="none"/>
              <o:lock v:ext="edit" shapetype="t"/>
            </v:shapetype>
            <v:shape id="Shape 181" o:spid="_x0000_s1026" type="#_x0000_t32" style="position:absolute;margin-left:37.7pt;margin-top:33pt;width:343.2pt;height:0;z-index:-251609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" strokeweight="1pt">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466E" w14:textId="77777777" w:rsidR="0072615D" w:rsidRDefault="0072615D">
    <w:pPr>
      <w:spacing w:line="1" w:lineRule="exact"/>
    </w:pPr>
    <w:r>
      <w:rPr>
        <w:noProof/>
      </w:rPr>
      <mc:AlternateContent>
        <mc:Choice Requires="wps">
          <w:drawing>
            <wp:anchor distT="0" distB="0" distL="0" distR="0" simplePos="0" relativeHeight="251840512" behindDoc="1" locked="0" layoutInCell="1" allowOverlap="1" wp14:anchorId="608AD501" wp14:editId="491A6AB8">
              <wp:simplePos x="0" y="0"/>
              <wp:positionH relativeFrom="page">
                <wp:posOffset>2186940</wp:posOffset>
              </wp:positionH>
              <wp:positionV relativeFrom="page">
                <wp:posOffset>295910</wp:posOffset>
              </wp:positionV>
              <wp:extent cx="2639695" cy="85090"/>
              <wp:effectExtent l="0" t="0" r="0" b="0"/>
              <wp:wrapNone/>
              <wp:docPr id="176" name="Shape 176"/>
              <wp:cNvGraphicFramePr/>
              <a:graphic xmlns:a="http://schemas.openxmlformats.org/drawingml/2006/main">
                <a:graphicData uri="http://schemas.microsoft.com/office/word/2010/wordprocessingShape">
                  <wps:wsp>
                    <wps:cNvSpPr txBox="1"/>
                    <wps:spPr>
                      <a:xfrm>
                        <a:off x="0" y="0"/>
                        <a:ext cx="2639695" cy="85090"/>
                      </a:xfrm>
                      <a:prstGeom prst="rect">
                        <a:avLst/>
                      </a:prstGeom>
                      <a:noFill/>
                    </wps:spPr>
                    <wps:txbx>
                      <w:txbxContent>
                        <w:p w14:paraId="2CE344B5" w14:textId="77777777" w:rsidR="0072615D" w:rsidRDefault="0072615D">
                          <w:pPr>
                            <w:pStyle w:val="Headerorfooter0"/>
                            <w:tabs>
                              <w:tab w:val="right" w:pos="4157"/>
                            </w:tabs>
                            <w:rPr>
                              <w:sz w:val="16"/>
                              <w:szCs w:val="16"/>
                            </w:rPr>
                          </w:pPr>
                          <w:r>
                            <w:t>INMUNIZACIÓN PASIVA</w:t>
                          </w:r>
                          <w:r>
                            <w:tab/>
                          </w:r>
                          <w:r>
                            <w:rPr>
                              <w:sz w:val="16"/>
                              <w:szCs w:val="16"/>
                            </w:rPr>
                            <w:t>57</w:t>
                          </w:r>
                        </w:p>
                      </w:txbxContent>
                    </wps:txbx>
                    <wps:bodyPr lIns="0" tIns="0" rIns="0" bIns="0">
                      <a:spAutoFit/>
                    </wps:bodyPr>
                  </wps:wsp>
                </a:graphicData>
              </a:graphic>
            </wp:anchor>
          </w:drawing>
        </mc:Choice>
        <mc:Fallback>
          <w:pict>
            <v:shapetype w14:anchorId="608AD501" id="_x0000_t202" coordsize="21600,21600" o:spt="202" path="m,l,21600r21600,l21600,xe">
              <v:stroke joinstyle="miter"/>
              <v:path gradientshapeok="t" o:connecttype="rect"/>
            </v:shapetype>
            <v:shape id="Shape 176" o:spid="_x0000_s1111" type="#_x0000_t202" style="position:absolute;margin-left:172.2pt;margin-top:23.3pt;width:207.85pt;height:6.7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" filled="f" stroked="f">
              <v:textbox style="mso-fit-shape-to-text:t" inset="0,0,0,0">
                <w:txbxContent>
                  <w:p w14:paraId="2CE344B5" w14:textId="77777777" w:rsidR="0072615D" w:rsidRDefault="0072615D">
                    <w:pPr>
                      <w:pStyle w:val="Headerorfooter0"/>
                      <w:tabs>
                        <w:tab w:val="right" w:pos="4157"/>
                      </w:tabs>
                      <w:rPr>
                        <w:sz w:val="16"/>
                        <w:szCs w:val="16"/>
                      </w:rPr>
                    </w:pPr>
                    <w:r>
                      <w:t>INMUNIZACIÓN PASIVA</w:t>
                    </w:r>
                    <w:r>
                      <w:tab/>
                    </w:r>
                    <w:r>
                      <w:rPr>
                        <w:sz w:val="16"/>
                        <w:szCs w:val="16"/>
                      </w:rPr>
                      <w:t>57</w:t>
                    </w:r>
                  </w:p>
                </w:txbxContent>
              </v:textbox>
              <w10:wrap anchorx="page" anchory="page"/>
            </v:shape>
          </w:pict>
        </mc:Fallback>
      </mc:AlternateContent>
    </w:r>
    <w:r>
      <w:rPr>
        <w:noProof/>
      </w:rPr>
      <mc:AlternateContent>
        <mc:Choice Requires="wps">
          <w:drawing>
            <wp:anchor distT="0" distB="0" distL="114300" distR="114300" simplePos="0" relativeHeight="251706368" behindDoc="1" locked="0" layoutInCell="1" allowOverlap="1" wp14:anchorId="157CE924" wp14:editId="7408CAD0">
              <wp:simplePos x="0" y="0"/>
              <wp:positionH relativeFrom="page">
                <wp:posOffset>489585</wp:posOffset>
              </wp:positionH>
              <wp:positionV relativeFrom="page">
                <wp:posOffset>419100</wp:posOffset>
              </wp:positionV>
              <wp:extent cx="4358640" cy="0"/>
              <wp:effectExtent l="0" t="0" r="0" b="0"/>
              <wp:wrapNone/>
              <wp:docPr id="178" name="Shape 17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AECCC6A" id="_x0000_t32" coordsize="21600,21600" o:spt="32" o:oned="t" path="m,l21600,21600e" filled="f">
              <v:path arrowok="t" fillok="f" o:connecttype="none"/>
              <o:lock v:ext="edit" shapetype="t"/>
            </v:shapetype>
            <v:shape id="Shape 178" o:spid="_x0000_s1026" type="#_x0000_t32" style="position:absolute;margin-left:38.55pt;margin-top:33pt;width:343.2pt;height:0;z-index:-251610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" strokeweight="1pt">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D69F" w14:textId="77777777" w:rsidR="0072615D" w:rsidRDefault="0072615D">
    <w:pPr>
      <w:spacing w:line="1" w:lineRule="exact"/>
    </w:pPr>
    <w:r>
      <w:rPr>
        <w:noProof/>
      </w:rPr>
      <mc:AlternateContent>
        <mc:Choice Requires="wps">
          <w:drawing>
            <wp:anchor distT="0" distB="0" distL="0" distR="0" simplePos="0" relativeHeight="251843584" behindDoc="1" locked="0" layoutInCell="1" allowOverlap="1" wp14:anchorId="10598B5F" wp14:editId="56446E16">
              <wp:simplePos x="0" y="0"/>
              <wp:positionH relativeFrom="page">
                <wp:posOffset>650240</wp:posOffset>
              </wp:positionH>
              <wp:positionV relativeFrom="page">
                <wp:posOffset>295910</wp:posOffset>
              </wp:positionV>
              <wp:extent cx="3496310" cy="85090"/>
              <wp:effectExtent l="0" t="0" r="0" b="0"/>
              <wp:wrapNone/>
              <wp:docPr id="195" name="Shape 195"/>
              <wp:cNvGraphicFramePr/>
              <a:graphic xmlns:a="http://schemas.openxmlformats.org/drawingml/2006/main">
                <a:graphicData uri="http://schemas.microsoft.com/office/word/2010/wordprocessingShape">
                  <wps:wsp>
                    <wps:cNvSpPr txBox="1"/>
                    <wps:spPr>
                      <a:xfrm>
                        <a:off x="0" y="0"/>
                        <a:ext cx="3496310" cy="85090"/>
                      </a:xfrm>
                      <a:prstGeom prst="rect">
                        <a:avLst/>
                      </a:prstGeom>
                      <a:noFill/>
                    </wps:spPr>
                    <wps:txbx>
                      <w:txbxContent>
                        <w:p w14:paraId="29DF01EE"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wps:txbx>
                    <wps:bodyPr lIns="0" tIns="0" rIns="0" bIns="0">
                      <a:spAutoFit/>
                    </wps:bodyPr>
                  </wps:wsp>
                </a:graphicData>
              </a:graphic>
            </wp:anchor>
          </w:drawing>
        </mc:Choice>
        <mc:Fallback>
          <w:pict>
            <v:shapetype w14:anchorId="10598B5F" id="_x0000_t202" coordsize="21600,21600" o:spt="202" path="m,l,21600r21600,l21600,xe">
              <v:stroke joinstyle="miter"/>
              <v:path gradientshapeok="t" o:connecttype="rect"/>
            </v:shapetype>
            <v:shape id="Shape 195" o:spid="_x0000_s1112" type="#_x0000_t202" style="position:absolute;margin-left:51.2pt;margin-top:23.3pt;width:275.3pt;height:6.7pt;z-index:-2514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" filled="f" stroked="f">
              <v:textbox style="mso-fit-shape-to-text:t" inset="0,0,0,0">
                <w:txbxContent>
                  <w:p w14:paraId="29DF01EE"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v:textbox>
              <w10:wrap anchorx="page" anchory="page"/>
            </v:shape>
          </w:pict>
        </mc:Fallback>
      </mc:AlternateContent>
    </w:r>
    <w:r>
      <w:rPr>
        <w:noProof/>
      </w:rPr>
      <mc:AlternateContent>
        <mc:Choice Requires="wps">
          <w:drawing>
            <wp:anchor distT="0" distB="0" distL="114300" distR="114300" simplePos="0" relativeHeight="251709440" behindDoc="1" locked="0" layoutInCell="1" allowOverlap="1" wp14:anchorId="1A403323" wp14:editId="2BF683D5">
              <wp:simplePos x="0" y="0"/>
              <wp:positionH relativeFrom="page">
                <wp:posOffset>635000</wp:posOffset>
              </wp:positionH>
              <wp:positionV relativeFrom="page">
                <wp:posOffset>419100</wp:posOffset>
              </wp:positionV>
              <wp:extent cx="4358640" cy="0"/>
              <wp:effectExtent l="0" t="0" r="0" b="0"/>
              <wp:wrapNone/>
              <wp:docPr id="197" name="Shape 19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42E85BF" id="_x0000_t32" coordsize="21600,21600" o:spt="32" o:oned="t" path="m,l21600,21600e" filled="f">
              <v:path arrowok="t" fillok="f" o:connecttype="none"/>
              <o:lock v:ext="edit" shapetype="t"/>
            </v:shapetype>
            <v:shape id="Shape 197" o:spid="_x0000_s1026" type="#_x0000_t32" style="position:absolute;margin-left:50pt;margin-top:33pt;width:343.2pt;height:0;z-index:-251607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" strokeweight="1pt">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6B78" w14:textId="77777777" w:rsidR="0072615D" w:rsidRDefault="0072615D">
    <w:pPr>
      <w:spacing w:line="1" w:lineRule="exact"/>
    </w:pPr>
    <w:r>
      <w:rPr>
        <w:noProof/>
      </w:rPr>
      <mc:AlternateContent>
        <mc:Choice Requires="wps">
          <w:drawing>
            <wp:anchor distT="0" distB="0" distL="0" distR="0" simplePos="0" relativeHeight="251842560" behindDoc="1" locked="0" layoutInCell="1" allowOverlap="1" wp14:anchorId="2B2C4C1C" wp14:editId="5D709DD2">
              <wp:simplePos x="0" y="0"/>
              <wp:positionH relativeFrom="page">
                <wp:posOffset>1483995</wp:posOffset>
              </wp:positionH>
              <wp:positionV relativeFrom="page">
                <wp:posOffset>290195</wp:posOffset>
              </wp:positionV>
              <wp:extent cx="3477895" cy="85090"/>
              <wp:effectExtent l="0" t="0" r="0" b="0"/>
              <wp:wrapNone/>
              <wp:docPr id="192" name="Shape 192"/>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6E2B866C"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B2C4C1C" id="_x0000_t202" coordsize="21600,21600" o:spt="202" path="m,l,21600r21600,l21600,xe">
              <v:stroke joinstyle="miter"/>
              <v:path gradientshapeok="t" o:connecttype="rect"/>
            </v:shapetype>
            <v:shape id="Shape 192" o:spid="_x0000_s1113" type="#_x0000_t202" style="position:absolute;margin-left:116.85pt;margin-top:22.85pt;width:273.85pt;height:6.7pt;z-index:-251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LiGIlgAEAAPsCAAAOAAAAAAAAAAAAAAAAAC4CAABkcnMv&#10;ZTJvRG9jLnhtbFBLAQItABQABgAIAAAAIQCpIbn83gAAAAkBAAAPAAAAAAAAAAAAAAAAANoDAABk&#10;cnMvZG93bnJldi54bWxQSwUGAAAAAAQABADzAAAA5QQAAAAA&#10;" filled="f" stroked="f">
              <v:textbox style="mso-fit-shape-to-text:t" inset="0,0,0,0">
                <w:txbxContent>
                  <w:p w14:paraId="6E2B866C"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8416" behindDoc="1" locked="0" layoutInCell="1" allowOverlap="1" wp14:anchorId="44635E5A" wp14:editId="33276D1A">
              <wp:simplePos x="0" y="0"/>
              <wp:positionH relativeFrom="page">
                <wp:posOffset>639445</wp:posOffset>
              </wp:positionH>
              <wp:positionV relativeFrom="page">
                <wp:posOffset>419100</wp:posOffset>
              </wp:positionV>
              <wp:extent cx="4358640" cy="0"/>
              <wp:effectExtent l="0" t="0" r="0" b="0"/>
              <wp:wrapNone/>
              <wp:docPr id="194" name="Shape 19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89B815" id="_x0000_t32" coordsize="21600,21600" o:spt="32" o:oned="t" path="m,l21600,21600e" filled="f">
              <v:path arrowok="t" fillok="f" o:connecttype="none"/>
              <o:lock v:ext="edit" shapetype="t"/>
            </v:shapetype>
            <v:shape id="Shape 194" o:spid="_x0000_s1026" type="#_x0000_t32" style="position:absolute;margin-left:50.35pt;margin-top:33pt;width:343.2pt;height:0;z-index:-251608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8DE5" w14:textId="77777777" w:rsidR="0072615D" w:rsidRDefault="0072615D">
    <w:pPr>
      <w:spacing w:line="1" w:lineRule="exact"/>
    </w:pPr>
    <w:r>
      <w:rPr>
        <w:noProof/>
      </w:rPr>
      <mc:AlternateContent>
        <mc:Choice Requires="wps">
          <w:drawing>
            <wp:anchor distT="0" distB="0" distL="0" distR="0" simplePos="0" relativeHeight="251845632" behindDoc="1" locked="0" layoutInCell="1" allowOverlap="1" wp14:anchorId="0A914016" wp14:editId="015443F8">
              <wp:simplePos x="0" y="0"/>
              <wp:positionH relativeFrom="page">
                <wp:posOffset>661035</wp:posOffset>
              </wp:positionH>
              <wp:positionV relativeFrom="page">
                <wp:posOffset>295910</wp:posOffset>
              </wp:positionV>
              <wp:extent cx="3496310" cy="85090"/>
              <wp:effectExtent l="0" t="0" r="0" b="0"/>
              <wp:wrapNone/>
              <wp:docPr id="201" name="Shape 201"/>
              <wp:cNvGraphicFramePr/>
              <a:graphic xmlns:a="http://schemas.openxmlformats.org/drawingml/2006/main">
                <a:graphicData uri="http://schemas.microsoft.com/office/word/2010/wordprocessingShape">
                  <wps:wsp>
                    <wps:cNvSpPr txBox="1"/>
                    <wps:spPr>
                      <a:xfrm>
                        <a:off x="0" y="0"/>
                        <a:ext cx="3496310" cy="85090"/>
                      </a:xfrm>
                      <a:prstGeom prst="rect">
                        <a:avLst/>
                      </a:prstGeom>
                      <a:noFill/>
                    </wps:spPr>
                    <wps:txbx>
                      <w:txbxContent>
                        <w:p w14:paraId="65E2E266"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wps:txbx>
                    <wps:bodyPr lIns="0" tIns="0" rIns="0" bIns="0">
                      <a:spAutoFit/>
                    </wps:bodyPr>
                  </wps:wsp>
                </a:graphicData>
              </a:graphic>
            </wp:anchor>
          </w:drawing>
        </mc:Choice>
        <mc:Fallback>
          <w:pict>
            <v:shapetype w14:anchorId="0A914016" id="_x0000_t202" coordsize="21600,21600" o:spt="202" path="m,l,21600r21600,l21600,xe">
              <v:stroke joinstyle="miter"/>
              <v:path gradientshapeok="t" o:connecttype="rect"/>
            </v:shapetype>
            <v:shape id="Shape 201" o:spid="_x0000_s1114" type="#_x0000_t202" style="position:absolute;margin-left:52.05pt;margin-top:23.3pt;width:275.3pt;height:6.7pt;z-index:-2514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" filled="f" stroked="f">
              <v:textbox style="mso-fit-shape-to-text:t" inset="0,0,0,0">
                <w:txbxContent>
                  <w:p w14:paraId="65E2E266"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v:textbox>
              <w10:wrap anchorx="page" anchory="page"/>
            </v:shape>
          </w:pict>
        </mc:Fallback>
      </mc:AlternateContent>
    </w:r>
    <w:r>
      <w:rPr>
        <w:noProof/>
      </w:rPr>
      <mc:AlternateContent>
        <mc:Choice Requires="wps">
          <w:drawing>
            <wp:anchor distT="0" distB="0" distL="114300" distR="114300" simplePos="0" relativeHeight="251711488" behindDoc="1" locked="0" layoutInCell="1" allowOverlap="1" wp14:anchorId="18C02882" wp14:editId="1EDECB89">
              <wp:simplePos x="0" y="0"/>
              <wp:positionH relativeFrom="page">
                <wp:posOffset>645795</wp:posOffset>
              </wp:positionH>
              <wp:positionV relativeFrom="page">
                <wp:posOffset>419100</wp:posOffset>
              </wp:positionV>
              <wp:extent cx="4358640" cy="0"/>
              <wp:effectExtent l="0" t="0" r="0" b="0"/>
              <wp:wrapNone/>
              <wp:docPr id="203" name="Shape 20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302FE20" id="_x0000_t32" coordsize="21600,21600" o:spt="32" o:oned="t" path="m,l21600,21600e" filled="f">
              <v:path arrowok="t" fillok="f" o:connecttype="none"/>
              <o:lock v:ext="edit" shapetype="t"/>
            </v:shapetype>
            <v:shape id="Shape 203" o:spid="_x0000_s1026" type="#_x0000_t32" style="position:absolute;margin-left:50.85pt;margin-top:33pt;width:343.2pt;height:0;z-index:-251604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" strokeweight="1pt">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8848" w14:textId="77777777" w:rsidR="0072615D" w:rsidRDefault="0072615D">
    <w:pPr>
      <w:spacing w:line="1" w:lineRule="exact"/>
    </w:pPr>
    <w:r>
      <w:rPr>
        <w:noProof/>
      </w:rPr>
      <mc:AlternateContent>
        <mc:Choice Requires="wps">
          <w:drawing>
            <wp:anchor distT="0" distB="0" distL="0" distR="0" simplePos="0" relativeHeight="251844608" behindDoc="1" locked="0" layoutInCell="1" allowOverlap="1" wp14:anchorId="6433109C" wp14:editId="16111DF5">
              <wp:simplePos x="0" y="0"/>
              <wp:positionH relativeFrom="page">
                <wp:posOffset>1483995</wp:posOffset>
              </wp:positionH>
              <wp:positionV relativeFrom="page">
                <wp:posOffset>290195</wp:posOffset>
              </wp:positionV>
              <wp:extent cx="3477895" cy="85090"/>
              <wp:effectExtent l="0" t="0" r="0" b="0"/>
              <wp:wrapNone/>
              <wp:docPr id="198" name="Shape 198"/>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4139FA4D"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433109C" id="_x0000_t202" coordsize="21600,21600" o:spt="202" path="m,l,21600r21600,l21600,xe">
              <v:stroke joinstyle="miter"/>
              <v:path gradientshapeok="t" o:connecttype="rect"/>
            </v:shapetype>
            <v:shape id="Shape 198" o:spid="_x0000_s1115" type="#_x0000_t202" style="position:absolute;margin-left:116.85pt;margin-top:22.85pt;width:273.85pt;height:6.7pt;z-index:-2514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" filled="f" stroked="f">
              <v:textbox style="mso-fit-shape-to-text:t" inset="0,0,0,0">
                <w:txbxContent>
                  <w:p w14:paraId="4139FA4D"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0464" behindDoc="1" locked="0" layoutInCell="1" allowOverlap="1" wp14:anchorId="29B703BE" wp14:editId="6D174B4A">
              <wp:simplePos x="0" y="0"/>
              <wp:positionH relativeFrom="page">
                <wp:posOffset>639445</wp:posOffset>
              </wp:positionH>
              <wp:positionV relativeFrom="page">
                <wp:posOffset>419100</wp:posOffset>
              </wp:positionV>
              <wp:extent cx="4358640" cy="0"/>
              <wp:effectExtent l="0" t="0" r="0" b="0"/>
              <wp:wrapNone/>
              <wp:docPr id="200" name="Shape 20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4FF04AD" id="_x0000_t32" coordsize="21600,21600" o:spt="32" o:oned="t" path="m,l21600,21600e" filled="f">
              <v:path arrowok="t" fillok="f" o:connecttype="none"/>
              <o:lock v:ext="edit" shapetype="t"/>
            </v:shapetype>
            <v:shape id="Shape 200" o:spid="_x0000_s1026" type="#_x0000_t32" style="position:absolute;margin-left:50.35pt;margin-top:33pt;width:343.2pt;height:0;z-index:-251606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BF65F" w14:textId="77777777" w:rsidR="0072615D" w:rsidRDefault="0072615D">
    <w:pPr>
      <w:spacing w:line="1" w:lineRule="exact"/>
    </w:pPr>
    <w:r>
      <w:rPr>
        <w:noProof/>
      </w:rPr>
      <mc:AlternateContent>
        <mc:Choice Requires="wps">
          <w:drawing>
            <wp:anchor distT="0" distB="0" distL="0" distR="0" simplePos="0" relativeHeight="251847680" behindDoc="1" locked="0" layoutInCell="1" allowOverlap="1" wp14:anchorId="31B049B9" wp14:editId="53091127">
              <wp:simplePos x="0" y="0"/>
              <wp:positionH relativeFrom="page">
                <wp:posOffset>1483995</wp:posOffset>
              </wp:positionH>
              <wp:positionV relativeFrom="page">
                <wp:posOffset>290195</wp:posOffset>
              </wp:positionV>
              <wp:extent cx="3477895" cy="85090"/>
              <wp:effectExtent l="0" t="0" r="0" b="0"/>
              <wp:wrapNone/>
              <wp:docPr id="207" name="Shape 207"/>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1B4A2451"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1B049B9" id="_x0000_t202" coordsize="21600,21600" o:spt="202" path="m,l,21600r21600,l21600,xe">
              <v:stroke joinstyle="miter"/>
              <v:path gradientshapeok="t" o:connecttype="rect"/>
            </v:shapetype>
            <v:shape id="Shape 207" o:spid="_x0000_s1116" type="#_x0000_t202" style="position:absolute;margin-left:116.85pt;margin-top:22.85pt;width:273.85pt;height:6.7pt;z-index:-2514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7Bs2igAEAAPsCAAAOAAAAAAAAAAAAAAAAAC4CAABkcnMv&#10;ZTJvRG9jLnhtbFBLAQItABQABgAIAAAAIQCpIbn83gAAAAkBAAAPAAAAAAAAAAAAAAAAANoDAABk&#10;cnMvZG93bnJldi54bWxQSwUGAAAAAAQABADzAAAA5QQAAAAA&#10;" filled="f" stroked="f">
              <v:textbox style="mso-fit-shape-to-text:t" inset="0,0,0,0">
                <w:txbxContent>
                  <w:p w14:paraId="1B4A2451"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3536" behindDoc="1" locked="0" layoutInCell="1" allowOverlap="1" wp14:anchorId="1DE3E1EE" wp14:editId="4A5F3C5B">
              <wp:simplePos x="0" y="0"/>
              <wp:positionH relativeFrom="page">
                <wp:posOffset>639445</wp:posOffset>
              </wp:positionH>
              <wp:positionV relativeFrom="page">
                <wp:posOffset>419100</wp:posOffset>
              </wp:positionV>
              <wp:extent cx="4358640" cy="0"/>
              <wp:effectExtent l="0" t="0" r="0" b="0"/>
              <wp:wrapNone/>
              <wp:docPr id="209" name="Shape 20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B47AA93" id="_x0000_t32" coordsize="21600,21600" o:spt="32" o:oned="t" path="m,l21600,21600e" filled="f">
              <v:path arrowok="t" fillok="f" o:connecttype="none"/>
              <o:lock v:ext="edit" shapetype="t"/>
            </v:shapetype>
            <v:shape id="Shape 209" o:spid="_x0000_s1026" type="#_x0000_t32" style="position:absolute;margin-left:50.35pt;margin-top:33pt;width:343.2pt;height:0;z-index:-251602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E503A" w14:textId="77777777" w:rsidR="0072615D" w:rsidRDefault="0072615D">
    <w:pPr>
      <w:spacing w:line="1" w:lineRule="exact"/>
    </w:pPr>
    <w:r>
      <w:rPr>
        <w:noProof/>
      </w:rPr>
      <mc:AlternateContent>
        <mc:Choice Requires="wps">
          <w:drawing>
            <wp:anchor distT="0" distB="0" distL="0" distR="0" simplePos="0" relativeHeight="251846656" behindDoc="1" locked="0" layoutInCell="1" allowOverlap="1" wp14:anchorId="429B412E" wp14:editId="59205E8C">
              <wp:simplePos x="0" y="0"/>
              <wp:positionH relativeFrom="page">
                <wp:posOffset>1483995</wp:posOffset>
              </wp:positionH>
              <wp:positionV relativeFrom="page">
                <wp:posOffset>290195</wp:posOffset>
              </wp:positionV>
              <wp:extent cx="3477895" cy="85090"/>
              <wp:effectExtent l="0" t="0" r="0" b="0"/>
              <wp:wrapNone/>
              <wp:docPr id="204" name="Shape 204"/>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28FA0F22"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429B412E" id="_x0000_t202" coordsize="21600,21600" o:spt="202" path="m,l,21600r21600,l21600,xe">
              <v:stroke joinstyle="miter"/>
              <v:path gradientshapeok="t" o:connecttype="rect"/>
            </v:shapetype>
            <v:shape id="Shape 204" o:spid="_x0000_s1117" type="#_x0000_t202" style="position:absolute;margin-left:116.85pt;margin-top:22.85pt;width:273.85pt;height:6.7pt;z-index:-2514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Iuk9WgAEAAPsCAAAOAAAAAAAAAAAAAAAAAC4CAABkcnMv&#10;ZTJvRG9jLnhtbFBLAQItABQABgAIAAAAIQCpIbn83gAAAAkBAAAPAAAAAAAAAAAAAAAAANoDAABk&#10;cnMvZG93bnJldi54bWxQSwUGAAAAAAQABADzAAAA5QQAAAAA&#10;" filled="f" stroked="f">
              <v:textbox style="mso-fit-shape-to-text:t" inset="0,0,0,0">
                <w:txbxContent>
                  <w:p w14:paraId="28FA0F22"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2512" behindDoc="1" locked="0" layoutInCell="1" allowOverlap="1" wp14:anchorId="49D7FCB9" wp14:editId="7E071334">
              <wp:simplePos x="0" y="0"/>
              <wp:positionH relativeFrom="page">
                <wp:posOffset>639445</wp:posOffset>
              </wp:positionH>
              <wp:positionV relativeFrom="page">
                <wp:posOffset>419100</wp:posOffset>
              </wp:positionV>
              <wp:extent cx="4358640" cy="0"/>
              <wp:effectExtent l="0" t="0" r="0" b="0"/>
              <wp:wrapNone/>
              <wp:docPr id="206" name="Shape 20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1F478CE" id="_x0000_t32" coordsize="21600,21600" o:spt="32" o:oned="t" path="m,l21600,21600e" filled="f">
              <v:path arrowok="t" fillok="f" o:connecttype="none"/>
              <o:lock v:ext="edit" shapetype="t"/>
            </v:shapetype>
            <v:shape id="Shape 206" o:spid="_x0000_s1026" type="#_x0000_t32" style="position:absolute;margin-left:50.35pt;margin-top:33pt;width:343.2pt;height:0;z-index:-2516039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D27E" w14:textId="77777777" w:rsidR="0072615D" w:rsidRDefault="0072615D"/>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07220" w14:textId="77777777" w:rsidR="0072615D" w:rsidRDefault="0072615D"/>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A8B7" w14:textId="77777777" w:rsidR="0072615D" w:rsidRDefault="0072615D"/>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C044" w14:textId="77777777" w:rsidR="0072615D" w:rsidRDefault="0072615D"/>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A9EC6" w14:textId="77777777" w:rsidR="0072615D" w:rsidRDefault="0072615D">
    <w:pPr>
      <w:spacing w:line="1" w:lineRule="exact"/>
    </w:pPr>
    <w:r>
      <w:rPr>
        <w:noProof/>
      </w:rPr>
      <mc:AlternateContent>
        <mc:Choice Requires="wps">
          <w:drawing>
            <wp:anchor distT="0" distB="0" distL="0" distR="0" simplePos="0" relativeHeight="251851776" behindDoc="1" locked="0" layoutInCell="1" allowOverlap="1" wp14:anchorId="2A11A1F0" wp14:editId="017E47F6">
              <wp:simplePos x="0" y="0"/>
              <wp:positionH relativeFrom="page">
                <wp:posOffset>548005</wp:posOffset>
              </wp:positionH>
              <wp:positionV relativeFrom="page">
                <wp:posOffset>295910</wp:posOffset>
              </wp:positionV>
              <wp:extent cx="3496310" cy="85090"/>
              <wp:effectExtent l="0" t="0" r="0" b="0"/>
              <wp:wrapNone/>
              <wp:docPr id="221" name="Shape 221"/>
              <wp:cNvGraphicFramePr/>
              <a:graphic xmlns:a="http://schemas.openxmlformats.org/drawingml/2006/main">
                <a:graphicData uri="http://schemas.microsoft.com/office/word/2010/wordprocessingShape">
                  <wps:wsp>
                    <wps:cNvSpPr txBox="1"/>
                    <wps:spPr>
                      <a:xfrm>
                        <a:off x="0" y="0"/>
                        <a:ext cx="3496310" cy="85090"/>
                      </a:xfrm>
                      <a:prstGeom prst="rect">
                        <a:avLst/>
                      </a:prstGeom>
                      <a:noFill/>
                    </wps:spPr>
                    <wps:txbx>
                      <w:txbxContent>
                        <w:p w14:paraId="7DF590E4"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wps:txbx>
                    <wps:bodyPr lIns="0" tIns="0" rIns="0" bIns="0">
                      <a:spAutoFit/>
                    </wps:bodyPr>
                  </wps:wsp>
                </a:graphicData>
              </a:graphic>
            </wp:anchor>
          </w:drawing>
        </mc:Choice>
        <mc:Fallback>
          <w:pict>
            <v:shapetype w14:anchorId="2A11A1F0" id="_x0000_t202" coordsize="21600,21600" o:spt="202" path="m,l,21600r21600,l21600,xe">
              <v:stroke joinstyle="miter"/>
              <v:path gradientshapeok="t" o:connecttype="rect"/>
            </v:shapetype>
            <v:shape id="Shape 221" o:spid="_x0000_s1120" type="#_x0000_t202" style="position:absolute;margin-left:43.15pt;margin-top:23.3pt;width:275.3pt;height:6.7pt;z-index:-2514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" filled="f" stroked="f">
              <v:textbox style="mso-fit-shape-to-text:t" inset="0,0,0,0">
                <w:txbxContent>
                  <w:p w14:paraId="7DF590E4"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v:textbox>
              <w10:wrap anchorx="page" anchory="page"/>
            </v:shape>
          </w:pict>
        </mc:Fallback>
      </mc:AlternateContent>
    </w:r>
    <w:r>
      <w:rPr>
        <w:noProof/>
      </w:rPr>
      <mc:AlternateContent>
        <mc:Choice Requires="wps">
          <w:drawing>
            <wp:anchor distT="0" distB="0" distL="114300" distR="114300" simplePos="0" relativeHeight="251715584" behindDoc="1" locked="0" layoutInCell="1" allowOverlap="1" wp14:anchorId="649B5EB0" wp14:editId="378C7A3A">
              <wp:simplePos x="0" y="0"/>
              <wp:positionH relativeFrom="page">
                <wp:posOffset>532765</wp:posOffset>
              </wp:positionH>
              <wp:positionV relativeFrom="page">
                <wp:posOffset>419100</wp:posOffset>
              </wp:positionV>
              <wp:extent cx="4358640" cy="0"/>
              <wp:effectExtent l="0" t="0" r="0" b="0"/>
              <wp:wrapNone/>
              <wp:docPr id="223" name="Shape 2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D332E83" id="_x0000_t32" coordsize="21600,21600" o:spt="32" o:oned="t" path="m,l21600,21600e" filled="f">
              <v:path arrowok="t" fillok="f" o:connecttype="none"/>
              <o:lock v:ext="edit" shapetype="t"/>
            </v:shapetype>
            <v:shape id="Shape 223" o:spid="_x0000_s1026" type="#_x0000_t32" style="position:absolute;margin-left:41.95pt;margin-top:33pt;width:343.2pt;height:0;z-index:-251600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Pyi&#10;4LnaAAAACAEAAA8AAAAAAAAAAAAAAAAAwgMAAGRycy9kb3ducmV2LnhtbFBLBQYAAAAABAAEAPMA&#10;AADJBAAAAAA=&#10;" strokeweight="1pt">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CE26" w14:textId="77777777" w:rsidR="0072615D" w:rsidRDefault="0072615D">
    <w:pPr>
      <w:spacing w:line="1" w:lineRule="exact"/>
    </w:pPr>
    <w:r>
      <w:rPr>
        <w:noProof/>
      </w:rPr>
      <mc:AlternateContent>
        <mc:Choice Requires="wps">
          <w:drawing>
            <wp:anchor distT="0" distB="0" distL="0" distR="0" simplePos="0" relativeHeight="251850752" behindDoc="1" locked="0" layoutInCell="1" allowOverlap="1" wp14:anchorId="2339E4C7" wp14:editId="7F0A7ABC">
              <wp:simplePos x="0" y="0"/>
              <wp:positionH relativeFrom="page">
                <wp:posOffset>1483995</wp:posOffset>
              </wp:positionH>
              <wp:positionV relativeFrom="page">
                <wp:posOffset>290195</wp:posOffset>
              </wp:positionV>
              <wp:extent cx="3477895" cy="85090"/>
              <wp:effectExtent l="0" t="0" r="0" b="0"/>
              <wp:wrapNone/>
              <wp:docPr id="218" name="Shape 218"/>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1BED3C73"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339E4C7" id="_x0000_t202" coordsize="21600,21600" o:spt="202" path="m,l,21600r21600,l21600,xe">
              <v:stroke joinstyle="miter"/>
              <v:path gradientshapeok="t" o:connecttype="rect"/>
            </v:shapetype>
            <v:shape id="Shape 218" o:spid="_x0000_s1121" type="#_x0000_t202" style="position:absolute;margin-left:116.85pt;margin-top:22.85pt;width:273.85pt;height:6.7pt;z-index:-2514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IDRLXgAEAAPsCAAAOAAAAAAAAAAAAAAAAAC4CAABkcnMv&#10;ZTJvRG9jLnhtbFBLAQItABQABgAIAAAAIQCpIbn83gAAAAkBAAAPAAAAAAAAAAAAAAAAANoDAABk&#10;cnMvZG93bnJldi54bWxQSwUGAAAAAAQABADzAAAA5QQAAAAA&#10;" filled="f" stroked="f">
              <v:textbox style="mso-fit-shape-to-text:t" inset="0,0,0,0">
                <w:txbxContent>
                  <w:p w14:paraId="1BED3C73"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4560" behindDoc="1" locked="0" layoutInCell="1" allowOverlap="1" wp14:anchorId="50137356" wp14:editId="153C7998">
              <wp:simplePos x="0" y="0"/>
              <wp:positionH relativeFrom="page">
                <wp:posOffset>639445</wp:posOffset>
              </wp:positionH>
              <wp:positionV relativeFrom="page">
                <wp:posOffset>419100</wp:posOffset>
              </wp:positionV>
              <wp:extent cx="4358640" cy="0"/>
              <wp:effectExtent l="0" t="0" r="0" b="0"/>
              <wp:wrapNone/>
              <wp:docPr id="220" name="Shape 22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BA8EE00" id="_x0000_t32" coordsize="21600,21600" o:spt="32" o:oned="t" path="m,l21600,21600e" filled="f">
              <v:path arrowok="t" fillok="f" o:connecttype="none"/>
              <o:lock v:ext="edit" shapetype="t"/>
            </v:shapetype>
            <v:shape id="Shape 220" o:spid="_x0000_s1026" type="#_x0000_t32" style="position:absolute;margin-left:50.35pt;margin-top:33pt;width:343.2pt;height:0;z-index:-251601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1F9E" w14:textId="77777777" w:rsidR="0072615D" w:rsidRDefault="0072615D">
    <w:pPr>
      <w:spacing w:line="1" w:lineRule="exact"/>
    </w:pPr>
    <w:r>
      <w:rPr>
        <w:noProof/>
      </w:rPr>
      <mc:AlternateContent>
        <mc:Choice Requires="wps">
          <w:drawing>
            <wp:anchor distT="0" distB="0" distL="0" distR="0" simplePos="0" relativeHeight="251853824" behindDoc="1" locked="0" layoutInCell="1" allowOverlap="1" wp14:anchorId="4C117D68" wp14:editId="5604D9AB">
              <wp:simplePos x="0" y="0"/>
              <wp:positionH relativeFrom="page">
                <wp:posOffset>343535</wp:posOffset>
              </wp:positionH>
              <wp:positionV relativeFrom="page">
                <wp:posOffset>295910</wp:posOffset>
              </wp:positionV>
              <wp:extent cx="3496310" cy="85090"/>
              <wp:effectExtent l="0" t="0" r="0" b="0"/>
              <wp:wrapNone/>
              <wp:docPr id="227" name="Shape 227"/>
              <wp:cNvGraphicFramePr/>
              <a:graphic xmlns:a="http://schemas.openxmlformats.org/drawingml/2006/main">
                <a:graphicData uri="http://schemas.microsoft.com/office/word/2010/wordprocessingShape">
                  <wps:wsp>
                    <wps:cNvSpPr txBox="1"/>
                    <wps:spPr>
                      <a:xfrm>
                        <a:off x="0" y="0"/>
                        <a:ext cx="3496310" cy="85090"/>
                      </a:xfrm>
                      <a:prstGeom prst="rect">
                        <a:avLst/>
                      </a:prstGeom>
                      <a:noFill/>
                    </wps:spPr>
                    <wps:txbx>
                      <w:txbxContent>
                        <w:p w14:paraId="3FBAFEDC"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wps:txbx>
                    <wps:bodyPr lIns="0" tIns="0" rIns="0" bIns="0">
                      <a:spAutoFit/>
                    </wps:bodyPr>
                  </wps:wsp>
                </a:graphicData>
              </a:graphic>
            </wp:anchor>
          </w:drawing>
        </mc:Choice>
        <mc:Fallback>
          <w:pict>
            <v:shapetype w14:anchorId="4C117D68" id="_x0000_t202" coordsize="21600,21600" o:spt="202" path="m,l,21600r21600,l21600,xe">
              <v:stroke joinstyle="miter"/>
              <v:path gradientshapeok="t" o:connecttype="rect"/>
            </v:shapetype>
            <v:shape id="Shape 227" o:spid="_x0000_s1122" type="#_x0000_t202" style="position:absolute;margin-left:27.05pt;margin-top:23.3pt;width:275.3pt;height:6.7pt;z-index:-25146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" filled="f" stroked="f">
              <v:textbox style="mso-fit-shape-to-text:t" inset="0,0,0,0">
                <w:txbxContent>
                  <w:p w14:paraId="3FBAFEDC"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v:textbox>
              <w10:wrap anchorx="page" anchory="page"/>
            </v:shape>
          </w:pict>
        </mc:Fallback>
      </mc:AlternateContent>
    </w:r>
    <w:r>
      <w:rPr>
        <w:noProof/>
      </w:rPr>
      <mc:AlternateContent>
        <mc:Choice Requires="wps">
          <w:drawing>
            <wp:anchor distT="0" distB="0" distL="114300" distR="114300" simplePos="0" relativeHeight="251717632" behindDoc="1" locked="0" layoutInCell="1" allowOverlap="1" wp14:anchorId="131F5BA0" wp14:editId="350ACF2F">
              <wp:simplePos x="0" y="0"/>
              <wp:positionH relativeFrom="page">
                <wp:posOffset>328295</wp:posOffset>
              </wp:positionH>
              <wp:positionV relativeFrom="page">
                <wp:posOffset>419100</wp:posOffset>
              </wp:positionV>
              <wp:extent cx="4358640" cy="0"/>
              <wp:effectExtent l="0" t="0" r="0" b="0"/>
              <wp:wrapNone/>
              <wp:docPr id="229" name="Shape 22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006273C" id="_x0000_t32" coordsize="21600,21600" o:spt="32" o:oned="t" path="m,l21600,21600e" filled="f">
              <v:path arrowok="t" fillok="f" o:connecttype="none"/>
              <o:lock v:ext="edit" shapetype="t"/>
            </v:shapetype>
            <v:shape id="Shape 229" o:spid="_x0000_s1026" type="#_x0000_t32" style="position:absolute;margin-left:25.85pt;margin-top:33pt;width:343.2pt;height:0;z-index:-251598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" strokeweight="1pt">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DEC3" w14:textId="77777777" w:rsidR="0072615D" w:rsidRDefault="0072615D">
    <w:pPr>
      <w:spacing w:line="1" w:lineRule="exact"/>
    </w:pPr>
    <w:r>
      <w:rPr>
        <w:noProof/>
      </w:rPr>
      <mc:AlternateContent>
        <mc:Choice Requires="wps">
          <w:drawing>
            <wp:anchor distT="0" distB="0" distL="0" distR="0" simplePos="0" relativeHeight="251852800" behindDoc="1" locked="0" layoutInCell="1" allowOverlap="1" wp14:anchorId="7ABB118B" wp14:editId="759CE8AB">
              <wp:simplePos x="0" y="0"/>
              <wp:positionH relativeFrom="page">
                <wp:posOffset>1483995</wp:posOffset>
              </wp:positionH>
              <wp:positionV relativeFrom="page">
                <wp:posOffset>290195</wp:posOffset>
              </wp:positionV>
              <wp:extent cx="3477895" cy="85090"/>
              <wp:effectExtent l="0" t="0" r="0" b="0"/>
              <wp:wrapNone/>
              <wp:docPr id="224" name="Shape 224"/>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6085AD03"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ABB118B" id="_x0000_t202" coordsize="21600,21600" o:spt="202" path="m,l,21600r21600,l21600,xe">
              <v:stroke joinstyle="miter"/>
              <v:path gradientshapeok="t" o:connecttype="rect"/>
            </v:shapetype>
            <v:shape id="Shape 224" o:spid="_x0000_s1123" type="#_x0000_t202" style="position:absolute;margin-left:116.85pt;margin-top:22.85pt;width:273.85pt;height:6.7pt;z-index:-2514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pFzwDgAEAAPsCAAAOAAAAAAAAAAAAAAAAAC4CAABkcnMv&#10;ZTJvRG9jLnhtbFBLAQItABQABgAIAAAAIQCpIbn83gAAAAkBAAAPAAAAAAAAAAAAAAAAANoDAABk&#10;cnMvZG93bnJldi54bWxQSwUGAAAAAAQABADzAAAA5QQAAAAA&#10;" filled="f" stroked="f">
              <v:textbox style="mso-fit-shape-to-text:t" inset="0,0,0,0">
                <w:txbxContent>
                  <w:p w14:paraId="6085AD03"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16608" behindDoc="1" locked="0" layoutInCell="1" allowOverlap="1" wp14:anchorId="1F96ECF9" wp14:editId="7C0DC1E1">
              <wp:simplePos x="0" y="0"/>
              <wp:positionH relativeFrom="page">
                <wp:posOffset>639445</wp:posOffset>
              </wp:positionH>
              <wp:positionV relativeFrom="page">
                <wp:posOffset>419100</wp:posOffset>
              </wp:positionV>
              <wp:extent cx="4358640" cy="0"/>
              <wp:effectExtent l="0" t="0" r="0" b="0"/>
              <wp:wrapNone/>
              <wp:docPr id="226" name="Shape 2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EDBE7AB" id="_x0000_t32" coordsize="21600,21600" o:spt="32" o:oned="t" path="m,l21600,21600e" filled="f">
              <v:path arrowok="t" fillok="f" o:connecttype="none"/>
              <o:lock v:ext="edit" shapetype="t"/>
            </v:shapetype>
            <v:shape id="Shape 226" o:spid="_x0000_s1026" type="#_x0000_t32" style="position:absolute;margin-left:50.35pt;margin-top:33pt;width:343.2pt;height:0;z-index:-251599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AF98" w14:textId="77777777" w:rsidR="0072615D" w:rsidRDefault="0072615D">
    <w:pPr>
      <w:spacing w:line="1" w:lineRule="exact"/>
    </w:pPr>
    <w:r>
      <w:rPr>
        <w:noProof/>
      </w:rPr>
      <mc:AlternateContent>
        <mc:Choice Requires="wps">
          <w:drawing>
            <wp:anchor distT="0" distB="0" distL="0" distR="0" simplePos="0" relativeHeight="251855872" behindDoc="1" locked="0" layoutInCell="1" allowOverlap="1" wp14:anchorId="36D3C222" wp14:editId="74CB73AE">
              <wp:simplePos x="0" y="0"/>
              <wp:positionH relativeFrom="page">
                <wp:posOffset>551180</wp:posOffset>
              </wp:positionH>
              <wp:positionV relativeFrom="page">
                <wp:posOffset>295910</wp:posOffset>
              </wp:positionV>
              <wp:extent cx="3496310" cy="85090"/>
              <wp:effectExtent l="0" t="0" r="0" b="0"/>
              <wp:wrapNone/>
              <wp:docPr id="233" name="Shape 233"/>
              <wp:cNvGraphicFramePr/>
              <a:graphic xmlns:a="http://schemas.openxmlformats.org/drawingml/2006/main">
                <a:graphicData uri="http://schemas.microsoft.com/office/word/2010/wordprocessingShape">
                  <wps:wsp>
                    <wps:cNvSpPr txBox="1"/>
                    <wps:spPr>
                      <a:xfrm>
                        <a:off x="0" y="0"/>
                        <a:ext cx="3496310" cy="85090"/>
                      </a:xfrm>
                      <a:prstGeom prst="rect">
                        <a:avLst/>
                      </a:prstGeom>
                      <a:noFill/>
                    </wps:spPr>
                    <wps:txbx>
                      <w:txbxContent>
                        <w:p w14:paraId="763CDEA5"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wps:txbx>
                    <wps:bodyPr lIns="0" tIns="0" rIns="0" bIns="0">
                      <a:spAutoFit/>
                    </wps:bodyPr>
                  </wps:wsp>
                </a:graphicData>
              </a:graphic>
            </wp:anchor>
          </w:drawing>
        </mc:Choice>
        <mc:Fallback>
          <w:pict>
            <v:shapetype w14:anchorId="36D3C222" id="_x0000_t202" coordsize="21600,21600" o:spt="202" path="m,l,21600r21600,l21600,xe">
              <v:stroke joinstyle="miter"/>
              <v:path gradientshapeok="t" o:connecttype="rect"/>
            </v:shapetype>
            <v:shape id="Shape 233" o:spid="_x0000_s1124" type="#_x0000_t202" style="position:absolute;margin-left:43.4pt;margin-top:23.3pt;width:275.3pt;height:6.7pt;z-index:-2514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" filled="f" stroked="f">
              <v:textbox style="mso-fit-shape-to-text:t" inset="0,0,0,0">
                <w:txbxContent>
                  <w:p w14:paraId="763CDEA5"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v:textbox>
              <w10:wrap anchorx="page" anchory="page"/>
            </v:shape>
          </w:pict>
        </mc:Fallback>
      </mc:AlternateContent>
    </w:r>
    <w:r>
      <w:rPr>
        <w:noProof/>
      </w:rPr>
      <mc:AlternateContent>
        <mc:Choice Requires="wps">
          <w:drawing>
            <wp:anchor distT="0" distB="0" distL="114300" distR="114300" simplePos="0" relativeHeight="251719680" behindDoc="1" locked="0" layoutInCell="1" allowOverlap="1" wp14:anchorId="3C21D88A" wp14:editId="797D098F">
              <wp:simplePos x="0" y="0"/>
              <wp:positionH relativeFrom="page">
                <wp:posOffset>535940</wp:posOffset>
              </wp:positionH>
              <wp:positionV relativeFrom="page">
                <wp:posOffset>419100</wp:posOffset>
              </wp:positionV>
              <wp:extent cx="4358640" cy="0"/>
              <wp:effectExtent l="0" t="0" r="0" b="0"/>
              <wp:wrapNone/>
              <wp:docPr id="235" name="Shape 23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BECF9DA" id="_x0000_t32" coordsize="21600,21600" o:spt="32" o:oned="t" path="m,l21600,21600e" filled="f">
              <v:path arrowok="t" fillok="f" o:connecttype="none"/>
              <o:lock v:ext="edit" shapetype="t"/>
            </v:shapetype>
            <v:shape id="Shape 235" o:spid="_x0000_s1026" type="#_x0000_t32" style="position:absolute;margin-left:42.2pt;margin-top:33pt;width:343.2pt;height:0;z-index:-251596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" strokeweight="1pt">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28F7" w14:textId="77777777" w:rsidR="0072615D" w:rsidRDefault="0072615D">
    <w:pPr>
      <w:spacing w:line="1" w:lineRule="exact"/>
    </w:pPr>
    <w:r>
      <w:rPr>
        <w:noProof/>
      </w:rPr>
      <mc:AlternateContent>
        <mc:Choice Requires="wps">
          <w:drawing>
            <wp:anchor distT="0" distB="0" distL="0" distR="0" simplePos="0" relativeHeight="251854848" behindDoc="1" locked="0" layoutInCell="1" allowOverlap="1" wp14:anchorId="4CE4B493" wp14:editId="7CF04E87">
              <wp:simplePos x="0" y="0"/>
              <wp:positionH relativeFrom="page">
                <wp:posOffset>551180</wp:posOffset>
              </wp:positionH>
              <wp:positionV relativeFrom="page">
                <wp:posOffset>295910</wp:posOffset>
              </wp:positionV>
              <wp:extent cx="3496310" cy="85090"/>
              <wp:effectExtent l="0" t="0" r="0" b="0"/>
              <wp:wrapNone/>
              <wp:docPr id="230" name="Shape 230"/>
              <wp:cNvGraphicFramePr/>
              <a:graphic xmlns:a="http://schemas.openxmlformats.org/drawingml/2006/main">
                <a:graphicData uri="http://schemas.microsoft.com/office/word/2010/wordprocessingShape">
                  <wps:wsp>
                    <wps:cNvSpPr txBox="1"/>
                    <wps:spPr>
                      <a:xfrm>
                        <a:off x="0" y="0"/>
                        <a:ext cx="3496310" cy="85090"/>
                      </a:xfrm>
                      <a:prstGeom prst="rect">
                        <a:avLst/>
                      </a:prstGeom>
                      <a:noFill/>
                    </wps:spPr>
                    <wps:txbx>
                      <w:txbxContent>
                        <w:p w14:paraId="78D416F5"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wps:txbx>
                    <wps:bodyPr lIns="0" tIns="0" rIns="0" bIns="0">
                      <a:spAutoFit/>
                    </wps:bodyPr>
                  </wps:wsp>
                </a:graphicData>
              </a:graphic>
            </wp:anchor>
          </w:drawing>
        </mc:Choice>
        <mc:Fallback>
          <w:pict>
            <v:shapetype w14:anchorId="4CE4B493" id="_x0000_t202" coordsize="21600,21600" o:spt="202" path="m,l,21600r21600,l21600,xe">
              <v:stroke joinstyle="miter"/>
              <v:path gradientshapeok="t" o:connecttype="rect"/>
            </v:shapetype>
            <v:shape id="Shape 230" o:spid="_x0000_s1125" type="#_x0000_t202" style="position:absolute;margin-left:43.4pt;margin-top:23.3pt;width:275.3pt;height:6.7pt;z-index:-2514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" filled="f" stroked="f">
              <v:textbox style="mso-fit-shape-to-text:t" inset="0,0,0,0">
                <w:txbxContent>
                  <w:p w14:paraId="78D416F5"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v:textbox>
              <w10:wrap anchorx="page" anchory="page"/>
            </v:shape>
          </w:pict>
        </mc:Fallback>
      </mc:AlternateContent>
    </w:r>
    <w:r>
      <w:rPr>
        <w:noProof/>
      </w:rPr>
      <mc:AlternateContent>
        <mc:Choice Requires="wps">
          <w:drawing>
            <wp:anchor distT="0" distB="0" distL="114300" distR="114300" simplePos="0" relativeHeight="251718656" behindDoc="1" locked="0" layoutInCell="1" allowOverlap="1" wp14:anchorId="2A019D29" wp14:editId="1AF6FB26">
              <wp:simplePos x="0" y="0"/>
              <wp:positionH relativeFrom="page">
                <wp:posOffset>535940</wp:posOffset>
              </wp:positionH>
              <wp:positionV relativeFrom="page">
                <wp:posOffset>419100</wp:posOffset>
              </wp:positionV>
              <wp:extent cx="4358640" cy="0"/>
              <wp:effectExtent l="0" t="0" r="0" b="0"/>
              <wp:wrapNone/>
              <wp:docPr id="232" name="Shape 23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A6249C6" id="_x0000_t32" coordsize="21600,21600" o:spt="32" o:oned="t" path="m,l21600,21600e" filled="f">
              <v:path arrowok="t" fillok="f" o:connecttype="none"/>
              <o:lock v:ext="edit" shapetype="t"/>
            </v:shapetype>
            <v:shape id="Shape 232" o:spid="_x0000_s1026" type="#_x0000_t32" style="position:absolute;margin-left:42.2pt;margin-top:33pt;width:343.2pt;height:0;z-index:-2515978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" strokeweight="1pt">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5A7C" w14:textId="77777777" w:rsidR="0072615D" w:rsidRDefault="0072615D">
    <w:pPr>
      <w:spacing w:line="1" w:lineRule="exact"/>
    </w:pPr>
    <w:r>
      <w:rPr>
        <w:noProof/>
      </w:rPr>
      <mc:AlternateContent>
        <mc:Choice Requires="wps">
          <w:drawing>
            <wp:anchor distT="0" distB="0" distL="0" distR="0" simplePos="0" relativeHeight="251856896" behindDoc="1" locked="0" layoutInCell="1" allowOverlap="1" wp14:anchorId="100D9EB3" wp14:editId="758DEDD9">
              <wp:simplePos x="0" y="0"/>
              <wp:positionH relativeFrom="page">
                <wp:posOffset>1483995</wp:posOffset>
              </wp:positionH>
              <wp:positionV relativeFrom="page">
                <wp:posOffset>290195</wp:posOffset>
              </wp:positionV>
              <wp:extent cx="3477895" cy="85090"/>
              <wp:effectExtent l="0" t="0" r="0" b="0"/>
              <wp:wrapNone/>
              <wp:docPr id="236" name="Shape 236"/>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3ABB1C72"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00D9EB3" id="_x0000_t202" coordsize="21600,21600" o:spt="202" path="m,l,21600r21600,l21600,xe">
              <v:stroke joinstyle="miter"/>
              <v:path gradientshapeok="t" o:connecttype="rect"/>
            </v:shapetype>
            <v:shape id="Shape 236" o:spid="_x0000_s1126" type="#_x0000_t202" style="position:absolute;margin-left:116.85pt;margin-top:22.85pt;width:273.85pt;height:6.7pt;z-index:-2514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ZmZOEgAEAAPsCAAAOAAAAAAAAAAAAAAAAAC4CAABkcnMv&#10;ZTJvRG9jLnhtbFBLAQItABQABgAIAAAAIQCpIbn83gAAAAkBAAAPAAAAAAAAAAAAAAAAANoDAABk&#10;cnMvZG93bnJldi54bWxQSwUGAAAAAAQABADzAAAA5QQAAAAA&#10;" filled="f" stroked="f">
              <v:textbox style="mso-fit-shape-to-text:t" inset="0,0,0,0">
                <w:txbxContent>
                  <w:p w14:paraId="3ABB1C72"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0704" behindDoc="1" locked="0" layoutInCell="1" allowOverlap="1" wp14:anchorId="60EAA035" wp14:editId="2410ED31">
              <wp:simplePos x="0" y="0"/>
              <wp:positionH relativeFrom="page">
                <wp:posOffset>639445</wp:posOffset>
              </wp:positionH>
              <wp:positionV relativeFrom="page">
                <wp:posOffset>419100</wp:posOffset>
              </wp:positionV>
              <wp:extent cx="4358640" cy="0"/>
              <wp:effectExtent l="0" t="0" r="0" b="0"/>
              <wp:wrapNone/>
              <wp:docPr id="238" name="Shape 23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ACF006C" id="_x0000_t32" coordsize="21600,21600" o:spt="32" o:oned="t" path="m,l21600,21600e" filled="f">
              <v:path arrowok="t" fillok="f" o:connecttype="none"/>
              <o:lock v:ext="edit" shapetype="t"/>
            </v:shapetype>
            <v:shape id="Shape 238" o:spid="_x0000_s1026" type="#_x0000_t32" style="position:absolute;margin-left:50.35pt;margin-top:33pt;width:343.2pt;height:0;z-index:-251595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3C09" w14:textId="77777777" w:rsidR="0072615D" w:rsidRDefault="0072615D">
    <w:pPr>
      <w:spacing w:line="1" w:lineRule="exact"/>
    </w:pPr>
    <w:r>
      <w:rPr>
        <w:noProof/>
      </w:rPr>
      <mc:AlternateContent>
        <mc:Choice Requires="wps">
          <w:drawing>
            <wp:anchor distT="0" distB="0" distL="0" distR="0" simplePos="0" relativeHeight="251859968" behindDoc="1" locked="0" layoutInCell="1" allowOverlap="1" wp14:anchorId="386845C5" wp14:editId="13496FA9">
              <wp:simplePos x="0" y="0"/>
              <wp:positionH relativeFrom="page">
                <wp:posOffset>1566545</wp:posOffset>
              </wp:positionH>
              <wp:positionV relativeFrom="page">
                <wp:posOffset>295910</wp:posOffset>
              </wp:positionV>
              <wp:extent cx="3493135" cy="85090"/>
              <wp:effectExtent l="0" t="0" r="0" b="0"/>
              <wp:wrapNone/>
              <wp:docPr id="244" name="Shape 244"/>
              <wp:cNvGraphicFramePr/>
              <a:graphic xmlns:a="http://schemas.openxmlformats.org/drawingml/2006/main">
                <a:graphicData uri="http://schemas.microsoft.com/office/word/2010/wordprocessingShape">
                  <wps:wsp>
                    <wps:cNvSpPr txBox="1"/>
                    <wps:spPr>
                      <a:xfrm>
                        <a:off x="0" y="0"/>
                        <a:ext cx="3493135" cy="85090"/>
                      </a:xfrm>
                      <a:prstGeom prst="rect">
                        <a:avLst/>
                      </a:prstGeom>
                      <a:noFill/>
                    </wps:spPr>
                    <wps:txbx>
                      <w:txbxContent>
                        <w:p w14:paraId="0B1C5D41" w14:textId="77777777" w:rsidR="0072615D" w:rsidRDefault="0072615D">
                          <w:pPr>
                            <w:pStyle w:val="Headerorfooter0"/>
                            <w:tabs>
                              <w:tab w:val="right" w:pos="5501"/>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86845C5" id="_x0000_t202" coordsize="21600,21600" o:spt="202" path="m,l,21600r21600,l21600,xe">
              <v:stroke joinstyle="miter"/>
              <v:path gradientshapeok="t" o:connecttype="rect"/>
            </v:shapetype>
            <v:shape id="Shape 244" o:spid="_x0000_s1127" type="#_x0000_t202" style="position:absolute;margin-left:123.35pt;margin-top:23.3pt;width:275.05pt;height:6.7pt;z-index:-2514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" filled="f" stroked="f">
              <v:textbox style="mso-fit-shape-to-text:t" inset="0,0,0,0">
                <w:txbxContent>
                  <w:p w14:paraId="0B1C5D41" w14:textId="77777777" w:rsidR="0072615D" w:rsidRDefault="0072615D">
                    <w:pPr>
                      <w:pStyle w:val="Headerorfooter0"/>
                      <w:tabs>
                        <w:tab w:val="right" w:pos="5501"/>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2752" behindDoc="1" locked="0" layoutInCell="1" allowOverlap="1" wp14:anchorId="034D58C0" wp14:editId="495273A0">
              <wp:simplePos x="0" y="0"/>
              <wp:positionH relativeFrom="page">
                <wp:posOffset>722630</wp:posOffset>
              </wp:positionH>
              <wp:positionV relativeFrom="page">
                <wp:posOffset>419100</wp:posOffset>
              </wp:positionV>
              <wp:extent cx="4358640" cy="0"/>
              <wp:effectExtent l="0" t="0" r="0" b="0"/>
              <wp:wrapNone/>
              <wp:docPr id="246" name="Shape 24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27EC328" id="_x0000_t32" coordsize="21600,21600" o:spt="32" o:oned="t" path="m,l21600,21600e" filled="f">
              <v:path arrowok="t" fillok="f" o:connecttype="none"/>
              <o:lock v:ext="edit" shapetype="t"/>
            </v:shapetype>
            <v:shape id="Shape 246" o:spid="_x0000_s1026" type="#_x0000_t32" style="position:absolute;margin-left:56.9pt;margin-top:33pt;width:343.2pt;height:0;z-index:-2515937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D4454" w14:textId="77777777" w:rsidR="0072615D" w:rsidRDefault="0072615D">
    <w:pPr>
      <w:spacing w:line="1" w:lineRule="exact"/>
    </w:pPr>
    <w:r>
      <w:rPr>
        <w:noProof/>
      </w:rPr>
      <mc:AlternateContent>
        <mc:Choice Requires="wps">
          <w:drawing>
            <wp:anchor distT="0" distB="0" distL="0" distR="0" simplePos="0" relativeHeight="251857920" behindDoc="1" locked="0" layoutInCell="1" allowOverlap="1" wp14:anchorId="7B2A8B9A" wp14:editId="2A3A98EB">
              <wp:simplePos x="0" y="0"/>
              <wp:positionH relativeFrom="page">
                <wp:posOffset>1566545</wp:posOffset>
              </wp:positionH>
              <wp:positionV relativeFrom="page">
                <wp:posOffset>295910</wp:posOffset>
              </wp:positionV>
              <wp:extent cx="3493135" cy="85090"/>
              <wp:effectExtent l="0" t="0" r="0" b="0"/>
              <wp:wrapNone/>
              <wp:docPr id="239" name="Shape 239"/>
              <wp:cNvGraphicFramePr/>
              <a:graphic xmlns:a="http://schemas.openxmlformats.org/drawingml/2006/main">
                <a:graphicData uri="http://schemas.microsoft.com/office/word/2010/wordprocessingShape">
                  <wps:wsp>
                    <wps:cNvSpPr txBox="1"/>
                    <wps:spPr>
                      <a:xfrm>
                        <a:off x="0" y="0"/>
                        <a:ext cx="3493135" cy="85090"/>
                      </a:xfrm>
                      <a:prstGeom prst="rect">
                        <a:avLst/>
                      </a:prstGeom>
                      <a:noFill/>
                    </wps:spPr>
                    <wps:txbx>
                      <w:txbxContent>
                        <w:p w14:paraId="54A90D7E" w14:textId="77777777" w:rsidR="0072615D" w:rsidRDefault="0072615D">
                          <w:pPr>
                            <w:pStyle w:val="Headerorfooter0"/>
                            <w:tabs>
                              <w:tab w:val="right" w:pos="5501"/>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B2A8B9A" id="_x0000_t202" coordsize="21600,21600" o:spt="202" path="m,l,21600r21600,l21600,xe">
              <v:stroke joinstyle="miter"/>
              <v:path gradientshapeok="t" o:connecttype="rect"/>
            </v:shapetype>
            <v:shape id="Shape 239" o:spid="_x0000_s1128" type="#_x0000_t202" style="position:absolute;margin-left:123.35pt;margin-top:23.3pt;width:275.05pt;height:6.7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" filled="f" stroked="f">
              <v:textbox style="mso-fit-shape-to-text:t" inset="0,0,0,0">
                <w:txbxContent>
                  <w:p w14:paraId="54A90D7E" w14:textId="77777777" w:rsidR="0072615D" w:rsidRDefault="0072615D">
                    <w:pPr>
                      <w:pStyle w:val="Headerorfooter0"/>
                      <w:tabs>
                        <w:tab w:val="right" w:pos="5501"/>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1728" behindDoc="1" locked="0" layoutInCell="1" allowOverlap="1" wp14:anchorId="25094085" wp14:editId="6EFCFD4A">
              <wp:simplePos x="0" y="0"/>
              <wp:positionH relativeFrom="page">
                <wp:posOffset>722630</wp:posOffset>
              </wp:positionH>
              <wp:positionV relativeFrom="page">
                <wp:posOffset>419100</wp:posOffset>
              </wp:positionV>
              <wp:extent cx="4358640" cy="0"/>
              <wp:effectExtent l="0" t="0" r="0" b="0"/>
              <wp:wrapNone/>
              <wp:docPr id="241" name="Shape 24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40C9A03" id="_x0000_t32" coordsize="21600,21600" o:spt="32" o:oned="t" path="m,l21600,21600e" filled="f">
              <v:path arrowok="t" fillok="f" o:connecttype="none"/>
              <o:lock v:ext="edit" shapetype="t"/>
            </v:shapetype>
            <v:shape id="Shape 241" o:spid="_x0000_s1026" type="#_x0000_t32" style="position:absolute;margin-left:56.9pt;margin-top:33pt;width:343.2pt;height:0;z-index:-251594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" strokeweight="1pt">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420C" w14:textId="77777777" w:rsidR="0072615D" w:rsidRDefault="0072615D">
    <w:pPr>
      <w:spacing w:line="1" w:lineRule="exact"/>
    </w:pPr>
    <w:r>
      <w:rPr>
        <w:noProof/>
      </w:rPr>
      <mc:AlternateContent>
        <mc:Choice Requires="wps">
          <w:drawing>
            <wp:anchor distT="0" distB="0" distL="0" distR="0" simplePos="0" relativeHeight="251863040" behindDoc="1" locked="0" layoutInCell="1" allowOverlap="1" wp14:anchorId="1270B6B3" wp14:editId="091DA555">
              <wp:simplePos x="0" y="0"/>
              <wp:positionH relativeFrom="page">
                <wp:posOffset>1483995</wp:posOffset>
              </wp:positionH>
              <wp:positionV relativeFrom="page">
                <wp:posOffset>290195</wp:posOffset>
              </wp:positionV>
              <wp:extent cx="3477895" cy="85090"/>
              <wp:effectExtent l="0" t="0" r="0" b="0"/>
              <wp:wrapNone/>
              <wp:docPr id="252" name="Shape 252"/>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34A84E76"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270B6B3" id="_x0000_t202" coordsize="21600,21600" o:spt="202" path="m,l,21600r21600,l21600,xe">
              <v:stroke joinstyle="miter"/>
              <v:path gradientshapeok="t" o:connecttype="rect"/>
            </v:shapetype>
            <v:shape id="Shape 252" o:spid="_x0000_s1131" type="#_x0000_t202" style="position:absolute;margin-left:116.85pt;margin-top:22.85pt;width:273.85pt;height:6.7pt;z-index:-2514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WeNjKgAEAAPsCAAAOAAAAAAAAAAAAAAAAAC4CAABkcnMv&#10;ZTJvRG9jLnhtbFBLAQItABQABgAIAAAAIQCpIbn83gAAAAkBAAAPAAAAAAAAAAAAAAAAANoDAABk&#10;cnMvZG93bnJldi54bWxQSwUGAAAAAAQABADzAAAA5QQAAAAA&#10;" filled="f" stroked="f">
              <v:textbox style="mso-fit-shape-to-text:t" inset="0,0,0,0">
                <w:txbxContent>
                  <w:p w14:paraId="34A84E76"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4800" behindDoc="1" locked="0" layoutInCell="1" allowOverlap="1" wp14:anchorId="515C591D" wp14:editId="5ED37FF4">
              <wp:simplePos x="0" y="0"/>
              <wp:positionH relativeFrom="page">
                <wp:posOffset>639445</wp:posOffset>
              </wp:positionH>
              <wp:positionV relativeFrom="page">
                <wp:posOffset>419100</wp:posOffset>
              </wp:positionV>
              <wp:extent cx="4358640" cy="0"/>
              <wp:effectExtent l="0" t="0" r="0" b="0"/>
              <wp:wrapNone/>
              <wp:docPr id="254" name="Shape 2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A3654E3" id="_x0000_t32" coordsize="21600,21600" o:spt="32" o:oned="t" path="m,l21600,21600e" filled="f">
              <v:path arrowok="t" fillok="f" o:connecttype="none"/>
              <o:lock v:ext="edit" shapetype="t"/>
            </v:shapetype>
            <v:shape id="Shape 254" o:spid="_x0000_s1026" type="#_x0000_t32" style="position:absolute;margin-left:50.35pt;margin-top:33pt;width:343.2pt;height:0;z-index:-251591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C2CD" w14:textId="77777777" w:rsidR="0072615D" w:rsidRDefault="0072615D">
    <w:pPr>
      <w:spacing w:line="1" w:lineRule="exact"/>
    </w:pPr>
    <w:r>
      <w:rPr>
        <w:noProof/>
      </w:rPr>
      <mc:AlternateContent>
        <mc:Choice Requires="wps">
          <w:drawing>
            <wp:anchor distT="0" distB="0" distL="0" distR="0" simplePos="0" relativeHeight="251862016" behindDoc="1" locked="0" layoutInCell="1" allowOverlap="1" wp14:anchorId="72E0AC59" wp14:editId="3040C413">
              <wp:simplePos x="0" y="0"/>
              <wp:positionH relativeFrom="page">
                <wp:posOffset>1483995</wp:posOffset>
              </wp:positionH>
              <wp:positionV relativeFrom="page">
                <wp:posOffset>290195</wp:posOffset>
              </wp:positionV>
              <wp:extent cx="3477895" cy="85090"/>
              <wp:effectExtent l="0" t="0" r="0" b="0"/>
              <wp:wrapNone/>
              <wp:docPr id="249" name="Shape 249"/>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48FC997F"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2E0AC59" id="_x0000_t202" coordsize="21600,21600" o:spt="202" path="m,l,21600r21600,l21600,xe">
              <v:stroke joinstyle="miter"/>
              <v:path gradientshapeok="t" o:connecttype="rect"/>
            </v:shapetype>
            <v:shape id="Shape 249" o:spid="_x0000_s1132" type="#_x0000_t202" style="position:absolute;margin-left:116.85pt;margin-top:22.85pt;width:273.85pt;height:6.7pt;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GAr23gAEAAPsCAAAOAAAAAAAAAAAAAAAAAC4CAABkcnMv&#10;ZTJvRG9jLnhtbFBLAQItABQABgAIAAAAIQCpIbn83gAAAAkBAAAPAAAAAAAAAAAAAAAAANoDAABk&#10;cnMvZG93bnJldi54bWxQSwUGAAAAAAQABADzAAAA5QQAAAAA&#10;" filled="f" stroked="f">
              <v:textbox style="mso-fit-shape-to-text:t" inset="0,0,0,0">
                <w:txbxContent>
                  <w:p w14:paraId="48FC997F"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3776" behindDoc="1" locked="0" layoutInCell="1" allowOverlap="1" wp14:anchorId="3FAEDC8D" wp14:editId="324FEA49">
              <wp:simplePos x="0" y="0"/>
              <wp:positionH relativeFrom="page">
                <wp:posOffset>639445</wp:posOffset>
              </wp:positionH>
              <wp:positionV relativeFrom="page">
                <wp:posOffset>419100</wp:posOffset>
              </wp:positionV>
              <wp:extent cx="4358640" cy="0"/>
              <wp:effectExtent l="0" t="0" r="0" b="0"/>
              <wp:wrapNone/>
              <wp:docPr id="251" name="Shape 2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CC4BB62" id="_x0000_t32" coordsize="21600,21600" o:spt="32" o:oned="t" path="m,l21600,21600e" filled="f">
              <v:path arrowok="t" fillok="f" o:connecttype="none"/>
              <o:lock v:ext="edit" shapetype="t"/>
            </v:shapetype>
            <v:shape id="Shape 251" o:spid="_x0000_s1026" type="#_x0000_t32" style="position:absolute;margin-left:50.35pt;margin-top:33pt;width:343.2pt;height:0;z-index:-2515927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610F" w14:textId="77777777" w:rsidR="0072615D" w:rsidRDefault="0072615D">
    <w:pPr>
      <w:spacing w:line="1" w:lineRule="exact"/>
    </w:pPr>
    <w:r>
      <w:rPr>
        <w:noProof/>
      </w:rPr>
      <mc:AlternateContent>
        <mc:Choice Requires="wps">
          <w:drawing>
            <wp:anchor distT="0" distB="0" distL="0" distR="0" simplePos="0" relativeHeight="251864064" behindDoc="1" locked="0" layoutInCell="1" allowOverlap="1" wp14:anchorId="3EDBBCEC" wp14:editId="0EEB91BD">
              <wp:simplePos x="0" y="0"/>
              <wp:positionH relativeFrom="page">
                <wp:posOffset>567055</wp:posOffset>
              </wp:positionH>
              <wp:positionV relativeFrom="page">
                <wp:posOffset>290195</wp:posOffset>
              </wp:positionV>
              <wp:extent cx="3496310" cy="85090"/>
              <wp:effectExtent l="0" t="0" r="0" b="0"/>
              <wp:wrapNone/>
              <wp:docPr id="255" name="Shape 255"/>
              <wp:cNvGraphicFramePr/>
              <a:graphic xmlns:a="http://schemas.openxmlformats.org/drawingml/2006/main">
                <a:graphicData uri="http://schemas.microsoft.com/office/word/2010/wordprocessingShape">
                  <wps:wsp>
                    <wps:cNvSpPr txBox="1"/>
                    <wps:spPr>
                      <a:xfrm>
                        <a:off x="0" y="0"/>
                        <a:ext cx="3496310" cy="85090"/>
                      </a:xfrm>
                      <a:prstGeom prst="rect">
                        <a:avLst/>
                      </a:prstGeom>
                      <a:noFill/>
                    </wps:spPr>
                    <wps:txbx>
                      <w:txbxContent>
                        <w:p w14:paraId="21C6F9E5"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wps:txbx>
                    <wps:bodyPr lIns="0" tIns="0" rIns="0" bIns="0">
                      <a:spAutoFit/>
                    </wps:bodyPr>
                  </wps:wsp>
                </a:graphicData>
              </a:graphic>
            </wp:anchor>
          </w:drawing>
        </mc:Choice>
        <mc:Fallback>
          <w:pict>
            <v:shapetype w14:anchorId="3EDBBCEC" id="_x0000_t202" coordsize="21600,21600" o:spt="202" path="m,l,21600r21600,l21600,xe">
              <v:stroke joinstyle="miter"/>
              <v:path gradientshapeok="t" o:connecttype="rect"/>
            </v:shapetype>
            <v:shape id="Shape 255" o:spid="_x0000_s1133" type="#_x0000_t202" style="position:absolute;margin-left:44.65pt;margin-top:22.85pt;width:275.3pt;height:6.7pt;z-index:-2514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" filled="f" stroked="f">
              <v:textbox style="mso-fit-shape-to-text:t" inset="0,0,0,0">
                <w:txbxContent>
                  <w:p w14:paraId="21C6F9E5" w14:textId="77777777" w:rsidR="0072615D" w:rsidRDefault="0072615D">
                    <w:pPr>
                      <w:pStyle w:val="Headerorfooter0"/>
                      <w:tabs>
                        <w:tab w:val="right" w:pos="5506"/>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v:textbox>
              <w10:wrap anchorx="page" anchory="page"/>
            </v:shape>
          </w:pict>
        </mc:Fallback>
      </mc:AlternateContent>
    </w:r>
    <w:r>
      <w:rPr>
        <w:noProof/>
      </w:rPr>
      <mc:AlternateContent>
        <mc:Choice Requires="wps">
          <w:drawing>
            <wp:anchor distT="0" distB="0" distL="114300" distR="114300" simplePos="0" relativeHeight="251725824" behindDoc="1" locked="0" layoutInCell="1" allowOverlap="1" wp14:anchorId="7E42B7A1" wp14:editId="608B8FA0">
              <wp:simplePos x="0" y="0"/>
              <wp:positionH relativeFrom="page">
                <wp:posOffset>551815</wp:posOffset>
              </wp:positionH>
              <wp:positionV relativeFrom="page">
                <wp:posOffset>413385</wp:posOffset>
              </wp:positionV>
              <wp:extent cx="4358640" cy="0"/>
              <wp:effectExtent l="0" t="0" r="0" b="0"/>
              <wp:wrapNone/>
              <wp:docPr id="257" name="Shape 2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FA155D9" id="_x0000_t32" coordsize="21600,21600" o:spt="32" o:oned="t" path="m,l21600,21600e" filled="f">
              <v:path arrowok="t" fillok="f" o:connecttype="none"/>
              <o:lock v:ext="edit" shapetype="t"/>
            </v:shapetype>
            <v:shape id="Shape 257" o:spid="_x0000_s1026" type="#_x0000_t32" style="position:absolute;margin-left:43.45pt;margin-top:32.55pt;width:343.2pt;height:0;z-index:-251590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" strokeweight="1pt">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B950" w14:textId="77777777" w:rsidR="0072615D" w:rsidRDefault="0072615D">
    <w:pPr>
      <w:spacing w:line="1" w:lineRule="exact"/>
    </w:pPr>
    <w:r>
      <w:rPr>
        <w:noProof/>
      </w:rPr>
      <mc:AlternateContent>
        <mc:Choice Requires="wps">
          <w:drawing>
            <wp:anchor distT="0" distB="0" distL="0" distR="0" simplePos="0" relativeHeight="251866112" behindDoc="1" locked="0" layoutInCell="1" allowOverlap="1" wp14:anchorId="6511DBF1" wp14:editId="792F9F30">
              <wp:simplePos x="0" y="0"/>
              <wp:positionH relativeFrom="page">
                <wp:posOffset>579120</wp:posOffset>
              </wp:positionH>
              <wp:positionV relativeFrom="page">
                <wp:posOffset>290195</wp:posOffset>
              </wp:positionV>
              <wp:extent cx="3486785" cy="85090"/>
              <wp:effectExtent l="0" t="0" r="0" b="0"/>
              <wp:wrapNone/>
              <wp:docPr id="261" name="Shape 261"/>
              <wp:cNvGraphicFramePr/>
              <a:graphic xmlns:a="http://schemas.openxmlformats.org/drawingml/2006/main">
                <a:graphicData uri="http://schemas.microsoft.com/office/word/2010/wordprocessingShape">
                  <wps:wsp>
                    <wps:cNvSpPr txBox="1"/>
                    <wps:spPr>
                      <a:xfrm>
                        <a:off x="0" y="0"/>
                        <a:ext cx="3486785" cy="85090"/>
                      </a:xfrm>
                      <a:prstGeom prst="rect">
                        <a:avLst/>
                      </a:prstGeom>
                      <a:noFill/>
                    </wps:spPr>
                    <wps:txbx>
                      <w:txbxContent>
                        <w:p w14:paraId="2876E012" w14:textId="77777777" w:rsidR="0072615D" w:rsidRDefault="0072615D">
                          <w:pPr>
                            <w:pStyle w:val="Headerorfooter0"/>
                            <w:tabs>
                              <w:tab w:val="right" w:pos="549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wps:txbx>
                    <wps:bodyPr lIns="0" tIns="0" rIns="0" bIns="0">
                      <a:spAutoFit/>
                    </wps:bodyPr>
                  </wps:wsp>
                </a:graphicData>
              </a:graphic>
            </wp:anchor>
          </w:drawing>
        </mc:Choice>
        <mc:Fallback>
          <w:pict>
            <v:shapetype w14:anchorId="6511DBF1" id="_x0000_t202" coordsize="21600,21600" o:spt="202" path="m,l,21600r21600,l21600,xe">
              <v:stroke joinstyle="miter"/>
              <v:path gradientshapeok="t" o:connecttype="rect"/>
            </v:shapetype>
            <v:shape id="Shape 261" o:spid="_x0000_s1134" type="#_x0000_t202" style="position:absolute;margin-left:45.6pt;margin-top:22.85pt;width:274.55pt;height:6.7pt;z-index:-2514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" filled="f" stroked="f">
              <v:textbox style="mso-fit-shape-to-text:t" inset="0,0,0,0">
                <w:txbxContent>
                  <w:p w14:paraId="2876E012" w14:textId="77777777" w:rsidR="0072615D" w:rsidRDefault="0072615D">
                    <w:pPr>
                      <w:pStyle w:val="Headerorfooter0"/>
                      <w:tabs>
                        <w:tab w:val="right" w:pos="549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VACUNACIONES EN CIRCUNSTANCIAS CLÍNICAS ESPECIALES</w:t>
                    </w:r>
                  </w:p>
                </w:txbxContent>
              </v:textbox>
              <w10:wrap anchorx="page" anchory="page"/>
            </v:shape>
          </w:pict>
        </mc:Fallback>
      </mc:AlternateContent>
    </w:r>
    <w:r>
      <w:rPr>
        <w:noProof/>
      </w:rPr>
      <mc:AlternateContent>
        <mc:Choice Requires="wps">
          <w:drawing>
            <wp:anchor distT="0" distB="0" distL="114300" distR="114300" simplePos="0" relativeHeight="251727872" behindDoc="1" locked="0" layoutInCell="1" allowOverlap="1" wp14:anchorId="32FAF132" wp14:editId="6003CF46">
              <wp:simplePos x="0" y="0"/>
              <wp:positionH relativeFrom="page">
                <wp:posOffset>554355</wp:posOffset>
              </wp:positionH>
              <wp:positionV relativeFrom="page">
                <wp:posOffset>413385</wp:posOffset>
              </wp:positionV>
              <wp:extent cx="4358640" cy="0"/>
              <wp:effectExtent l="0" t="0" r="0" b="0"/>
              <wp:wrapNone/>
              <wp:docPr id="263" name="Shape 2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DEF5D88" id="_x0000_t32" coordsize="21600,21600" o:spt="32" o:oned="t" path="m,l21600,21600e" filled="f">
              <v:path arrowok="t" fillok="f" o:connecttype="none"/>
              <o:lock v:ext="edit" shapetype="t"/>
            </v:shapetype>
            <v:shape id="Shape 263" o:spid="_x0000_s1026" type="#_x0000_t32" style="position:absolute;margin-left:43.65pt;margin-top:32.55pt;width:343.2pt;height:0;z-index:-2515886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" strokeweight="1pt">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369C" w14:textId="77777777" w:rsidR="0072615D" w:rsidRDefault="0072615D">
    <w:pPr>
      <w:spacing w:line="1" w:lineRule="exact"/>
    </w:pPr>
    <w:r>
      <w:rPr>
        <w:noProof/>
      </w:rPr>
      <mc:AlternateContent>
        <mc:Choice Requires="wps">
          <w:drawing>
            <wp:anchor distT="0" distB="0" distL="0" distR="0" simplePos="0" relativeHeight="251865088" behindDoc="1" locked="0" layoutInCell="1" allowOverlap="1" wp14:anchorId="0D338E8B" wp14:editId="0DF0235F">
              <wp:simplePos x="0" y="0"/>
              <wp:positionH relativeFrom="page">
                <wp:posOffset>1483995</wp:posOffset>
              </wp:positionH>
              <wp:positionV relativeFrom="page">
                <wp:posOffset>290195</wp:posOffset>
              </wp:positionV>
              <wp:extent cx="3477895" cy="85090"/>
              <wp:effectExtent l="0" t="0" r="0" b="0"/>
              <wp:wrapNone/>
              <wp:docPr id="258" name="Shape 258"/>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63CF7E7B"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D338E8B" id="_x0000_t202" coordsize="21600,21600" o:spt="202" path="m,l,21600r21600,l21600,xe">
              <v:stroke joinstyle="miter"/>
              <v:path gradientshapeok="t" o:connecttype="rect"/>
            </v:shapetype>
            <v:shape id="Shape 258" o:spid="_x0000_s1135" type="#_x0000_t202" style="position:absolute;margin-left:116.85pt;margin-top:22.85pt;width:273.85pt;height:6.7pt;z-index:-2514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XljzkgAEAAPsCAAAOAAAAAAAAAAAAAAAAAC4CAABkcnMv&#10;ZTJvRG9jLnhtbFBLAQItABQABgAIAAAAIQCpIbn83gAAAAkBAAAPAAAAAAAAAAAAAAAAANoDAABk&#10;cnMvZG93bnJldi54bWxQSwUGAAAAAAQABADzAAAA5QQAAAAA&#10;" filled="f" stroked="f">
              <v:textbox style="mso-fit-shape-to-text:t" inset="0,0,0,0">
                <w:txbxContent>
                  <w:p w14:paraId="63CF7E7B"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6848" behindDoc="1" locked="0" layoutInCell="1" allowOverlap="1" wp14:anchorId="5089A1D1" wp14:editId="4B11B281">
              <wp:simplePos x="0" y="0"/>
              <wp:positionH relativeFrom="page">
                <wp:posOffset>639445</wp:posOffset>
              </wp:positionH>
              <wp:positionV relativeFrom="page">
                <wp:posOffset>419100</wp:posOffset>
              </wp:positionV>
              <wp:extent cx="4358640" cy="0"/>
              <wp:effectExtent l="0" t="0" r="0" b="0"/>
              <wp:wrapNone/>
              <wp:docPr id="260" name="Shape 2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7563B96" id="_x0000_t32" coordsize="21600,21600" o:spt="32" o:oned="t" path="m,l21600,21600e" filled="f">
              <v:path arrowok="t" fillok="f" o:connecttype="none"/>
              <o:lock v:ext="edit" shapetype="t"/>
            </v:shapetype>
            <v:shape id="Shape 260" o:spid="_x0000_s1026" type="#_x0000_t32" style="position:absolute;margin-left:50.35pt;margin-top:33pt;width:343.2pt;height:0;z-index:-251589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415F8" w14:textId="77777777" w:rsidR="0072615D" w:rsidRDefault="0072615D">
    <w:pPr>
      <w:spacing w:line="1" w:lineRule="exact"/>
    </w:pPr>
    <w:r>
      <w:rPr>
        <w:noProof/>
      </w:rPr>
      <mc:AlternateContent>
        <mc:Choice Requires="wps">
          <w:drawing>
            <wp:anchor distT="0" distB="0" distL="0" distR="0" simplePos="0" relativeHeight="251868160" behindDoc="1" locked="0" layoutInCell="1" allowOverlap="1" wp14:anchorId="00F9E811" wp14:editId="0E48888E">
              <wp:simplePos x="0" y="0"/>
              <wp:positionH relativeFrom="page">
                <wp:posOffset>1483995</wp:posOffset>
              </wp:positionH>
              <wp:positionV relativeFrom="page">
                <wp:posOffset>290195</wp:posOffset>
              </wp:positionV>
              <wp:extent cx="3477895" cy="85090"/>
              <wp:effectExtent l="0" t="0" r="0" b="0"/>
              <wp:wrapNone/>
              <wp:docPr id="266" name="Shape 266"/>
              <wp:cNvGraphicFramePr/>
              <a:graphic xmlns:a="http://schemas.openxmlformats.org/drawingml/2006/main">
                <a:graphicData uri="http://schemas.microsoft.com/office/word/2010/wordprocessingShape">
                  <wps:wsp>
                    <wps:cNvSpPr txBox="1"/>
                    <wps:spPr>
                      <a:xfrm>
                        <a:off x="0" y="0"/>
                        <a:ext cx="3477895" cy="85090"/>
                      </a:xfrm>
                      <a:prstGeom prst="rect">
                        <a:avLst/>
                      </a:prstGeom>
                      <a:noFill/>
                    </wps:spPr>
                    <wps:txbx>
                      <w:txbxContent>
                        <w:p w14:paraId="2F0EC373"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0F9E811" id="_x0000_t202" coordsize="21600,21600" o:spt="202" path="m,l,21600r21600,l21600,xe">
              <v:stroke joinstyle="miter"/>
              <v:path gradientshapeok="t" o:connecttype="rect"/>
            </v:shapetype>
            <v:shape id="Shape 266" o:spid="_x0000_s1136" type="#_x0000_t202" style="position:absolute;margin-left:116.85pt;margin-top:22.85pt;width:273.85pt;height:6.7pt;z-index:-2514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" filled="f" stroked="f">
              <v:textbox style="mso-fit-shape-to-text:t" inset="0,0,0,0">
                <w:txbxContent>
                  <w:p w14:paraId="2F0EC373" w14:textId="77777777" w:rsidR="0072615D" w:rsidRDefault="0072615D">
                    <w:pPr>
                      <w:pStyle w:val="Headerorfooter0"/>
                      <w:tabs>
                        <w:tab w:val="right" w:pos="5477"/>
                      </w:tabs>
                      <w:rPr>
                        <w:sz w:val="16"/>
                        <w:szCs w:val="16"/>
                      </w:rPr>
                    </w:pPr>
                    <w:r>
                      <w:t>VACUNACIONES EN CIRCUNSTANCIAS CLÍNICAS ESPECIALES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8896" behindDoc="1" locked="0" layoutInCell="1" allowOverlap="1" wp14:anchorId="0FAB61CB" wp14:editId="3CD35C2F">
              <wp:simplePos x="0" y="0"/>
              <wp:positionH relativeFrom="page">
                <wp:posOffset>639445</wp:posOffset>
              </wp:positionH>
              <wp:positionV relativeFrom="page">
                <wp:posOffset>419100</wp:posOffset>
              </wp:positionV>
              <wp:extent cx="4358640" cy="0"/>
              <wp:effectExtent l="0" t="0" r="0" b="0"/>
              <wp:wrapNone/>
              <wp:docPr id="268" name="Shape 26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2106D35" id="_x0000_t32" coordsize="21600,21600" o:spt="32" o:oned="t" path="m,l21600,21600e" filled="f">
              <v:path arrowok="t" fillok="f" o:connecttype="none"/>
              <o:lock v:ext="edit" shapetype="t"/>
            </v:shapetype>
            <v:shape id="Shape 268" o:spid="_x0000_s1026" type="#_x0000_t32" style="position:absolute;margin-left:50.35pt;margin-top:33pt;width:343.2pt;height:0;z-index:-2515875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" strokeweight="1pt">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E4BA" w14:textId="77777777" w:rsidR="0072615D" w:rsidRDefault="0072615D">
    <w:pPr>
      <w:spacing w:line="1" w:lineRule="exact"/>
    </w:pPr>
    <w:r>
      <w:rPr>
        <w:noProof/>
      </w:rPr>
      <mc:AlternateContent>
        <mc:Choice Requires="wps">
          <w:drawing>
            <wp:anchor distT="0" distB="0" distL="0" distR="0" simplePos="0" relativeHeight="251867136" behindDoc="1" locked="0" layoutInCell="1" allowOverlap="1" wp14:anchorId="13845872" wp14:editId="5741D5A5">
              <wp:simplePos x="0" y="0"/>
              <wp:positionH relativeFrom="page">
                <wp:posOffset>574675</wp:posOffset>
              </wp:positionH>
              <wp:positionV relativeFrom="page">
                <wp:posOffset>290195</wp:posOffset>
              </wp:positionV>
              <wp:extent cx="3486785" cy="85090"/>
              <wp:effectExtent l="0" t="0" r="0" b="0"/>
              <wp:wrapNone/>
              <wp:docPr id="264" name="Shape 264"/>
              <wp:cNvGraphicFramePr/>
              <a:graphic xmlns:a="http://schemas.openxmlformats.org/drawingml/2006/main">
                <a:graphicData uri="http://schemas.microsoft.com/office/word/2010/wordprocessingShape">
                  <wps:wsp>
                    <wps:cNvSpPr txBox="1"/>
                    <wps:spPr>
                      <a:xfrm>
                        <a:off x="0" y="0"/>
                        <a:ext cx="3486785" cy="85090"/>
                      </a:xfrm>
                      <a:prstGeom prst="rect">
                        <a:avLst/>
                      </a:prstGeom>
                      <a:noFill/>
                    </wps:spPr>
                    <wps:txbx>
                      <w:txbxContent>
                        <w:p w14:paraId="40260D6F" w14:textId="77777777" w:rsidR="0072615D" w:rsidRDefault="0072615D">
                          <w:pPr>
                            <w:pStyle w:val="Headerorfooter0"/>
                            <w:tabs>
                              <w:tab w:val="right" w:pos="5491"/>
                            </w:tabs>
                          </w:pPr>
                          <w:r>
                            <w:rPr>
                              <w:sz w:val="16"/>
                              <w:szCs w:val="16"/>
                            </w:rPr>
                            <w:t>102</w:t>
                          </w:r>
                          <w:r>
                            <w:rPr>
                              <w:sz w:val="16"/>
                              <w:szCs w:val="16"/>
                            </w:rPr>
                            <w:tab/>
                          </w:r>
                          <w:r>
                            <w:t>VACUNACIONES EN CIRCUNSTANCIAS CLÍNICAS ESPECIALES</w:t>
                          </w:r>
                        </w:p>
                      </w:txbxContent>
                    </wps:txbx>
                    <wps:bodyPr lIns="0" tIns="0" rIns="0" bIns="0">
                      <a:spAutoFit/>
                    </wps:bodyPr>
                  </wps:wsp>
                </a:graphicData>
              </a:graphic>
            </wp:anchor>
          </w:drawing>
        </mc:Choice>
        <mc:Fallback>
          <w:pict>
            <v:shapetype w14:anchorId="13845872" id="_x0000_t202" coordsize="21600,21600" o:spt="202" path="m,l,21600r21600,l21600,xe">
              <v:stroke joinstyle="miter"/>
              <v:path gradientshapeok="t" o:connecttype="rect"/>
            </v:shapetype>
            <v:shape id="Shape 264" o:spid="_x0000_s1137" type="#_x0000_t202" style="position:absolute;margin-left:45.25pt;margin-top:22.85pt;width:274.55pt;height:6.7pt;z-index:-2514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" filled="f" stroked="f">
              <v:textbox style="mso-fit-shape-to-text:t" inset="0,0,0,0">
                <w:txbxContent>
                  <w:p w14:paraId="40260D6F" w14:textId="77777777" w:rsidR="0072615D" w:rsidRDefault="0072615D">
                    <w:pPr>
                      <w:pStyle w:val="Headerorfooter0"/>
                      <w:tabs>
                        <w:tab w:val="right" w:pos="5491"/>
                      </w:tabs>
                    </w:pPr>
                    <w:r>
                      <w:rPr>
                        <w:sz w:val="16"/>
                        <w:szCs w:val="16"/>
                      </w:rPr>
                      <w:t>102</w:t>
                    </w:r>
                    <w:r>
                      <w:rPr>
                        <w:sz w:val="16"/>
                        <w:szCs w:val="16"/>
                      </w:rPr>
                      <w:tab/>
                    </w:r>
                    <w:r>
                      <w:t>VACUNACIONES EN CIRCUNSTANCIAS CLÍNICAS ESPECIALES</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6D8E" w14:textId="77777777" w:rsidR="0072615D" w:rsidRDefault="0072615D"/>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E4C8" w14:textId="77777777" w:rsidR="0072615D" w:rsidRDefault="0072615D"/>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FD30" w14:textId="77777777" w:rsidR="0072615D" w:rsidRDefault="0072615D"/>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FDBD" w14:textId="77777777" w:rsidR="0072615D" w:rsidRDefault="0072615D"/>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5FF1" w14:textId="77777777" w:rsidR="0072615D" w:rsidRDefault="0072615D"/>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E5F0F" w14:textId="77777777" w:rsidR="0072615D" w:rsidRDefault="0072615D"/>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9920" w14:textId="77777777" w:rsidR="0072615D" w:rsidRDefault="0072615D"/>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45F2" w14:textId="77777777" w:rsidR="0072615D" w:rsidRDefault="0072615D"/>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FD72" w14:textId="77777777" w:rsidR="0072615D" w:rsidRDefault="0072615D"/>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3F27" w14:textId="77777777" w:rsidR="0072615D" w:rsidRDefault="0072615D"/>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2B08" w14:textId="77777777" w:rsidR="0072615D" w:rsidRDefault="0072615D">
    <w:pPr>
      <w:spacing w:line="1" w:lineRule="exact"/>
    </w:pPr>
    <w:r>
      <w:rPr>
        <w:noProof/>
      </w:rPr>
      <mc:AlternateContent>
        <mc:Choice Requires="wps">
          <w:drawing>
            <wp:anchor distT="0" distB="0" distL="0" distR="0" simplePos="0" relativeHeight="251876352" behindDoc="1" locked="0" layoutInCell="1" allowOverlap="1" wp14:anchorId="5A3323D5" wp14:editId="76F29B76">
              <wp:simplePos x="0" y="0"/>
              <wp:positionH relativeFrom="page">
                <wp:posOffset>486410</wp:posOffset>
              </wp:positionH>
              <wp:positionV relativeFrom="page">
                <wp:posOffset>309245</wp:posOffset>
              </wp:positionV>
              <wp:extent cx="3715385" cy="69850"/>
              <wp:effectExtent l="0" t="0" r="0" b="0"/>
              <wp:wrapNone/>
              <wp:docPr id="288" name="Shape 288"/>
              <wp:cNvGraphicFramePr/>
              <a:graphic xmlns:a="http://schemas.openxmlformats.org/drawingml/2006/main">
                <a:graphicData uri="http://schemas.microsoft.com/office/word/2010/wordprocessingShape">
                  <wps:wsp>
                    <wps:cNvSpPr txBox="1"/>
                    <wps:spPr>
                      <a:xfrm>
                        <a:off x="0" y="0"/>
                        <a:ext cx="3715385" cy="69850"/>
                      </a:xfrm>
                      <a:prstGeom prst="rect">
                        <a:avLst/>
                      </a:prstGeom>
                      <a:noFill/>
                    </wps:spPr>
                    <wps:txbx>
                      <w:txbxContent>
                        <w:p w14:paraId="638C460D" w14:textId="77777777" w:rsidR="0072615D" w:rsidRDefault="0072615D">
                          <w:pPr>
                            <w:pStyle w:val="Headerorfooter0"/>
                            <w:tabs>
                              <w:tab w:val="right" w:pos="585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ASPECTOS DE SEGURIDAD EN EL USO DE SANGRE Y HEMODERIVADOS</w:t>
                          </w:r>
                        </w:p>
                      </w:txbxContent>
                    </wps:txbx>
                    <wps:bodyPr lIns="0" tIns="0" rIns="0" bIns="0">
                      <a:spAutoFit/>
                    </wps:bodyPr>
                  </wps:wsp>
                </a:graphicData>
              </a:graphic>
            </wp:anchor>
          </w:drawing>
        </mc:Choice>
        <mc:Fallback>
          <w:pict>
            <v:shapetype w14:anchorId="5A3323D5" id="_x0000_t202" coordsize="21600,21600" o:spt="202" path="m,l,21600r21600,l21600,xe">
              <v:stroke joinstyle="miter"/>
              <v:path gradientshapeok="t" o:connecttype="rect"/>
            </v:shapetype>
            <v:shape id="Shape 288" o:spid="_x0000_s1144" type="#_x0000_t202" style="position:absolute;margin-left:38.3pt;margin-top:24.35pt;width:292.55pt;height:5.5pt;z-index:-2514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" filled="f" stroked="f">
              <v:textbox style="mso-fit-shape-to-text:t" inset="0,0,0,0">
                <w:txbxContent>
                  <w:p w14:paraId="638C460D" w14:textId="77777777" w:rsidR="0072615D" w:rsidRDefault="0072615D">
                    <w:pPr>
                      <w:pStyle w:val="Headerorfooter0"/>
                      <w:tabs>
                        <w:tab w:val="right" w:pos="5851"/>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ASPECTOS DE SEGURIDAD EN EL USO DE SANGRE Y HEMODERIVADOS</w:t>
                    </w:r>
                  </w:p>
                </w:txbxContent>
              </v:textbox>
              <w10:wrap anchorx="page" anchory="page"/>
            </v:shape>
          </w:pict>
        </mc:Fallback>
      </mc:AlternateContent>
    </w:r>
    <w:r>
      <w:rPr>
        <w:noProof/>
      </w:rPr>
      <mc:AlternateContent>
        <mc:Choice Requires="wps">
          <w:drawing>
            <wp:anchor distT="0" distB="0" distL="114300" distR="114300" simplePos="0" relativeHeight="251730944" behindDoc="1" locked="0" layoutInCell="1" allowOverlap="1" wp14:anchorId="5442EC16" wp14:editId="2667E953">
              <wp:simplePos x="0" y="0"/>
              <wp:positionH relativeFrom="page">
                <wp:posOffset>462280</wp:posOffset>
              </wp:positionH>
              <wp:positionV relativeFrom="page">
                <wp:posOffset>419100</wp:posOffset>
              </wp:positionV>
              <wp:extent cx="4358640" cy="0"/>
              <wp:effectExtent l="0" t="0" r="0" b="0"/>
              <wp:wrapNone/>
              <wp:docPr id="290" name="Shape 29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679D988" id="_x0000_t32" coordsize="21600,21600" o:spt="32" o:oned="t" path="m,l21600,21600e" filled="f">
              <v:path arrowok="t" fillok="f" o:connecttype="none"/>
              <o:lock v:ext="edit" shapetype="t"/>
            </v:shapetype>
            <v:shape id="Shape 290" o:spid="_x0000_s1026" type="#_x0000_t32" style="position:absolute;margin-left:36.4pt;margin-top:33pt;width:343.2pt;height:0;z-index:-2515855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" strokeweight="1pt">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E0ED" w14:textId="77777777" w:rsidR="0072615D" w:rsidRDefault="0072615D">
    <w:pPr>
      <w:spacing w:line="1" w:lineRule="exact"/>
    </w:pPr>
    <w:r>
      <w:rPr>
        <w:noProof/>
      </w:rPr>
      <mc:AlternateContent>
        <mc:Choice Requires="wps">
          <w:drawing>
            <wp:anchor distT="0" distB="0" distL="0" distR="0" simplePos="0" relativeHeight="251875328" behindDoc="1" locked="0" layoutInCell="1" allowOverlap="1" wp14:anchorId="7B6EED1D" wp14:editId="698B7B2D">
              <wp:simplePos x="0" y="0"/>
              <wp:positionH relativeFrom="page">
                <wp:posOffset>1064260</wp:posOffset>
              </wp:positionH>
              <wp:positionV relativeFrom="page">
                <wp:posOffset>309245</wp:posOffset>
              </wp:positionV>
              <wp:extent cx="3724910" cy="69850"/>
              <wp:effectExtent l="0" t="0" r="0" b="0"/>
              <wp:wrapNone/>
              <wp:docPr id="285" name="Shape 285"/>
              <wp:cNvGraphicFramePr/>
              <a:graphic xmlns:a="http://schemas.openxmlformats.org/drawingml/2006/main">
                <a:graphicData uri="http://schemas.microsoft.com/office/word/2010/wordprocessingShape">
                  <wps:wsp>
                    <wps:cNvSpPr txBox="1"/>
                    <wps:spPr>
                      <a:xfrm>
                        <a:off x="0" y="0"/>
                        <a:ext cx="3724910" cy="69850"/>
                      </a:xfrm>
                      <a:prstGeom prst="rect">
                        <a:avLst/>
                      </a:prstGeom>
                      <a:noFill/>
                    </wps:spPr>
                    <wps:txbx>
                      <w:txbxContent>
                        <w:p w14:paraId="17A954CF" w14:textId="77777777" w:rsidR="0072615D" w:rsidRDefault="0072615D">
                          <w:pPr>
                            <w:pStyle w:val="Headerorfooter0"/>
                            <w:tabs>
                              <w:tab w:val="right" w:pos="5866"/>
                            </w:tabs>
                            <w:rPr>
                              <w:sz w:val="16"/>
                              <w:szCs w:val="16"/>
                            </w:rPr>
                          </w:pPr>
                          <w:r>
                            <w:t>ASPECTOS DE SEGURIDAD EN EL USO DE SANGRE Y HEMODERIVADOS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7B6EED1D" id="_x0000_t202" coordsize="21600,21600" o:spt="202" path="m,l,21600r21600,l21600,xe">
              <v:stroke joinstyle="miter"/>
              <v:path gradientshapeok="t" o:connecttype="rect"/>
            </v:shapetype>
            <v:shape id="Shape 285" o:spid="_x0000_s1145" type="#_x0000_t202" style="position:absolute;margin-left:83.8pt;margin-top:24.35pt;width:293.3pt;height:5.5pt;z-index:-2514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" filled="f" stroked="f">
              <v:textbox style="mso-fit-shape-to-text:t" inset="0,0,0,0">
                <w:txbxContent>
                  <w:p w14:paraId="17A954CF" w14:textId="77777777" w:rsidR="0072615D" w:rsidRDefault="0072615D">
                    <w:pPr>
                      <w:pStyle w:val="Headerorfooter0"/>
                      <w:tabs>
                        <w:tab w:val="right" w:pos="5866"/>
                      </w:tabs>
                      <w:rPr>
                        <w:sz w:val="16"/>
                        <w:szCs w:val="16"/>
                      </w:rPr>
                    </w:pPr>
                    <w:r>
                      <w:t>ASPECTOS DE SEGURIDAD EN EL USO DE SANGRE Y HEMODERIVADOS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29920" behindDoc="1" locked="0" layoutInCell="1" allowOverlap="1" wp14:anchorId="2701611D" wp14:editId="7AF7615C">
              <wp:simplePos x="0" y="0"/>
              <wp:positionH relativeFrom="page">
                <wp:posOffset>451485</wp:posOffset>
              </wp:positionH>
              <wp:positionV relativeFrom="page">
                <wp:posOffset>419100</wp:posOffset>
              </wp:positionV>
              <wp:extent cx="4358640" cy="0"/>
              <wp:effectExtent l="0" t="0" r="0" b="0"/>
              <wp:wrapNone/>
              <wp:docPr id="287" name="Shape 28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D667E4B" id="_x0000_t32" coordsize="21600,21600" o:spt="32" o:oned="t" path="m,l21600,21600e" filled="f">
              <v:path arrowok="t" fillok="f" o:connecttype="none"/>
              <o:lock v:ext="edit" shapetype="t"/>
            </v:shapetype>
            <v:shape id="Shape 287" o:spid="_x0000_s1026" type="#_x0000_t32" style="position:absolute;margin-left:35.55pt;margin-top:33pt;width:343.2pt;height:0;z-index:-2515865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" strokeweight="1pt">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D13" w14:textId="77777777" w:rsidR="0072615D" w:rsidRDefault="0072615D">
    <w:pPr>
      <w:spacing w:line="1" w:lineRule="exact"/>
    </w:pPr>
    <w:r>
      <w:rPr>
        <w:noProof/>
      </w:rPr>
      <mc:AlternateContent>
        <mc:Choice Requires="wps">
          <w:drawing>
            <wp:anchor distT="0" distB="0" distL="0" distR="0" simplePos="0" relativeHeight="251877376" behindDoc="1" locked="0" layoutInCell="1" allowOverlap="1" wp14:anchorId="7F5EFFBA" wp14:editId="7A8585C4">
              <wp:simplePos x="0" y="0"/>
              <wp:positionH relativeFrom="page">
                <wp:posOffset>478790</wp:posOffset>
              </wp:positionH>
              <wp:positionV relativeFrom="page">
                <wp:posOffset>295910</wp:posOffset>
              </wp:positionV>
              <wp:extent cx="2715895" cy="85090"/>
              <wp:effectExtent l="0" t="0" r="0" b="0"/>
              <wp:wrapNone/>
              <wp:docPr id="291" name="Shape 291"/>
              <wp:cNvGraphicFramePr/>
              <a:graphic xmlns:a="http://schemas.openxmlformats.org/drawingml/2006/main">
                <a:graphicData uri="http://schemas.microsoft.com/office/word/2010/wordprocessingShape">
                  <wps:wsp>
                    <wps:cNvSpPr txBox="1"/>
                    <wps:spPr>
                      <a:xfrm>
                        <a:off x="0" y="0"/>
                        <a:ext cx="2715895" cy="85090"/>
                      </a:xfrm>
                      <a:prstGeom prst="rect">
                        <a:avLst/>
                      </a:prstGeom>
                      <a:noFill/>
                    </wps:spPr>
                    <wps:txbx>
                      <w:txbxContent>
                        <w:p w14:paraId="3EBC1791" w14:textId="77777777" w:rsidR="0072615D" w:rsidRDefault="0072615D">
                          <w:pPr>
                            <w:pStyle w:val="Headerorfooter0"/>
                            <w:tabs>
                              <w:tab w:val="right" w:pos="427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TERRORISMO BIOLÓGICO</w:t>
                          </w:r>
                        </w:p>
                      </w:txbxContent>
                    </wps:txbx>
                    <wps:bodyPr lIns="0" tIns="0" rIns="0" bIns="0">
                      <a:spAutoFit/>
                    </wps:bodyPr>
                  </wps:wsp>
                </a:graphicData>
              </a:graphic>
            </wp:anchor>
          </w:drawing>
        </mc:Choice>
        <mc:Fallback>
          <w:pict>
            <v:shapetype w14:anchorId="7F5EFFBA" id="_x0000_t202" coordsize="21600,21600" o:spt="202" path="m,l,21600r21600,l21600,xe">
              <v:stroke joinstyle="miter"/>
              <v:path gradientshapeok="t" o:connecttype="rect"/>
            </v:shapetype>
            <v:shape id="Shape 291" o:spid="_x0000_s1146" type="#_x0000_t202" style="position:absolute;margin-left:37.7pt;margin-top:23.3pt;width:213.85pt;height:6.7pt;z-index:-2514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" filled="f" stroked="f">
              <v:textbox style="mso-fit-shape-to-text:t" inset="0,0,0,0">
                <w:txbxContent>
                  <w:p w14:paraId="3EBC1791" w14:textId="77777777" w:rsidR="0072615D" w:rsidRDefault="0072615D">
                    <w:pPr>
                      <w:pStyle w:val="Headerorfooter0"/>
                      <w:tabs>
                        <w:tab w:val="right" w:pos="4277"/>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TERRORISMO BIOLÓGICO</w:t>
                    </w:r>
                  </w:p>
                </w:txbxContent>
              </v:textbox>
              <w10:wrap anchorx="page" anchory="page"/>
            </v:shape>
          </w:pict>
        </mc:Fallback>
      </mc:AlternateContent>
    </w:r>
    <w:r>
      <w:rPr>
        <w:noProof/>
      </w:rPr>
      <mc:AlternateContent>
        <mc:Choice Requires="wps">
          <w:drawing>
            <wp:anchor distT="0" distB="0" distL="114300" distR="114300" simplePos="0" relativeHeight="251731968" behindDoc="1" locked="0" layoutInCell="1" allowOverlap="1" wp14:anchorId="6F69B280" wp14:editId="44F1D3E8">
              <wp:simplePos x="0" y="0"/>
              <wp:positionH relativeFrom="page">
                <wp:posOffset>454660</wp:posOffset>
              </wp:positionH>
              <wp:positionV relativeFrom="page">
                <wp:posOffset>419100</wp:posOffset>
              </wp:positionV>
              <wp:extent cx="4358640" cy="0"/>
              <wp:effectExtent l="0" t="0" r="0" b="0"/>
              <wp:wrapNone/>
              <wp:docPr id="293" name="Shape 29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66563DE" id="_x0000_t32" coordsize="21600,21600" o:spt="32" o:oned="t" path="m,l21600,21600e" filled="f">
              <v:path arrowok="t" fillok="f" o:connecttype="none"/>
              <o:lock v:ext="edit" shapetype="t"/>
            </v:shapetype>
            <v:shape id="Shape 293" o:spid="_x0000_s1026" type="#_x0000_t32" style="position:absolute;margin-left:35.8pt;margin-top:33pt;width:343.2pt;height:0;z-index:-2515845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" strokeweight="1pt">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4D14" w14:textId="77777777" w:rsidR="0072615D" w:rsidRDefault="0072615D">
    <w:pPr>
      <w:spacing w:line="1" w:lineRule="exact"/>
    </w:pPr>
    <w:r>
      <w:rPr>
        <w:noProof/>
      </w:rPr>
      <mc:AlternateContent>
        <mc:Choice Requires="wps">
          <w:drawing>
            <wp:anchor distT="0" distB="0" distL="0" distR="0" simplePos="0" relativeHeight="251879424" behindDoc="1" locked="0" layoutInCell="1" allowOverlap="1" wp14:anchorId="0C5B4B6B" wp14:editId="2568FD12">
              <wp:simplePos x="0" y="0"/>
              <wp:positionH relativeFrom="page">
                <wp:posOffset>2388870</wp:posOffset>
              </wp:positionH>
              <wp:positionV relativeFrom="page">
                <wp:posOffset>309245</wp:posOffset>
              </wp:positionV>
              <wp:extent cx="2526665" cy="69850"/>
              <wp:effectExtent l="0" t="0" r="0" b="0"/>
              <wp:wrapNone/>
              <wp:docPr id="299" name="Shape 299"/>
              <wp:cNvGraphicFramePr/>
              <a:graphic xmlns:a="http://schemas.openxmlformats.org/drawingml/2006/main">
                <a:graphicData uri="http://schemas.microsoft.com/office/word/2010/wordprocessingShape">
                  <wps:wsp>
                    <wps:cNvSpPr txBox="1"/>
                    <wps:spPr>
                      <a:xfrm>
                        <a:off x="0" y="0"/>
                        <a:ext cx="2526665" cy="69850"/>
                      </a:xfrm>
                      <a:prstGeom prst="rect">
                        <a:avLst/>
                      </a:prstGeom>
                      <a:noFill/>
                    </wps:spPr>
                    <wps:txbx>
                      <w:txbxContent>
                        <w:p w14:paraId="5E6302DE" w14:textId="77777777" w:rsidR="0072615D" w:rsidRDefault="0072615D">
                          <w:pPr>
                            <w:pStyle w:val="Headerorfooter0"/>
                            <w:tabs>
                              <w:tab w:val="right" w:pos="3979"/>
                            </w:tabs>
                            <w:rPr>
                              <w:sz w:val="16"/>
                              <w:szCs w:val="16"/>
                            </w:rPr>
                          </w:pPr>
                          <w:r>
                            <w:t>LECHE MATERNA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C5B4B6B" id="_x0000_t202" coordsize="21600,21600" o:spt="202" path="m,l,21600r21600,l21600,xe">
              <v:stroke joinstyle="miter"/>
              <v:path gradientshapeok="t" o:connecttype="rect"/>
            </v:shapetype>
            <v:shape id="Shape 299" o:spid="_x0000_s1147" type="#_x0000_t202" style="position:absolute;margin-left:188.1pt;margin-top:24.35pt;width:198.95pt;height:5.5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" filled="f" stroked="f">
              <v:textbox style="mso-fit-shape-to-text:t" inset="0,0,0,0">
                <w:txbxContent>
                  <w:p w14:paraId="5E6302DE" w14:textId="77777777" w:rsidR="0072615D" w:rsidRDefault="0072615D">
                    <w:pPr>
                      <w:pStyle w:val="Headerorfooter0"/>
                      <w:tabs>
                        <w:tab w:val="right" w:pos="3979"/>
                      </w:tabs>
                      <w:rPr>
                        <w:sz w:val="16"/>
                        <w:szCs w:val="16"/>
                      </w:rPr>
                    </w:pPr>
                    <w:r>
                      <w:t>LECHE MATERNA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4016" behindDoc="1" locked="0" layoutInCell="1" allowOverlap="1" wp14:anchorId="47C17407" wp14:editId="638D1E3C">
              <wp:simplePos x="0" y="0"/>
              <wp:positionH relativeFrom="page">
                <wp:posOffset>577850</wp:posOffset>
              </wp:positionH>
              <wp:positionV relativeFrom="page">
                <wp:posOffset>417830</wp:posOffset>
              </wp:positionV>
              <wp:extent cx="4358640" cy="0"/>
              <wp:effectExtent l="0" t="0" r="0" b="0"/>
              <wp:wrapNone/>
              <wp:docPr id="301" name="Shape 30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3044DCF" id="_x0000_t32" coordsize="21600,21600" o:spt="32" o:oned="t" path="m,l21600,21600e" filled="f">
              <v:path arrowok="t" fillok="f" o:connecttype="none"/>
              <o:lock v:ext="edit" shapetype="t"/>
            </v:shapetype>
            <v:shape id="Shape 301" o:spid="_x0000_s1026" type="#_x0000_t32" style="position:absolute;margin-left:45.5pt;margin-top:32.9pt;width:343.2pt;height:0;z-index:-2515824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" strokeweight="1pt">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2241" w14:textId="77777777" w:rsidR="0072615D" w:rsidRDefault="0072615D">
    <w:pPr>
      <w:spacing w:line="1" w:lineRule="exact"/>
    </w:pPr>
    <w:r>
      <w:rPr>
        <w:noProof/>
      </w:rPr>
      <mc:AlternateContent>
        <mc:Choice Requires="wps">
          <w:drawing>
            <wp:anchor distT="0" distB="0" distL="0" distR="0" simplePos="0" relativeHeight="251878400" behindDoc="1" locked="0" layoutInCell="1" allowOverlap="1" wp14:anchorId="37CDE101" wp14:editId="703DAAD8">
              <wp:simplePos x="0" y="0"/>
              <wp:positionH relativeFrom="page">
                <wp:posOffset>2388870</wp:posOffset>
              </wp:positionH>
              <wp:positionV relativeFrom="page">
                <wp:posOffset>309245</wp:posOffset>
              </wp:positionV>
              <wp:extent cx="2526665" cy="69850"/>
              <wp:effectExtent l="0" t="0" r="0" b="0"/>
              <wp:wrapNone/>
              <wp:docPr id="296" name="Shape 296"/>
              <wp:cNvGraphicFramePr/>
              <a:graphic xmlns:a="http://schemas.openxmlformats.org/drawingml/2006/main">
                <a:graphicData uri="http://schemas.microsoft.com/office/word/2010/wordprocessingShape">
                  <wps:wsp>
                    <wps:cNvSpPr txBox="1"/>
                    <wps:spPr>
                      <a:xfrm>
                        <a:off x="0" y="0"/>
                        <a:ext cx="2526665" cy="69850"/>
                      </a:xfrm>
                      <a:prstGeom prst="rect">
                        <a:avLst/>
                      </a:prstGeom>
                      <a:noFill/>
                    </wps:spPr>
                    <wps:txbx>
                      <w:txbxContent>
                        <w:p w14:paraId="0837264E" w14:textId="77777777" w:rsidR="0072615D" w:rsidRDefault="0072615D">
                          <w:pPr>
                            <w:pStyle w:val="Headerorfooter0"/>
                            <w:tabs>
                              <w:tab w:val="right" w:pos="3979"/>
                            </w:tabs>
                            <w:rPr>
                              <w:sz w:val="16"/>
                              <w:szCs w:val="16"/>
                            </w:rPr>
                          </w:pPr>
                          <w:r>
                            <w:t>LECHE MATERNA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7CDE101" id="_x0000_t202" coordsize="21600,21600" o:spt="202" path="m,l,21600r21600,l21600,xe">
              <v:stroke joinstyle="miter"/>
              <v:path gradientshapeok="t" o:connecttype="rect"/>
            </v:shapetype>
            <v:shape id="Shape 296" o:spid="_x0000_s1148" type="#_x0000_t202" style="position:absolute;margin-left:188.1pt;margin-top:24.35pt;width:198.95pt;height:5.5pt;z-index:-2514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" filled="f" stroked="f">
              <v:textbox style="mso-fit-shape-to-text:t" inset="0,0,0,0">
                <w:txbxContent>
                  <w:p w14:paraId="0837264E" w14:textId="77777777" w:rsidR="0072615D" w:rsidRDefault="0072615D">
                    <w:pPr>
                      <w:pStyle w:val="Headerorfooter0"/>
                      <w:tabs>
                        <w:tab w:val="right" w:pos="3979"/>
                      </w:tabs>
                      <w:rPr>
                        <w:sz w:val="16"/>
                        <w:szCs w:val="16"/>
                      </w:rPr>
                    </w:pPr>
                    <w:r>
                      <w:t>LECHE MATERNA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2992" behindDoc="1" locked="0" layoutInCell="1" allowOverlap="1" wp14:anchorId="08D00540" wp14:editId="2F662791">
              <wp:simplePos x="0" y="0"/>
              <wp:positionH relativeFrom="page">
                <wp:posOffset>577850</wp:posOffset>
              </wp:positionH>
              <wp:positionV relativeFrom="page">
                <wp:posOffset>417830</wp:posOffset>
              </wp:positionV>
              <wp:extent cx="4358640" cy="0"/>
              <wp:effectExtent l="0" t="0" r="0" b="0"/>
              <wp:wrapNone/>
              <wp:docPr id="298" name="Shape 29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C7331FD" id="_x0000_t32" coordsize="21600,21600" o:spt="32" o:oned="t" path="m,l21600,21600e" filled="f">
              <v:path arrowok="t" fillok="f" o:connecttype="none"/>
              <o:lock v:ext="edit" shapetype="t"/>
            </v:shapetype>
            <v:shape id="Shape 298" o:spid="_x0000_s1026" type="#_x0000_t32" style="position:absolute;margin-left:45.5pt;margin-top:32.9pt;width:343.2pt;height:0;z-index:-2515834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" strokeweight="1pt">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2E72" w14:textId="77777777" w:rsidR="0072615D" w:rsidRDefault="0072615D">
    <w:pPr>
      <w:spacing w:line="1" w:lineRule="exact"/>
    </w:pPr>
    <w:r>
      <w:rPr>
        <w:noProof/>
      </w:rPr>
      <mc:AlternateContent>
        <mc:Choice Requires="wps">
          <w:drawing>
            <wp:anchor distT="0" distB="0" distL="0" distR="0" simplePos="0" relativeHeight="251881472" behindDoc="1" locked="0" layoutInCell="1" allowOverlap="1" wp14:anchorId="7D08ABCE" wp14:editId="50B3FEA3">
              <wp:simplePos x="0" y="0"/>
              <wp:positionH relativeFrom="page">
                <wp:posOffset>602615</wp:posOffset>
              </wp:positionH>
              <wp:positionV relativeFrom="page">
                <wp:posOffset>309245</wp:posOffset>
              </wp:positionV>
              <wp:extent cx="2526665" cy="69850"/>
              <wp:effectExtent l="0" t="0" r="0" b="0"/>
              <wp:wrapNone/>
              <wp:docPr id="305" name="Shape 305"/>
              <wp:cNvGraphicFramePr/>
              <a:graphic xmlns:a="http://schemas.openxmlformats.org/drawingml/2006/main">
                <a:graphicData uri="http://schemas.microsoft.com/office/word/2010/wordprocessingShape">
                  <wps:wsp>
                    <wps:cNvSpPr txBox="1"/>
                    <wps:spPr>
                      <a:xfrm>
                        <a:off x="0" y="0"/>
                        <a:ext cx="2526665" cy="69850"/>
                      </a:xfrm>
                      <a:prstGeom prst="rect">
                        <a:avLst/>
                      </a:prstGeom>
                      <a:noFill/>
                    </wps:spPr>
                    <wps:txbx>
                      <w:txbxContent>
                        <w:p w14:paraId="1881AE4D" w14:textId="77777777" w:rsidR="0072615D" w:rsidRDefault="0072615D">
                          <w:pPr>
                            <w:pStyle w:val="Headerorfooter0"/>
                            <w:tabs>
                              <w:tab w:val="right" w:pos="397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LECHE MATERNA</w:t>
                          </w:r>
                        </w:p>
                      </w:txbxContent>
                    </wps:txbx>
                    <wps:bodyPr lIns="0" tIns="0" rIns="0" bIns="0">
                      <a:spAutoFit/>
                    </wps:bodyPr>
                  </wps:wsp>
                </a:graphicData>
              </a:graphic>
            </wp:anchor>
          </w:drawing>
        </mc:Choice>
        <mc:Fallback>
          <w:pict>
            <v:shapetype w14:anchorId="7D08ABCE" id="_x0000_t202" coordsize="21600,21600" o:spt="202" path="m,l,21600r21600,l21600,xe">
              <v:stroke joinstyle="miter"/>
              <v:path gradientshapeok="t" o:connecttype="rect"/>
            </v:shapetype>
            <v:shape id="Shape 305" o:spid="_x0000_s1149" type="#_x0000_t202" style="position:absolute;margin-left:47.45pt;margin-top:24.35pt;width:198.95pt;height:5.5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" filled="f" stroked="f">
              <v:textbox style="mso-fit-shape-to-text:t" inset="0,0,0,0">
                <w:txbxContent>
                  <w:p w14:paraId="1881AE4D" w14:textId="77777777" w:rsidR="0072615D" w:rsidRDefault="0072615D">
                    <w:pPr>
                      <w:pStyle w:val="Headerorfooter0"/>
                      <w:tabs>
                        <w:tab w:val="right" w:pos="397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LECHE MATERNA</w:t>
                    </w:r>
                  </w:p>
                </w:txbxContent>
              </v:textbox>
              <w10:wrap anchorx="page" anchory="page"/>
            </v:shape>
          </w:pict>
        </mc:Fallback>
      </mc:AlternateContent>
    </w:r>
    <w:r>
      <w:rPr>
        <w:noProof/>
      </w:rPr>
      <mc:AlternateContent>
        <mc:Choice Requires="wps">
          <w:drawing>
            <wp:anchor distT="0" distB="0" distL="114300" distR="114300" simplePos="0" relativeHeight="251736064" behindDoc="1" locked="0" layoutInCell="1" allowOverlap="1" wp14:anchorId="243C9659" wp14:editId="436093B9">
              <wp:simplePos x="0" y="0"/>
              <wp:positionH relativeFrom="page">
                <wp:posOffset>577850</wp:posOffset>
              </wp:positionH>
              <wp:positionV relativeFrom="page">
                <wp:posOffset>417830</wp:posOffset>
              </wp:positionV>
              <wp:extent cx="4358640" cy="0"/>
              <wp:effectExtent l="0" t="0" r="0" b="0"/>
              <wp:wrapNone/>
              <wp:docPr id="307" name="Shape 30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19B3D77" id="_x0000_t32" coordsize="21600,21600" o:spt="32" o:oned="t" path="m,l21600,21600e" filled="f">
              <v:path arrowok="t" fillok="f" o:connecttype="none"/>
              <o:lock v:ext="edit" shapetype="t"/>
            </v:shapetype>
            <v:shape id="Shape 307" o:spid="_x0000_s1026" type="#_x0000_t32" style="position:absolute;margin-left:45.5pt;margin-top:32.9pt;width:343.2pt;height:0;z-index:-2515804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" strokeweight="1pt">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0A1D" w14:textId="77777777" w:rsidR="0072615D" w:rsidRDefault="0072615D">
    <w:pPr>
      <w:spacing w:line="1" w:lineRule="exact"/>
    </w:pPr>
    <w:r>
      <w:rPr>
        <w:noProof/>
      </w:rPr>
      <mc:AlternateContent>
        <mc:Choice Requires="wps">
          <w:drawing>
            <wp:anchor distT="0" distB="0" distL="0" distR="0" simplePos="0" relativeHeight="251880448" behindDoc="1" locked="0" layoutInCell="1" allowOverlap="1" wp14:anchorId="6B0FED4E" wp14:editId="5D0FC604">
              <wp:simplePos x="0" y="0"/>
              <wp:positionH relativeFrom="page">
                <wp:posOffset>2388870</wp:posOffset>
              </wp:positionH>
              <wp:positionV relativeFrom="page">
                <wp:posOffset>309245</wp:posOffset>
              </wp:positionV>
              <wp:extent cx="2526665" cy="69850"/>
              <wp:effectExtent l="0" t="0" r="0" b="0"/>
              <wp:wrapNone/>
              <wp:docPr id="302" name="Shape 302"/>
              <wp:cNvGraphicFramePr/>
              <a:graphic xmlns:a="http://schemas.openxmlformats.org/drawingml/2006/main">
                <a:graphicData uri="http://schemas.microsoft.com/office/word/2010/wordprocessingShape">
                  <wps:wsp>
                    <wps:cNvSpPr txBox="1"/>
                    <wps:spPr>
                      <a:xfrm>
                        <a:off x="0" y="0"/>
                        <a:ext cx="2526665" cy="69850"/>
                      </a:xfrm>
                      <a:prstGeom prst="rect">
                        <a:avLst/>
                      </a:prstGeom>
                      <a:noFill/>
                    </wps:spPr>
                    <wps:txbx>
                      <w:txbxContent>
                        <w:p w14:paraId="5DC56075" w14:textId="77777777" w:rsidR="0072615D" w:rsidRDefault="0072615D">
                          <w:pPr>
                            <w:pStyle w:val="Headerorfooter0"/>
                            <w:tabs>
                              <w:tab w:val="right" w:pos="3979"/>
                            </w:tabs>
                            <w:rPr>
                              <w:sz w:val="16"/>
                              <w:szCs w:val="16"/>
                            </w:rPr>
                          </w:pPr>
                          <w:r>
                            <w:t>LECHE MATERNA</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6B0FED4E" id="_x0000_t202" coordsize="21600,21600" o:spt="202" path="m,l,21600r21600,l21600,xe">
              <v:stroke joinstyle="miter"/>
              <v:path gradientshapeok="t" o:connecttype="rect"/>
            </v:shapetype>
            <v:shape id="Shape 302" o:spid="_x0000_s1150" type="#_x0000_t202" style="position:absolute;margin-left:188.1pt;margin-top:24.35pt;width:198.95pt;height:5.5pt;z-index:-251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" filled="f" stroked="f">
              <v:textbox style="mso-fit-shape-to-text:t" inset="0,0,0,0">
                <w:txbxContent>
                  <w:p w14:paraId="5DC56075" w14:textId="77777777" w:rsidR="0072615D" w:rsidRDefault="0072615D">
                    <w:pPr>
                      <w:pStyle w:val="Headerorfooter0"/>
                      <w:tabs>
                        <w:tab w:val="right" w:pos="3979"/>
                      </w:tabs>
                      <w:rPr>
                        <w:sz w:val="16"/>
                        <w:szCs w:val="16"/>
                      </w:rPr>
                    </w:pPr>
                    <w:r>
                      <w:t>LECHE MATERNA</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5040" behindDoc="1" locked="0" layoutInCell="1" allowOverlap="1" wp14:anchorId="412C6AE2" wp14:editId="600D3B5D">
              <wp:simplePos x="0" y="0"/>
              <wp:positionH relativeFrom="page">
                <wp:posOffset>577850</wp:posOffset>
              </wp:positionH>
              <wp:positionV relativeFrom="page">
                <wp:posOffset>417830</wp:posOffset>
              </wp:positionV>
              <wp:extent cx="4358640" cy="0"/>
              <wp:effectExtent l="0" t="0" r="0" b="0"/>
              <wp:wrapNone/>
              <wp:docPr id="304" name="Shape 30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28F22D6" id="_x0000_t32" coordsize="21600,21600" o:spt="32" o:oned="t" path="m,l21600,21600e" filled="f">
              <v:path arrowok="t" fillok="f" o:connecttype="none"/>
              <o:lock v:ext="edit" shapetype="t"/>
            </v:shapetype>
            <v:shape id="Shape 304" o:spid="_x0000_s1026" type="#_x0000_t32" style="position:absolute;margin-left:45.5pt;margin-top:32.9pt;width:343.2pt;height:0;z-index:-2515814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" strokeweight="1pt">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474A9" w14:textId="77777777" w:rsidR="0072615D" w:rsidRDefault="0072615D">
    <w:pPr>
      <w:spacing w:line="1" w:lineRule="exact"/>
    </w:pPr>
    <w:r>
      <w:rPr>
        <w:noProof/>
      </w:rPr>
      <mc:AlternateContent>
        <mc:Choice Requires="wps">
          <w:drawing>
            <wp:anchor distT="0" distB="0" distL="0" distR="0" simplePos="0" relativeHeight="251883520" behindDoc="1" locked="0" layoutInCell="1" allowOverlap="1" wp14:anchorId="76AB41C3" wp14:editId="2306D405">
              <wp:simplePos x="0" y="0"/>
              <wp:positionH relativeFrom="page">
                <wp:posOffset>572135</wp:posOffset>
              </wp:positionH>
              <wp:positionV relativeFrom="page">
                <wp:posOffset>294005</wp:posOffset>
              </wp:positionV>
              <wp:extent cx="3368040" cy="85090"/>
              <wp:effectExtent l="0" t="0" r="0" b="0"/>
              <wp:wrapNone/>
              <wp:docPr id="311" name="Shape 311"/>
              <wp:cNvGraphicFramePr/>
              <a:graphic xmlns:a="http://schemas.openxmlformats.org/drawingml/2006/main">
                <a:graphicData uri="http://schemas.microsoft.com/office/word/2010/wordprocessingShape">
                  <wps:wsp>
                    <wps:cNvSpPr txBox="1"/>
                    <wps:spPr>
                      <a:xfrm>
                        <a:off x="0" y="0"/>
                        <a:ext cx="3368040" cy="85090"/>
                      </a:xfrm>
                      <a:prstGeom prst="rect">
                        <a:avLst/>
                      </a:prstGeom>
                      <a:noFill/>
                    </wps:spPr>
                    <wps:txbx>
                      <w:txbxContent>
                        <w:p w14:paraId="7428465B"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NIÑOS EN EL SISTEMA ASISTENCIAL EXTRAHOGAREÑO</w:t>
                          </w:r>
                        </w:p>
                      </w:txbxContent>
                    </wps:txbx>
                    <wps:bodyPr lIns="0" tIns="0" rIns="0" bIns="0">
                      <a:spAutoFit/>
                    </wps:bodyPr>
                  </wps:wsp>
                </a:graphicData>
              </a:graphic>
            </wp:anchor>
          </w:drawing>
        </mc:Choice>
        <mc:Fallback>
          <w:pict>
            <v:shapetype w14:anchorId="76AB41C3" id="_x0000_t202" coordsize="21600,21600" o:spt="202" path="m,l,21600r21600,l21600,xe">
              <v:stroke joinstyle="miter"/>
              <v:path gradientshapeok="t" o:connecttype="rect"/>
            </v:shapetype>
            <v:shape id="Shape 311" o:spid="_x0000_s1151" type="#_x0000_t202" style="position:absolute;margin-left:45.05pt;margin-top:23.15pt;width:265.2pt;height:6.7pt;z-index:-251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" filled="f" stroked="f">
              <v:textbox style="mso-fit-shape-to-text:t" inset="0,0,0,0">
                <w:txbxContent>
                  <w:p w14:paraId="7428465B"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NIÑOS EN EL SISTEMA ASISTENCIAL EXTRAHOGAREÑO</w:t>
                    </w:r>
                  </w:p>
                </w:txbxContent>
              </v:textbox>
              <w10:wrap anchorx="page" anchory="page"/>
            </v:shape>
          </w:pict>
        </mc:Fallback>
      </mc:AlternateContent>
    </w:r>
    <w:r>
      <w:rPr>
        <w:noProof/>
      </w:rPr>
      <mc:AlternateContent>
        <mc:Choice Requires="wps">
          <w:drawing>
            <wp:anchor distT="0" distB="0" distL="114300" distR="114300" simplePos="0" relativeHeight="251738112" behindDoc="1" locked="0" layoutInCell="1" allowOverlap="1" wp14:anchorId="58009929" wp14:editId="2A008F77">
              <wp:simplePos x="0" y="0"/>
              <wp:positionH relativeFrom="page">
                <wp:posOffset>547370</wp:posOffset>
              </wp:positionH>
              <wp:positionV relativeFrom="page">
                <wp:posOffset>417830</wp:posOffset>
              </wp:positionV>
              <wp:extent cx="4358640" cy="0"/>
              <wp:effectExtent l="0" t="0" r="0" b="0"/>
              <wp:wrapNone/>
              <wp:docPr id="313" name="Shape 31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CD96B83" id="_x0000_t32" coordsize="21600,21600" o:spt="32" o:oned="t" path="m,l21600,21600e" filled="f">
              <v:path arrowok="t" fillok="f" o:connecttype="none"/>
              <o:lock v:ext="edit" shapetype="t"/>
            </v:shapetype>
            <v:shape id="Shape 313" o:spid="_x0000_s1026" type="#_x0000_t32" style="position:absolute;margin-left:43.1pt;margin-top:32.9pt;width:343.2pt;height:0;z-index:-2515783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" strokeweight="1pt">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5532D" w14:textId="77777777" w:rsidR="0072615D" w:rsidRDefault="0072615D">
    <w:pPr>
      <w:spacing w:line="1" w:lineRule="exact"/>
    </w:pPr>
    <w:r>
      <w:rPr>
        <w:noProof/>
      </w:rPr>
      <mc:AlternateContent>
        <mc:Choice Requires="wps">
          <w:drawing>
            <wp:anchor distT="0" distB="0" distL="0" distR="0" simplePos="0" relativeHeight="251882496" behindDoc="1" locked="0" layoutInCell="1" allowOverlap="1" wp14:anchorId="728C8C56" wp14:editId="14F0C3B8">
              <wp:simplePos x="0" y="0"/>
              <wp:positionH relativeFrom="page">
                <wp:posOffset>572135</wp:posOffset>
              </wp:positionH>
              <wp:positionV relativeFrom="page">
                <wp:posOffset>294005</wp:posOffset>
              </wp:positionV>
              <wp:extent cx="3368040" cy="85090"/>
              <wp:effectExtent l="0" t="0" r="0" b="0"/>
              <wp:wrapNone/>
              <wp:docPr id="308" name="Shape 308"/>
              <wp:cNvGraphicFramePr/>
              <a:graphic xmlns:a="http://schemas.openxmlformats.org/drawingml/2006/main">
                <a:graphicData uri="http://schemas.microsoft.com/office/word/2010/wordprocessingShape">
                  <wps:wsp>
                    <wps:cNvSpPr txBox="1"/>
                    <wps:spPr>
                      <a:xfrm>
                        <a:off x="0" y="0"/>
                        <a:ext cx="3368040" cy="85090"/>
                      </a:xfrm>
                      <a:prstGeom prst="rect">
                        <a:avLst/>
                      </a:prstGeom>
                      <a:noFill/>
                    </wps:spPr>
                    <wps:txbx>
                      <w:txbxContent>
                        <w:p w14:paraId="0FBC1AAE"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NIÑOS EN EL SISTEMA ASISTENCIAL EXTRAHOGAREÑO</w:t>
                          </w:r>
                        </w:p>
                      </w:txbxContent>
                    </wps:txbx>
                    <wps:bodyPr lIns="0" tIns="0" rIns="0" bIns="0">
                      <a:spAutoFit/>
                    </wps:bodyPr>
                  </wps:wsp>
                </a:graphicData>
              </a:graphic>
            </wp:anchor>
          </w:drawing>
        </mc:Choice>
        <mc:Fallback>
          <w:pict>
            <v:shapetype w14:anchorId="728C8C56" id="_x0000_t202" coordsize="21600,21600" o:spt="202" path="m,l,21600r21600,l21600,xe">
              <v:stroke joinstyle="miter"/>
              <v:path gradientshapeok="t" o:connecttype="rect"/>
            </v:shapetype>
            <v:shape id="Shape 308" o:spid="_x0000_s1152" type="#_x0000_t202" style="position:absolute;margin-left:45.05pt;margin-top:23.15pt;width:265.2pt;height:6.7pt;z-index:-2514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" filled="f" stroked="f">
              <v:textbox style="mso-fit-shape-to-text:t" inset="0,0,0,0">
                <w:txbxContent>
                  <w:p w14:paraId="0FBC1AAE"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NIÑOS EN EL SISTEMA ASISTENCIAL EXTRAHOGAREÑO</w:t>
                    </w:r>
                  </w:p>
                </w:txbxContent>
              </v:textbox>
              <w10:wrap anchorx="page" anchory="page"/>
            </v:shape>
          </w:pict>
        </mc:Fallback>
      </mc:AlternateContent>
    </w:r>
    <w:r>
      <w:rPr>
        <w:noProof/>
      </w:rPr>
      <mc:AlternateContent>
        <mc:Choice Requires="wps">
          <w:drawing>
            <wp:anchor distT="0" distB="0" distL="114300" distR="114300" simplePos="0" relativeHeight="251737088" behindDoc="1" locked="0" layoutInCell="1" allowOverlap="1" wp14:anchorId="739122B6" wp14:editId="21ED9B27">
              <wp:simplePos x="0" y="0"/>
              <wp:positionH relativeFrom="page">
                <wp:posOffset>547370</wp:posOffset>
              </wp:positionH>
              <wp:positionV relativeFrom="page">
                <wp:posOffset>417830</wp:posOffset>
              </wp:positionV>
              <wp:extent cx="4358640" cy="0"/>
              <wp:effectExtent l="0" t="0" r="0" b="0"/>
              <wp:wrapNone/>
              <wp:docPr id="310" name="Shape 31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946FB29" id="_x0000_t32" coordsize="21600,21600" o:spt="32" o:oned="t" path="m,l21600,21600e" filled="f">
              <v:path arrowok="t" fillok="f" o:connecttype="none"/>
              <o:lock v:ext="edit" shapetype="t"/>
            </v:shapetype>
            <v:shape id="Shape 310" o:spid="_x0000_s1026" type="#_x0000_t32" style="position:absolute;margin-left:43.1pt;margin-top:32.9pt;width:343.2pt;height:0;z-index:-2515793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" strokeweight="1pt">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F10F" w14:textId="77777777" w:rsidR="0072615D" w:rsidRDefault="0072615D">
    <w:pPr>
      <w:spacing w:line="1" w:lineRule="exact"/>
    </w:pPr>
    <w:r>
      <w:rPr>
        <w:noProof/>
      </w:rPr>
      <mc:AlternateContent>
        <mc:Choice Requires="wps">
          <w:drawing>
            <wp:anchor distT="0" distB="0" distL="0" distR="0" simplePos="0" relativeHeight="251885568" behindDoc="1" locked="0" layoutInCell="1" allowOverlap="1" wp14:anchorId="3365E489" wp14:editId="66FD2C8A">
              <wp:simplePos x="0" y="0"/>
              <wp:positionH relativeFrom="page">
                <wp:posOffset>1520190</wp:posOffset>
              </wp:positionH>
              <wp:positionV relativeFrom="page">
                <wp:posOffset>294005</wp:posOffset>
              </wp:positionV>
              <wp:extent cx="3368040" cy="85090"/>
              <wp:effectExtent l="0" t="0" r="0" b="0"/>
              <wp:wrapNone/>
              <wp:docPr id="317" name="Shape 317"/>
              <wp:cNvGraphicFramePr/>
              <a:graphic xmlns:a="http://schemas.openxmlformats.org/drawingml/2006/main">
                <a:graphicData uri="http://schemas.microsoft.com/office/word/2010/wordprocessingShape">
                  <wps:wsp>
                    <wps:cNvSpPr txBox="1"/>
                    <wps:spPr>
                      <a:xfrm>
                        <a:off x="0" y="0"/>
                        <a:ext cx="3368040" cy="85090"/>
                      </a:xfrm>
                      <a:prstGeom prst="rect">
                        <a:avLst/>
                      </a:prstGeom>
                      <a:noFill/>
                    </wps:spPr>
                    <wps:txbx>
                      <w:txbxContent>
                        <w:p w14:paraId="583EB839" w14:textId="77777777" w:rsidR="0072615D" w:rsidRDefault="0072615D">
                          <w:pPr>
                            <w:pStyle w:val="Headerorfooter0"/>
                            <w:tabs>
                              <w:tab w:val="right" w:pos="5304"/>
                            </w:tabs>
                            <w:rPr>
                              <w:sz w:val="16"/>
                              <w:szCs w:val="16"/>
                            </w:rPr>
                          </w:pPr>
                          <w:r>
                            <w:t>NIÑOS EN EL SISTEMA ASISTENCIAL EXTRAHOGAREÑO</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365E489" id="_x0000_t202" coordsize="21600,21600" o:spt="202" path="m,l,21600r21600,l21600,xe">
              <v:stroke joinstyle="miter"/>
              <v:path gradientshapeok="t" o:connecttype="rect"/>
            </v:shapetype>
            <v:shape id="Shape 317" o:spid="_x0000_s1153" type="#_x0000_t202" style="position:absolute;margin-left:119.7pt;margin-top:23.15pt;width:265.2pt;height:6.7pt;z-index:-2514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" filled="f" stroked="f">
              <v:textbox style="mso-fit-shape-to-text:t" inset="0,0,0,0">
                <w:txbxContent>
                  <w:p w14:paraId="583EB839" w14:textId="77777777" w:rsidR="0072615D" w:rsidRDefault="0072615D">
                    <w:pPr>
                      <w:pStyle w:val="Headerorfooter0"/>
                      <w:tabs>
                        <w:tab w:val="right" w:pos="5304"/>
                      </w:tabs>
                      <w:rPr>
                        <w:sz w:val="16"/>
                        <w:szCs w:val="16"/>
                      </w:rPr>
                    </w:pPr>
                    <w:r>
                      <w:t>NIÑOS EN EL SISTEMA ASISTENCIAL EXTRAHOGAREÑO</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40160" behindDoc="1" locked="0" layoutInCell="1" allowOverlap="1" wp14:anchorId="19A2A2FF" wp14:editId="0F53C397">
              <wp:simplePos x="0" y="0"/>
              <wp:positionH relativeFrom="page">
                <wp:posOffset>550545</wp:posOffset>
              </wp:positionH>
              <wp:positionV relativeFrom="page">
                <wp:posOffset>417830</wp:posOffset>
              </wp:positionV>
              <wp:extent cx="4358640" cy="0"/>
              <wp:effectExtent l="0" t="0" r="0" b="0"/>
              <wp:wrapNone/>
              <wp:docPr id="319" name="Shape 31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AB27B1B" id="_x0000_t32" coordsize="21600,21600" o:spt="32" o:oned="t" path="m,l21600,21600e" filled="f">
              <v:path arrowok="t" fillok="f" o:connecttype="none"/>
              <o:lock v:ext="edit" shapetype="t"/>
            </v:shapetype>
            <v:shape id="Shape 319" o:spid="_x0000_s1026" type="#_x0000_t32" style="position:absolute;margin-left:43.35pt;margin-top:32.9pt;width:343.2pt;height:0;z-index:-2515763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Pqa&#10;ctzaAAAACAEAAA8AAAAAAAAAAAAAAAAAwgMAAGRycy9kb3ducmV2LnhtbFBLBQYAAAAABAAEAPMA&#10;AADJBAAAAAA=&#10;" strokeweight="1pt">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904C7" w14:textId="77777777" w:rsidR="0072615D" w:rsidRDefault="0072615D">
    <w:pPr>
      <w:spacing w:line="1" w:lineRule="exact"/>
    </w:pPr>
    <w:r>
      <w:rPr>
        <w:noProof/>
      </w:rPr>
      <mc:AlternateContent>
        <mc:Choice Requires="wps">
          <w:drawing>
            <wp:anchor distT="0" distB="0" distL="0" distR="0" simplePos="0" relativeHeight="251884544" behindDoc="1" locked="0" layoutInCell="1" allowOverlap="1" wp14:anchorId="1B833F1D" wp14:editId="15190B69">
              <wp:simplePos x="0" y="0"/>
              <wp:positionH relativeFrom="page">
                <wp:posOffset>1520190</wp:posOffset>
              </wp:positionH>
              <wp:positionV relativeFrom="page">
                <wp:posOffset>294005</wp:posOffset>
              </wp:positionV>
              <wp:extent cx="3368040" cy="85090"/>
              <wp:effectExtent l="0" t="0" r="0" b="0"/>
              <wp:wrapNone/>
              <wp:docPr id="314" name="Shape 314"/>
              <wp:cNvGraphicFramePr/>
              <a:graphic xmlns:a="http://schemas.openxmlformats.org/drawingml/2006/main">
                <a:graphicData uri="http://schemas.microsoft.com/office/word/2010/wordprocessingShape">
                  <wps:wsp>
                    <wps:cNvSpPr txBox="1"/>
                    <wps:spPr>
                      <a:xfrm>
                        <a:off x="0" y="0"/>
                        <a:ext cx="3368040" cy="85090"/>
                      </a:xfrm>
                      <a:prstGeom prst="rect">
                        <a:avLst/>
                      </a:prstGeom>
                      <a:noFill/>
                    </wps:spPr>
                    <wps:txbx>
                      <w:txbxContent>
                        <w:p w14:paraId="7E90701F" w14:textId="77777777" w:rsidR="0072615D" w:rsidRDefault="0072615D">
                          <w:pPr>
                            <w:pStyle w:val="Headerorfooter0"/>
                            <w:tabs>
                              <w:tab w:val="right" w:pos="5304"/>
                            </w:tabs>
                            <w:rPr>
                              <w:sz w:val="16"/>
                              <w:szCs w:val="16"/>
                            </w:rPr>
                          </w:pPr>
                          <w:r>
                            <w:t>NIÑOS EN EL SISTEMA ASISTENCIAL EXTRAHOGAREÑO</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B833F1D" id="_x0000_t202" coordsize="21600,21600" o:spt="202" path="m,l,21600r21600,l21600,xe">
              <v:stroke joinstyle="miter"/>
              <v:path gradientshapeok="t" o:connecttype="rect"/>
            </v:shapetype>
            <v:shape id="Shape 314" o:spid="_x0000_s1154" type="#_x0000_t202" style="position:absolute;margin-left:119.7pt;margin-top:23.15pt;width:265.2pt;height:6.7pt;z-index:-2514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" filled="f" stroked="f">
              <v:textbox style="mso-fit-shape-to-text:t" inset="0,0,0,0">
                <w:txbxContent>
                  <w:p w14:paraId="7E90701F" w14:textId="77777777" w:rsidR="0072615D" w:rsidRDefault="0072615D">
                    <w:pPr>
                      <w:pStyle w:val="Headerorfooter0"/>
                      <w:tabs>
                        <w:tab w:val="right" w:pos="5304"/>
                      </w:tabs>
                      <w:rPr>
                        <w:sz w:val="16"/>
                        <w:szCs w:val="16"/>
                      </w:rPr>
                    </w:pPr>
                    <w:r>
                      <w:t>NIÑOS EN EL SISTEMA ASISTENCIAL EXTRAHOGAREÑO</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39136" behindDoc="1" locked="0" layoutInCell="1" allowOverlap="1" wp14:anchorId="7CD786BE" wp14:editId="735931CA">
              <wp:simplePos x="0" y="0"/>
              <wp:positionH relativeFrom="page">
                <wp:posOffset>550545</wp:posOffset>
              </wp:positionH>
              <wp:positionV relativeFrom="page">
                <wp:posOffset>417830</wp:posOffset>
              </wp:positionV>
              <wp:extent cx="4358640" cy="0"/>
              <wp:effectExtent l="0" t="0" r="0" b="0"/>
              <wp:wrapNone/>
              <wp:docPr id="316" name="Shape 31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84B2763" id="_x0000_t32" coordsize="21600,21600" o:spt="32" o:oned="t" path="m,l21600,21600e" filled="f">
              <v:path arrowok="t" fillok="f" o:connecttype="none"/>
              <o:lock v:ext="edit" shapetype="t"/>
            </v:shapetype>
            <v:shape id="Shape 316" o:spid="_x0000_s1026" type="#_x0000_t32" style="position:absolute;margin-left:43.35pt;margin-top:32.9pt;width:343.2pt;height:0;z-index:-2515773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Pqa&#10;ctzaAAAACAEAAA8AAAAAAAAAAAAAAAAAwgMAAGRycy9kb3ducmV2LnhtbFBLBQYAAAAABAAEAPMA&#10;AADJBAAAAAA=&#10;" strokeweight="1pt">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112C" w14:textId="77777777" w:rsidR="0072615D" w:rsidRDefault="0072615D">
    <w:pPr>
      <w:spacing w:line="1" w:lineRule="exact"/>
    </w:pPr>
    <w:r>
      <w:rPr>
        <w:noProof/>
      </w:rPr>
      <mc:AlternateContent>
        <mc:Choice Requires="wps">
          <w:drawing>
            <wp:anchor distT="0" distB="0" distL="0" distR="0" simplePos="0" relativeHeight="251886592" behindDoc="1" locked="0" layoutInCell="1" allowOverlap="1" wp14:anchorId="3FD7FB82" wp14:editId="5BD87E12">
              <wp:simplePos x="0" y="0"/>
              <wp:positionH relativeFrom="page">
                <wp:posOffset>572135</wp:posOffset>
              </wp:positionH>
              <wp:positionV relativeFrom="page">
                <wp:posOffset>294005</wp:posOffset>
              </wp:positionV>
              <wp:extent cx="3368040" cy="85090"/>
              <wp:effectExtent l="0" t="0" r="0" b="0"/>
              <wp:wrapNone/>
              <wp:docPr id="320" name="Shape 320"/>
              <wp:cNvGraphicFramePr/>
              <a:graphic xmlns:a="http://schemas.openxmlformats.org/drawingml/2006/main">
                <a:graphicData uri="http://schemas.microsoft.com/office/word/2010/wordprocessingShape">
                  <wps:wsp>
                    <wps:cNvSpPr txBox="1"/>
                    <wps:spPr>
                      <a:xfrm>
                        <a:off x="0" y="0"/>
                        <a:ext cx="3368040" cy="85090"/>
                      </a:xfrm>
                      <a:prstGeom prst="rect">
                        <a:avLst/>
                      </a:prstGeom>
                      <a:noFill/>
                    </wps:spPr>
                    <wps:txbx>
                      <w:txbxContent>
                        <w:p w14:paraId="21290776"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NIÑOS EN EL SISTEMA ASISTENCIAL EXTRAHOGAREÑO</w:t>
                          </w:r>
                        </w:p>
                      </w:txbxContent>
                    </wps:txbx>
                    <wps:bodyPr lIns="0" tIns="0" rIns="0" bIns="0">
                      <a:spAutoFit/>
                    </wps:bodyPr>
                  </wps:wsp>
                </a:graphicData>
              </a:graphic>
            </wp:anchor>
          </w:drawing>
        </mc:Choice>
        <mc:Fallback>
          <w:pict>
            <v:shapetype w14:anchorId="3FD7FB82" id="_x0000_t202" coordsize="21600,21600" o:spt="202" path="m,l,21600r21600,l21600,xe">
              <v:stroke joinstyle="miter"/>
              <v:path gradientshapeok="t" o:connecttype="rect"/>
            </v:shapetype>
            <v:shape id="Shape 320" o:spid="_x0000_s1155" type="#_x0000_t202" style="position:absolute;margin-left:45.05pt;margin-top:23.15pt;width:265.2pt;height:6.7pt;z-index:-2514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" filled="f" stroked="f">
              <v:textbox style="mso-fit-shape-to-text:t" inset="0,0,0,0">
                <w:txbxContent>
                  <w:p w14:paraId="21290776"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NIÑOS EN EL SISTEMA ASISTENCIAL EXTRAHOGAREÑO</w:t>
                    </w:r>
                  </w:p>
                </w:txbxContent>
              </v:textbox>
              <w10:wrap anchorx="page" anchory="page"/>
            </v:shape>
          </w:pict>
        </mc:Fallback>
      </mc:AlternateContent>
    </w:r>
    <w:r>
      <w:rPr>
        <w:noProof/>
      </w:rPr>
      <mc:AlternateContent>
        <mc:Choice Requires="wps">
          <w:drawing>
            <wp:anchor distT="0" distB="0" distL="114300" distR="114300" simplePos="0" relativeHeight="251741184" behindDoc="1" locked="0" layoutInCell="1" allowOverlap="1" wp14:anchorId="1B695C32" wp14:editId="3402B3F8">
              <wp:simplePos x="0" y="0"/>
              <wp:positionH relativeFrom="page">
                <wp:posOffset>547370</wp:posOffset>
              </wp:positionH>
              <wp:positionV relativeFrom="page">
                <wp:posOffset>417830</wp:posOffset>
              </wp:positionV>
              <wp:extent cx="4358640" cy="0"/>
              <wp:effectExtent l="0" t="0" r="0" b="0"/>
              <wp:wrapNone/>
              <wp:docPr id="322" name="Shape 32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5A90C93" id="_x0000_t32" coordsize="21600,21600" o:spt="32" o:oned="t" path="m,l21600,21600e" filled="f">
              <v:path arrowok="t" fillok="f" o:connecttype="none"/>
              <o:lock v:ext="edit" shapetype="t"/>
            </v:shapetype>
            <v:shape id="Shape 322" o:spid="_x0000_s1026" type="#_x0000_t32" style="position:absolute;margin-left:43.1pt;margin-top:32.9pt;width:343.2pt;height:0;z-index:-2515752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" strokeweight="1pt">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71DA" w14:textId="77777777" w:rsidR="0072615D" w:rsidRDefault="0072615D"/>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2EA" w14:textId="77777777" w:rsidR="0072615D" w:rsidRDefault="0072615D"/>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8FB73" w14:textId="77777777" w:rsidR="0072615D" w:rsidRDefault="0072615D">
    <w:pPr>
      <w:spacing w:line="1" w:lineRule="exact"/>
    </w:pPr>
    <w:r>
      <w:rPr>
        <w:noProof/>
      </w:rPr>
      <mc:AlternateContent>
        <mc:Choice Requires="wps">
          <w:drawing>
            <wp:anchor distT="0" distB="0" distL="0" distR="0" simplePos="0" relativeHeight="251888640" behindDoc="1" locked="0" layoutInCell="1" allowOverlap="1" wp14:anchorId="66BF07B5" wp14:editId="4997AA0F">
              <wp:simplePos x="0" y="0"/>
              <wp:positionH relativeFrom="page">
                <wp:posOffset>572135</wp:posOffset>
              </wp:positionH>
              <wp:positionV relativeFrom="page">
                <wp:posOffset>294005</wp:posOffset>
              </wp:positionV>
              <wp:extent cx="3368040" cy="85090"/>
              <wp:effectExtent l="0" t="0" r="0" b="0"/>
              <wp:wrapNone/>
              <wp:docPr id="326" name="Shape 326"/>
              <wp:cNvGraphicFramePr/>
              <a:graphic xmlns:a="http://schemas.openxmlformats.org/drawingml/2006/main">
                <a:graphicData uri="http://schemas.microsoft.com/office/word/2010/wordprocessingShape">
                  <wps:wsp>
                    <wps:cNvSpPr txBox="1"/>
                    <wps:spPr>
                      <a:xfrm>
                        <a:off x="0" y="0"/>
                        <a:ext cx="3368040" cy="85090"/>
                      </a:xfrm>
                      <a:prstGeom prst="rect">
                        <a:avLst/>
                      </a:prstGeom>
                      <a:noFill/>
                    </wps:spPr>
                    <wps:txbx>
                      <w:txbxContent>
                        <w:p w14:paraId="085289A1"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NIÑOS EN EL SISTEMA ASISTENCIAL EXTRAHOGAREÑO</w:t>
                          </w:r>
                        </w:p>
                      </w:txbxContent>
                    </wps:txbx>
                    <wps:bodyPr lIns="0" tIns="0" rIns="0" bIns="0">
                      <a:spAutoFit/>
                    </wps:bodyPr>
                  </wps:wsp>
                </a:graphicData>
              </a:graphic>
            </wp:anchor>
          </w:drawing>
        </mc:Choice>
        <mc:Fallback>
          <w:pict>
            <v:shapetype w14:anchorId="66BF07B5" id="_x0000_t202" coordsize="21600,21600" o:spt="202" path="m,l,21600r21600,l21600,xe">
              <v:stroke joinstyle="miter"/>
              <v:path gradientshapeok="t" o:connecttype="rect"/>
            </v:shapetype>
            <v:shape id="Shape 326" o:spid="_x0000_s1156" type="#_x0000_t202" style="position:absolute;margin-left:45.05pt;margin-top:23.15pt;width:265.2pt;height:6.7pt;z-index:-2514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" filled="f" stroked="f">
              <v:textbox style="mso-fit-shape-to-text:t" inset="0,0,0,0">
                <w:txbxContent>
                  <w:p w14:paraId="085289A1"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NIÑOS EN EL SISTEMA ASISTENCIAL EXTRAHOGAREÑO</w:t>
                    </w:r>
                  </w:p>
                </w:txbxContent>
              </v:textbox>
              <w10:wrap anchorx="page" anchory="page"/>
            </v:shape>
          </w:pict>
        </mc:Fallback>
      </mc:AlternateContent>
    </w:r>
    <w:r>
      <w:rPr>
        <w:noProof/>
      </w:rPr>
      <mc:AlternateContent>
        <mc:Choice Requires="wps">
          <w:drawing>
            <wp:anchor distT="0" distB="0" distL="114300" distR="114300" simplePos="0" relativeHeight="251743232" behindDoc="1" locked="0" layoutInCell="1" allowOverlap="1" wp14:anchorId="5A63CC3A" wp14:editId="419EB18D">
              <wp:simplePos x="0" y="0"/>
              <wp:positionH relativeFrom="page">
                <wp:posOffset>547370</wp:posOffset>
              </wp:positionH>
              <wp:positionV relativeFrom="page">
                <wp:posOffset>417830</wp:posOffset>
              </wp:positionV>
              <wp:extent cx="4358640" cy="0"/>
              <wp:effectExtent l="0" t="0" r="0" b="0"/>
              <wp:wrapNone/>
              <wp:docPr id="328" name="Shape 32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6B6EAE0" id="_x0000_t32" coordsize="21600,21600" o:spt="32" o:oned="t" path="m,l21600,21600e" filled="f">
              <v:path arrowok="t" fillok="f" o:connecttype="none"/>
              <o:lock v:ext="edit" shapetype="t"/>
            </v:shapetype>
            <v:shape id="Shape 328" o:spid="_x0000_s1026" type="#_x0000_t32" style="position:absolute;margin-left:43.1pt;margin-top:32.9pt;width:343.2pt;height:0;z-index:-2515732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" strokeweight="1pt">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B7BA" w14:textId="77777777" w:rsidR="0072615D" w:rsidRDefault="0072615D">
    <w:pPr>
      <w:spacing w:line="1" w:lineRule="exact"/>
    </w:pPr>
    <w:r>
      <w:rPr>
        <w:noProof/>
      </w:rPr>
      <mc:AlternateContent>
        <mc:Choice Requires="wps">
          <w:drawing>
            <wp:anchor distT="0" distB="0" distL="0" distR="0" simplePos="0" relativeHeight="251887616" behindDoc="1" locked="0" layoutInCell="1" allowOverlap="1" wp14:anchorId="000E37F5" wp14:editId="3C855B4A">
              <wp:simplePos x="0" y="0"/>
              <wp:positionH relativeFrom="page">
                <wp:posOffset>1520190</wp:posOffset>
              </wp:positionH>
              <wp:positionV relativeFrom="page">
                <wp:posOffset>294005</wp:posOffset>
              </wp:positionV>
              <wp:extent cx="3368040" cy="85090"/>
              <wp:effectExtent l="0" t="0" r="0" b="0"/>
              <wp:wrapNone/>
              <wp:docPr id="323" name="Shape 323"/>
              <wp:cNvGraphicFramePr/>
              <a:graphic xmlns:a="http://schemas.openxmlformats.org/drawingml/2006/main">
                <a:graphicData uri="http://schemas.microsoft.com/office/word/2010/wordprocessingShape">
                  <wps:wsp>
                    <wps:cNvSpPr txBox="1"/>
                    <wps:spPr>
                      <a:xfrm>
                        <a:off x="0" y="0"/>
                        <a:ext cx="3368040" cy="85090"/>
                      </a:xfrm>
                      <a:prstGeom prst="rect">
                        <a:avLst/>
                      </a:prstGeom>
                      <a:noFill/>
                    </wps:spPr>
                    <wps:txbx>
                      <w:txbxContent>
                        <w:p w14:paraId="1F6C5B2B" w14:textId="77777777" w:rsidR="0072615D" w:rsidRDefault="0072615D">
                          <w:pPr>
                            <w:pStyle w:val="Headerorfooter0"/>
                            <w:tabs>
                              <w:tab w:val="right" w:pos="5304"/>
                            </w:tabs>
                            <w:rPr>
                              <w:sz w:val="16"/>
                              <w:szCs w:val="16"/>
                            </w:rPr>
                          </w:pPr>
                          <w:r>
                            <w:t>NIÑOS EN EL SISTEMA ASISTENCIAL EXTRAHOGAREÑO</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00E37F5" id="_x0000_t202" coordsize="21600,21600" o:spt="202" path="m,l,21600r21600,l21600,xe">
              <v:stroke joinstyle="miter"/>
              <v:path gradientshapeok="t" o:connecttype="rect"/>
            </v:shapetype>
            <v:shape id="Shape 323" o:spid="_x0000_s1157" type="#_x0000_t202" style="position:absolute;margin-left:119.7pt;margin-top:23.15pt;width:265.2pt;height:6.7pt;z-index:-2514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" filled="f" stroked="f">
              <v:textbox style="mso-fit-shape-to-text:t" inset="0,0,0,0">
                <w:txbxContent>
                  <w:p w14:paraId="1F6C5B2B" w14:textId="77777777" w:rsidR="0072615D" w:rsidRDefault="0072615D">
                    <w:pPr>
                      <w:pStyle w:val="Headerorfooter0"/>
                      <w:tabs>
                        <w:tab w:val="right" w:pos="5304"/>
                      </w:tabs>
                      <w:rPr>
                        <w:sz w:val="16"/>
                        <w:szCs w:val="16"/>
                      </w:rPr>
                    </w:pPr>
                    <w:r>
                      <w:t>NIÑOS EN EL SISTEMA ASISTENCIAL EXTRAHOGAREÑO</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42208" behindDoc="1" locked="0" layoutInCell="1" allowOverlap="1" wp14:anchorId="630C02F1" wp14:editId="5ED9D5F4">
              <wp:simplePos x="0" y="0"/>
              <wp:positionH relativeFrom="page">
                <wp:posOffset>550545</wp:posOffset>
              </wp:positionH>
              <wp:positionV relativeFrom="page">
                <wp:posOffset>417830</wp:posOffset>
              </wp:positionV>
              <wp:extent cx="4358640" cy="0"/>
              <wp:effectExtent l="0" t="0" r="0" b="0"/>
              <wp:wrapNone/>
              <wp:docPr id="325" name="Shape 32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5DA71DB" id="_x0000_t32" coordsize="21600,21600" o:spt="32" o:oned="t" path="m,l21600,21600e" filled="f">
              <v:path arrowok="t" fillok="f" o:connecttype="none"/>
              <o:lock v:ext="edit" shapetype="t"/>
            </v:shapetype>
            <v:shape id="Shape 325" o:spid="_x0000_s1026" type="#_x0000_t32" style="position:absolute;margin-left:43.35pt;margin-top:32.9pt;width:343.2pt;height:0;z-index:-2515742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" strokeweight="1pt">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3F22" w14:textId="77777777" w:rsidR="0072615D" w:rsidRDefault="0072615D">
    <w:pPr>
      <w:spacing w:line="1" w:lineRule="exact"/>
    </w:pPr>
    <w:r>
      <w:rPr>
        <w:noProof/>
      </w:rPr>
      <mc:AlternateContent>
        <mc:Choice Requires="wps">
          <w:drawing>
            <wp:anchor distT="0" distB="0" distL="0" distR="0" simplePos="0" relativeHeight="251890688" behindDoc="1" locked="0" layoutInCell="1" allowOverlap="1" wp14:anchorId="65F1DBE3" wp14:editId="0A8D8309">
              <wp:simplePos x="0" y="0"/>
              <wp:positionH relativeFrom="page">
                <wp:posOffset>519430</wp:posOffset>
              </wp:positionH>
              <wp:positionV relativeFrom="page">
                <wp:posOffset>310515</wp:posOffset>
              </wp:positionV>
              <wp:extent cx="2526665" cy="69850"/>
              <wp:effectExtent l="0" t="0" r="0" b="0"/>
              <wp:wrapNone/>
              <wp:docPr id="332" name="Shape 332"/>
              <wp:cNvGraphicFramePr/>
              <a:graphic xmlns:a="http://schemas.openxmlformats.org/drawingml/2006/main">
                <a:graphicData uri="http://schemas.microsoft.com/office/word/2010/wordprocessingShape">
                  <wps:wsp>
                    <wps:cNvSpPr txBox="1"/>
                    <wps:spPr>
                      <a:xfrm>
                        <a:off x="0" y="0"/>
                        <a:ext cx="2526665" cy="69850"/>
                      </a:xfrm>
                      <a:prstGeom prst="rect">
                        <a:avLst/>
                      </a:prstGeom>
                      <a:noFill/>
                    </wps:spPr>
                    <wps:txbx>
                      <w:txbxContent>
                        <w:p w14:paraId="5D9C5D03" w14:textId="77777777" w:rsidR="0072615D" w:rsidRDefault="0072615D">
                          <w:pPr>
                            <w:pStyle w:val="Headerorfooter0"/>
                            <w:tabs>
                              <w:tab w:val="right" w:pos="397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SALUD ESCOLAR</w:t>
                          </w:r>
                        </w:p>
                      </w:txbxContent>
                    </wps:txbx>
                    <wps:bodyPr lIns="0" tIns="0" rIns="0" bIns="0">
                      <a:spAutoFit/>
                    </wps:bodyPr>
                  </wps:wsp>
                </a:graphicData>
              </a:graphic>
            </wp:anchor>
          </w:drawing>
        </mc:Choice>
        <mc:Fallback>
          <w:pict>
            <v:shapetype w14:anchorId="65F1DBE3" id="_x0000_t202" coordsize="21600,21600" o:spt="202" path="m,l,21600r21600,l21600,xe">
              <v:stroke joinstyle="miter"/>
              <v:path gradientshapeok="t" o:connecttype="rect"/>
            </v:shapetype>
            <v:shape id="Shape 332" o:spid="_x0000_s1158" type="#_x0000_t202" style="position:absolute;margin-left:40.9pt;margin-top:24.45pt;width:198.95pt;height:5.5pt;z-index:-2514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" filled="f" stroked="f">
              <v:textbox style="mso-fit-shape-to-text:t" inset="0,0,0,0">
                <w:txbxContent>
                  <w:p w14:paraId="5D9C5D03" w14:textId="77777777" w:rsidR="0072615D" w:rsidRDefault="0072615D">
                    <w:pPr>
                      <w:pStyle w:val="Headerorfooter0"/>
                      <w:tabs>
                        <w:tab w:val="right" w:pos="397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SALUD ESCOLAR</w:t>
                    </w:r>
                  </w:p>
                </w:txbxContent>
              </v:textbox>
              <w10:wrap anchorx="page" anchory="page"/>
            </v:shape>
          </w:pict>
        </mc:Fallback>
      </mc:AlternateContent>
    </w:r>
    <w:r>
      <w:rPr>
        <w:noProof/>
      </w:rPr>
      <mc:AlternateContent>
        <mc:Choice Requires="wps">
          <w:drawing>
            <wp:anchor distT="0" distB="0" distL="114300" distR="114300" simplePos="0" relativeHeight="251745280" behindDoc="1" locked="0" layoutInCell="1" allowOverlap="1" wp14:anchorId="71E8B580" wp14:editId="0787E969">
              <wp:simplePos x="0" y="0"/>
              <wp:positionH relativeFrom="page">
                <wp:posOffset>495300</wp:posOffset>
              </wp:positionH>
              <wp:positionV relativeFrom="page">
                <wp:posOffset>418465</wp:posOffset>
              </wp:positionV>
              <wp:extent cx="4358640" cy="0"/>
              <wp:effectExtent l="0" t="0" r="0" b="0"/>
              <wp:wrapNone/>
              <wp:docPr id="334" name="Shape 33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95C2B18" id="_x0000_t32" coordsize="21600,21600" o:spt="32" o:oned="t" path="m,l21600,21600e" filled="f">
              <v:path arrowok="t" fillok="f" o:connecttype="none"/>
              <o:lock v:ext="edit" shapetype="t"/>
            </v:shapetype>
            <v:shape id="Shape 334" o:spid="_x0000_s1026" type="#_x0000_t32" style="position:absolute;margin-left:39pt;margin-top:32.95pt;width:343.2pt;height:0;z-index:-2515712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" strokeweight="1pt">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E4B5" w14:textId="77777777" w:rsidR="0072615D" w:rsidRDefault="0072615D">
    <w:pPr>
      <w:spacing w:line="1" w:lineRule="exact"/>
    </w:pPr>
    <w:r>
      <w:rPr>
        <w:noProof/>
      </w:rPr>
      <mc:AlternateContent>
        <mc:Choice Requires="wps">
          <w:drawing>
            <wp:anchor distT="0" distB="0" distL="0" distR="0" simplePos="0" relativeHeight="251889664" behindDoc="1" locked="0" layoutInCell="1" allowOverlap="1" wp14:anchorId="04122901" wp14:editId="47BBC642">
              <wp:simplePos x="0" y="0"/>
              <wp:positionH relativeFrom="page">
                <wp:posOffset>519430</wp:posOffset>
              </wp:positionH>
              <wp:positionV relativeFrom="page">
                <wp:posOffset>310515</wp:posOffset>
              </wp:positionV>
              <wp:extent cx="2526665" cy="69850"/>
              <wp:effectExtent l="0" t="0" r="0" b="0"/>
              <wp:wrapNone/>
              <wp:docPr id="329" name="Shape 329"/>
              <wp:cNvGraphicFramePr/>
              <a:graphic xmlns:a="http://schemas.openxmlformats.org/drawingml/2006/main">
                <a:graphicData uri="http://schemas.microsoft.com/office/word/2010/wordprocessingShape">
                  <wps:wsp>
                    <wps:cNvSpPr txBox="1"/>
                    <wps:spPr>
                      <a:xfrm>
                        <a:off x="0" y="0"/>
                        <a:ext cx="2526665" cy="69850"/>
                      </a:xfrm>
                      <a:prstGeom prst="rect">
                        <a:avLst/>
                      </a:prstGeom>
                      <a:noFill/>
                    </wps:spPr>
                    <wps:txbx>
                      <w:txbxContent>
                        <w:p w14:paraId="3FB1CF7B" w14:textId="77777777" w:rsidR="0072615D" w:rsidRDefault="0072615D">
                          <w:pPr>
                            <w:pStyle w:val="Headerorfooter0"/>
                            <w:tabs>
                              <w:tab w:val="right" w:pos="397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SALUD ESCOLAR</w:t>
                          </w:r>
                        </w:p>
                      </w:txbxContent>
                    </wps:txbx>
                    <wps:bodyPr lIns="0" tIns="0" rIns="0" bIns="0">
                      <a:spAutoFit/>
                    </wps:bodyPr>
                  </wps:wsp>
                </a:graphicData>
              </a:graphic>
            </wp:anchor>
          </w:drawing>
        </mc:Choice>
        <mc:Fallback>
          <w:pict>
            <v:shapetype w14:anchorId="04122901" id="_x0000_t202" coordsize="21600,21600" o:spt="202" path="m,l,21600r21600,l21600,xe">
              <v:stroke joinstyle="miter"/>
              <v:path gradientshapeok="t" o:connecttype="rect"/>
            </v:shapetype>
            <v:shape id="Shape 329" o:spid="_x0000_s1159" type="#_x0000_t202" style="position:absolute;margin-left:40.9pt;margin-top:24.45pt;width:198.95pt;height:5.5pt;z-index:-2514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" filled="f" stroked="f">
              <v:textbox style="mso-fit-shape-to-text:t" inset="0,0,0,0">
                <w:txbxContent>
                  <w:p w14:paraId="3FB1CF7B" w14:textId="77777777" w:rsidR="0072615D" w:rsidRDefault="0072615D">
                    <w:pPr>
                      <w:pStyle w:val="Headerorfooter0"/>
                      <w:tabs>
                        <w:tab w:val="right" w:pos="397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SALUD ESCOLAR</w:t>
                    </w:r>
                  </w:p>
                </w:txbxContent>
              </v:textbox>
              <w10:wrap anchorx="page" anchory="page"/>
            </v:shape>
          </w:pict>
        </mc:Fallback>
      </mc:AlternateContent>
    </w:r>
    <w:r>
      <w:rPr>
        <w:noProof/>
      </w:rPr>
      <mc:AlternateContent>
        <mc:Choice Requires="wps">
          <w:drawing>
            <wp:anchor distT="0" distB="0" distL="114300" distR="114300" simplePos="0" relativeHeight="251744256" behindDoc="1" locked="0" layoutInCell="1" allowOverlap="1" wp14:anchorId="09B1A2FA" wp14:editId="7EC611DB">
              <wp:simplePos x="0" y="0"/>
              <wp:positionH relativeFrom="page">
                <wp:posOffset>495300</wp:posOffset>
              </wp:positionH>
              <wp:positionV relativeFrom="page">
                <wp:posOffset>418465</wp:posOffset>
              </wp:positionV>
              <wp:extent cx="4358640" cy="0"/>
              <wp:effectExtent l="0" t="0" r="0" b="0"/>
              <wp:wrapNone/>
              <wp:docPr id="331" name="Shape 33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5E9366F" id="_x0000_t32" coordsize="21600,21600" o:spt="32" o:oned="t" path="m,l21600,21600e" filled="f">
              <v:path arrowok="t" fillok="f" o:connecttype="none"/>
              <o:lock v:ext="edit" shapetype="t"/>
            </v:shapetype>
            <v:shape id="Shape 331" o:spid="_x0000_s1026" type="#_x0000_t32" style="position:absolute;margin-left:39pt;margin-top:32.95pt;width:343.2pt;height:0;z-index:-2515722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" strokeweight="1pt">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06F8" w14:textId="77777777" w:rsidR="0072615D" w:rsidRDefault="0072615D">
    <w:pPr>
      <w:spacing w:line="1" w:lineRule="exact"/>
    </w:pPr>
    <w:r>
      <w:rPr>
        <w:noProof/>
      </w:rPr>
      <mc:AlternateContent>
        <mc:Choice Requires="wps">
          <w:drawing>
            <wp:anchor distT="0" distB="0" distL="0" distR="0" simplePos="0" relativeHeight="251892736" behindDoc="1" locked="0" layoutInCell="1" allowOverlap="1" wp14:anchorId="0FA7F1E0" wp14:editId="38F6E6D5">
              <wp:simplePos x="0" y="0"/>
              <wp:positionH relativeFrom="page">
                <wp:posOffset>519430</wp:posOffset>
              </wp:positionH>
              <wp:positionV relativeFrom="page">
                <wp:posOffset>310515</wp:posOffset>
              </wp:positionV>
              <wp:extent cx="2526665" cy="69850"/>
              <wp:effectExtent l="0" t="0" r="0" b="0"/>
              <wp:wrapNone/>
              <wp:docPr id="338" name="Shape 338"/>
              <wp:cNvGraphicFramePr/>
              <a:graphic xmlns:a="http://schemas.openxmlformats.org/drawingml/2006/main">
                <a:graphicData uri="http://schemas.microsoft.com/office/word/2010/wordprocessingShape">
                  <wps:wsp>
                    <wps:cNvSpPr txBox="1"/>
                    <wps:spPr>
                      <a:xfrm>
                        <a:off x="0" y="0"/>
                        <a:ext cx="2526665" cy="69850"/>
                      </a:xfrm>
                      <a:prstGeom prst="rect">
                        <a:avLst/>
                      </a:prstGeom>
                      <a:noFill/>
                    </wps:spPr>
                    <wps:txbx>
                      <w:txbxContent>
                        <w:p w14:paraId="540130D3" w14:textId="77777777" w:rsidR="0072615D" w:rsidRDefault="0072615D">
                          <w:pPr>
                            <w:pStyle w:val="Headerorfooter0"/>
                            <w:tabs>
                              <w:tab w:val="right" w:pos="397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SALUD ESCOLAR</w:t>
                          </w:r>
                        </w:p>
                      </w:txbxContent>
                    </wps:txbx>
                    <wps:bodyPr lIns="0" tIns="0" rIns="0" bIns="0">
                      <a:spAutoFit/>
                    </wps:bodyPr>
                  </wps:wsp>
                </a:graphicData>
              </a:graphic>
            </wp:anchor>
          </w:drawing>
        </mc:Choice>
        <mc:Fallback>
          <w:pict>
            <v:shapetype w14:anchorId="0FA7F1E0" id="_x0000_t202" coordsize="21600,21600" o:spt="202" path="m,l,21600r21600,l21600,xe">
              <v:stroke joinstyle="miter"/>
              <v:path gradientshapeok="t" o:connecttype="rect"/>
            </v:shapetype>
            <v:shape id="Shape 338" o:spid="_x0000_s1160" type="#_x0000_t202" style="position:absolute;margin-left:40.9pt;margin-top:24.45pt;width:198.95pt;height:5.5pt;z-index:-2514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" filled="f" stroked="f">
              <v:textbox style="mso-fit-shape-to-text:t" inset="0,0,0,0">
                <w:txbxContent>
                  <w:p w14:paraId="540130D3" w14:textId="77777777" w:rsidR="0072615D" w:rsidRDefault="0072615D">
                    <w:pPr>
                      <w:pStyle w:val="Headerorfooter0"/>
                      <w:tabs>
                        <w:tab w:val="right" w:pos="3979"/>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SALUD ESCOLAR</w:t>
                    </w:r>
                  </w:p>
                </w:txbxContent>
              </v:textbox>
              <w10:wrap anchorx="page" anchory="page"/>
            </v:shape>
          </w:pict>
        </mc:Fallback>
      </mc:AlternateContent>
    </w:r>
    <w:r>
      <w:rPr>
        <w:noProof/>
      </w:rPr>
      <mc:AlternateContent>
        <mc:Choice Requires="wps">
          <w:drawing>
            <wp:anchor distT="0" distB="0" distL="114300" distR="114300" simplePos="0" relativeHeight="251747328" behindDoc="1" locked="0" layoutInCell="1" allowOverlap="1" wp14:anchorId="730245A7" wp14:editId="3937146D">
              <wp:simplePos x="0" y="0"/>
              <wp:positionH relativeFrom="page">
                <wp:posOffset>495300</wp:posOffset>
              </wp:positionH>
              <wp:positionV relativeFrom="page">
                <wp:posOffset>418465</wp:posOffset>
              </wp:positionV>
              <wp:extent cx="4358640" cy="0"/>
              <wp:effectExtent l="0" t="0" r="0" b="0"/>
              <wp:wrapNone/>
              <wp:docPr id="340" name="Shape 34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DAA02DE" id="_x0000_t32" coordsize="21600,21600" o:spt="32" o:oned="t" path="m,l21600,21600e" filled="f">
              <v:path arrowok="t" fillok="f" o:connecttype="none"/>
              <o:lock v:ext="edit" shapetype="t"/>
            </v:shapetype>
            <v:shape id="Shape 340" o:spid="_x0000_s1026" type="#_x0000_t32" style="position:absolute;margin-left:39pt;margin-top:32.95pt;width:343.2pt;height:0;z-index:-2515691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" strokeweight="1pt">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C06C" w14:textId="77777777" w:rsidR="0072615D" w:rsidRDefault="0072615D">
    <w:pPr>
      <w:spacing w:line="1" w:lineRule="exact"/>
    </w:pPr>
    <w:r>
      <w:rPr>
        <w:noProof/>
      </w:rPr>
      <mc:AlternateContent>
        <mc:Choice Requires="wps">
          <w:drawing>
            <wp:anchor distT="0" distB="0" distL="0" distR="0" simplePos="0" relativeHeight="251891712" behindDoc="1" locked="0" layoutInCell="1" allowOverlap="1" wp14:anchorId="11175DB6" wp14:editId="4872C6DD">
              <wp:simplePos x="0" y="0"/>
              <wp:positionH relativeFrom="page">
                <wp:posOffset>2294890</wp:posOffset>
              </wp:positionH>
              <wp:positionV relativeFrom="page">
                <wp:posOffset>310515</wp:posOffset>
              </wp:positionV>
              <wp:extent cx="2529840" cy="69850"/>
              <wp:effectExtent l="0" t="0" r="0" b="0"/>
              <wp:wrapNone/>
              <wp:docPr id="335" name="Shape 335"/>
              <wp:cNvGraphicFramePr/>
              <a:graphic xmlns:a="http://schemas.openxmlformats.org/drawingml/2006/main">
                <a:graphicData uri="http://schemas.microsoft.com/office/word/2010/wordprocessingShape">
                  <wps:wsp>
                    <wps:cNvSpPr txBox="1"/>
                    <wps:spPr>
                      <a:xfrm>
                        <a:off x="0" y="0"/>
                        <a:ext cx="2529840" cy="69850"/>
                      </a:xfrm>
                      <a:prstGeom prst="rect">
                        <a:avLst/>
                      </a:prstGeom>
                      <a:noFill/>
                    </wps:spPr>
                    <wps:txbx>
                      <w:txbxContent>
                        <w:p w14:paraId="3AC64C51" w14:textId="77777777" w:rsidR="0072615D" w:rsidRDefault="0072615D">
                          <w:pPr>
                            <w:pStyle w:val="Headerorfooter0"/>
                            <w:tabs>
                              <w:tab w:val="right" w:pos="3984"/>
                            </w:tabs>
                            <w:rPr>
                              <w:sz w:val="16"/>
                              <w:szCs w:val="16"/>
                            </w:rPr>
                          </w:pPr>
                          <w:r>
                            <w:t>SALUD ESCOLAR</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1175DB6" id="_x0000_t202" coordsize="21600,21600" o:spt="202" path="m,l,21600r21600,l21600,xe">
              <v:stroke joinstyle="miter"/>
              <v:path gradientshapeok="t" o:connecttype="rect"/>
            </v:shapetype>
            <v:shape id="Shape 335" o:spid="_x0000_s1161" type="#_x0000_t202" style="position:absolute;margin-left:180.7pt;margin-top:24.45pt;width:199.2pt;height:5.5pt;z-index:-2514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" filled="f" stroked="f">
              <v:textbox style="mso-fit-shape-to-text:t" inset="0,0,0,0">
                <w:txbxContent>
                  <w:p w14:paraId="3AC64C51" w14:textId="77777777" w:rsidR="0072615D" w:rsidRDefault="0072615D">
                    <w:pPr>
                      <w:pStyle w:val="Headerorfooter0"/>
                      <w:tabs>
                        <w:tab w:val="right" w:pos="3984"/>
                      </w:tabs>
                      <w:rPr>
                        <w:sz w:val="16"/>
                        <w:szCs w:val="16"/>
                      </w:rPr>
                    </w:pPr>
                    <w:r>
                      <w:t>SALUD ESCOLAR</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46304" behindDoc="1" locked="0" layoutInCell="1" allowOverlap="1" wp14:anchorId="7643EB84" wp14:editId="26AF21FD">
              <wp:simplePos x="0" y="0"/>
              <wp:positionH relativeFrom="page">
                <wp:posOffset>487680</wp:posOffset>
              </wp:positionH>
              <wp:positionV relativeFrom="page">
                <wp:posOffset>418465</wp:posOffset>
              </wp:positionV>
              <wp:extent cx="4358640" cy="0"/>
              <wp:effectExtent l="0" t="0" r="0" b="0"/>
              <wp:wrapNone/>
              <wp:docPr id="337" name="Shape 33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74EED6C" id="_x0000_t32" coordsize="21600,21600" o:spt="32" o:oned="t" path="m,l21600,21600e" filled="f">
              <v:path arrowok="t" fillok="f" o:connecttype="none"/>
              <o:lock v:ext="edit" shapetype="t"/>
            </v:shapetype>
            <v:shape id="Shape 337" o:spid="_x0000_s1026" type="#_x0000_t32" style="position:absolute;margin-left:38.4pt;margin-top:32.95pt;width:343.2pt;height:0;z-index:-2515701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" strokeweight="1pt">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E719" w14:textId="77777777" w:rsidR="0072615D" w:rsidRDefault="0072615D">
    <w:pPr>
      <w:spacing w:line="1" w:lineRule="exact"/>
    </w:pPr>
    <w:r>
      <w:rPr>
        <w:noProof/>
      </w:rPr>
      <mc:AlternateContent>
        <mc:Choice Requires="wps">
          <w:drawing>
            <wp:anchor distT="0" distB="0" distL="0" distR="0" simplePos="0" relativeHeight="251894784" behindDoc="1" locked="0" layoutInCell="1" allowOverlap="1" wp14:anchorId="27B7A447" wp14:editId="4B260891">
              <wp:simplePos x="0" y="0"/>
              <wp:positionH relativeFrom="page">
                <wp:posOffset>522605</wp:posOffset>
              </wp:positionH>
              <wp:positionV relativeFrom="page">
                <wp:posOffset>295275</wp:posOffset>
              </wp:positionV>
              <wp:extent cx="3368040" cy="85090"/>
              <wp:effectExtent l="0" t="0" r="0" b="0"/>
              <wp:wrapNone/>
              <wp:docPr id="352" name="Shape 352"/>
              <wp:cNvGraphicFramePr/>
              <a:graphic xmlns:a="http://schemas.openxmlformats.org/drawingml/2006/main">
                <a:graphicData uri="http://schemas.microsoft.com/office/word/2010/wordprocessingShape">
                  <wps:wsp>
                    <wps:cNvSpPr txBox="1"/>
                    <wps:spPr>
                      <a:xfrm>
                        <a:off x="0" y="0"/>
                        <a:ext cx="3368040" cy="85090"/>
                      </a:xfrm>
                      <a:prstGeom prst="rect">
                        <a:avLst/>
                      </a:prstGeom>
                      <a:noFill/>
                    </wps:spPr>
                    <wps:txbx>
                      <w:txbxContent>
                        <w:p w14:paraId="6530DDC8"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CONTROL INFECTOLÓGICO DE NIÑOS HOSPITALIZADOS</w:t>
                          </w:r>
                        </w:p>
                      </w:txbxContent>
                    </wps:txbx>
                    <wps:bodyPr lIns="0" tIns="0" rIns="0" bIns="0">
                      <a:spAutoFit/>
                    </wps:bodyPr>
                  </wps:wsp>
                </a:graphicData>
              </a:graphic>
            </wp:anchor>
          </w:drawing>
        </mc:Choice>
        <mc:Fallback>
          <w:pict>
            <v:shapetype w14:anchorId="27B7A447" id="_x0000_t202" coordsize="21600,21600" o:spt="202" path="m,l,21600r21600,l21600,xe">
              <v:stroke joinstyle="miter"/>
              <v:path gradientshapeok="t" o:connecttype="rect"/>
            </v:shapetype>
            <v:shape id="Shape 352" o:spid="_x0000_s1162" type="#_x0000_t202" style="position:absolute;margin-left:41.15pt;margin-top:23.25pt;width:265.2pt;height:6.7pt;z-index:-2514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" filled="f" stroked="f">
              <v:textbox style="mso-fit-shape-to-text:t" inset="0,0,0,0">
                <w:txbxContent>
                  <w:p w14:paraId="6530DDC8" w14:textId="77777777" w:rsidR="0072615D" w:rsidRDefault="0072615D">
                    <w:pPr>
                      <w:pStyle w:val="Headerorfooter0"/>
                      <w:tabs>
                        <w:tab w:val="right" w:pos="5304"/>
                      </w:tabs>
                    </w:pPr>
                    <w:r>
                      <w:fldChar w:fldCharType="begin"/>
                    </w:r>
                    <w:r>
                      <w:instrText xml:space="preserve"> PAGE \* MERGEFORMAT </w:instrText>
                    </w:r>
                    <w:r>
                      <w:fldChar w:fldCharType="separate"/>
                    </w:r>
                    <w:r>
                      <w:rPr>
                        <w:sz w:val="16"/>
                        <w:szCs w:val="16"/>
                      </w:rPr>
                      <w:t>#</w:t>
                    </w:r>
                    <w:r>
                      <w:rPr>
                        <w:sz w:val="16"/>
                        <w:szCs w:val="16"/>
                      </w:rPr>
                      <w:fldChar w:fldCharType="end"/>
                    </w:r>
                    <w:r>
                      <w:rPr>
                        <w:sz w:val="16"/>
                        <w:szCs w:val="16"/>
                      </w:rPr>
                      <w:tab/>
                    </w:r>
                    <w:r>
                      <w:t>CONTROL INFECTOLÓGICO DE NIÑOS HOSPITALIZADOS</w:t>
                    </w:r>
                  </w:p>
                </w:txbxContent>
              </v:textbox>
              <w10:wrap anchorx="page" anchory="page"/>
            </v:shape>
          </w:pict>
        </mc:Fallback>
      </mc:AlternateContent>
    </w:r>
    <w:r>
      <w:rPr>
        <w:noProof/>
      </w:rPr>
      <mc:AlternateContent>
        <mc:Choice Requires="wps">
          <w:drawing>
            <wp:anchor distT="0" distB="0" distL="114300" distR="114300" simplePos="0" relativeHeight="251749376" behindDoc="1" locked="0" layoutInCell="1" allowOverlap="1" wp14:anchorId="0D23752D" wp14:editId="2452F24D">
              <wp:simplePos x="0" y="0"/>
              <wp:positionH relativeFrom="page">
                <wp:posOffset>498475</wp:posOffset>
              </wp:positionH>
              <wp:positionV relativeFrom="page">
                <wp:posOffset>418465</wp:posOffset>
              </wp:positionV>
              <wp:extent cx="4358640" cy="0"/>
              <wp:effectExtent l="0" t="0" r="0" b="0"/>
              <wp:wrapNone/>
              <wp:docPr id="354" name="Shape 35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6BCB7CF" id="_x0000_t32" coordsize="21600,21600" o:spt="32" o:oned="t" path="m,l21600,21600e" filled="f">
              <v:path arrowok="t" fillok="f" o:connecttype="none"/>
              <o:lock v:ext="edit" shapetype="t"/>
            </v:shapetype>
            <v:shape id="Shape 354" o:spid="_x0000_s1026" type="#_x0000_t32" style="position:absolute;margin-left:39.25pt;margin-top:32.95pt;width:343.2pt;height:0;z-index:-2515671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" strokeweight="1pt">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C551" w14:textId="77777777" w:rsidR="0072615D" w:rsidRDefault="0072615D">
    <w:pPr>
      <w:spacing w:line="1" w:lineRule="exact"/>
    </w:pPr>
    <w:r>
      <w:rPr>
        <w:noProof/>
      </w:rPr>
      <mc:AlternateContent>
        <mc:Choice Requires="wps">
          <w:drawing>
            <wp:anchor distT="0" distB="0" distL="0" distR="0" simplePos="0" relativeHeight="251893760" behindDoc="1" locked="0" layoutInCell="1" allowOverlap="1" wp14:anchorId="1D263B3B" wp14:editId="5EBB164E">
              <wp:simplePos x="0" y="0"/>
              <wp:positionH relativeFrom="page">
                <wp:posOffset>1458595</wp:posOffset>
              </wp:positionH>
              <wp:positionV relativeFrom="page">
                <wp:posOffset>295275</wp:posOffset>
              </wp:positionV>
              <wp:extent cx="3374390" cy="85090"/>
              <wp:effectExtent l="0" t="0" r="0" b="0"/>
              <wp:wrapNone/>
              <wp:docPr id="349" name="Shape 349"/>
              <wp:cNvGraphicFramePr/>
              <a:graphic xmlns:a="http://schemas.openxmlformats.org/drawingml/2006/main">
                <a:graphicData uri="http://schemas.microsoft.com/office/word/2010/wordprocessingShape">
                  <wps:wsp>
                    <wps:cNvSpPr txBox="1"/>
                    <wps:spPr>
                      <a:xfrm>
                        <a:off x="0" y="0"/>
                        <a:ext cx="3374390" cy="85090"/>
                      </a:xfrm>
                      <a:prstGeom prst="rect">
                        <a:avLst/>
                      </a:prstGeom>
                      <a:noFill/>
                    </wps:spPr>
                    <wps:txbx>
                      <w:txbxContent>
                        <w:p w14:paraId="43824DB5" w14:textId="77777777" w:rsidR="0072615D" w:rsidRDefault="0072615D">
                          <w:pPr>
                            <w:pStyle w:val="Headerorfooter0"/>
                            <w:tabs>
                              <w:tab w:val="right" w:pos="5314"/>
                            </w:tabs>
                            <w:rPr>
                              <w:sz w:val="16"/>
                              <w:szCs w:val="16"/>
                            </w:rPr>
                          </w:pPr>
                          <w:r>
                            <w:t>CONTROL INFECTOLÓGICO DE NIÑOS HOSPITALIZADOS</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1D263B3B" id="_x0000_t202" coordsize="21600,21600" o:spt="202" path="m,l,21600r21600,l21600,xe">
              <v:stroke joinstyle="miter"/>
              <v:path gradientshapeok="t" o:connecttype="rect"/>
            </v:shapetype>
            <v:shape id="Shape 349" o:spid="_x0000_s1163" type="#_x0000_t202" style="position:absolute;margin-left:114.85pt;margin-top:23.25pt;width:265.7pt;height:6.7pt;z-index:-2514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" filled="f" stroked="f">
              <v:textbox style="mso-fit-shape-to-text:t" inset="0,0,0,0">
                <w:txbxContent>
                  <w:p w14:paraId="43824DB5" w14:textId="77777777" w:rsidR="0072615D" w:rsidRDefault="0072615D">
                    <w:pPr>
                      <w:pStyle w:val="Headerorfooter0"/>
                      <w:tabs>
                        <w:tab w:val="right" w:pos="5314"/>
                      </w:tabs>
                      <w:rPr>
                        <w:sz w:val="16"/>
                        <w:szCs w:val="16"/>
                      </w:rPr>
                    </w:pPr>
                    <w:r>
                      <w:t>CONTROL INFECTOLÓGICO DE NIÑOS HOSPITALIZADOS</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48352" behindDoc="1" locked="0" layoutInCell="1" allowOverlap="1" wp14:anchorId="4A53A04D" wp14:editId="05398E61">
              <wp:simplePos x="0" y="0"/>
              <wp:positionH relativeFrom="page">
                <wp:posOffset>495300</wp:posOffset>
              </wp:positionH>
              <wp:positionV relativeFrom="page">
                <wp:posOffset>418465</wp:posOffset>
              </wp:positionV>
              <wp:extent cx="4358640" cy="0"/>
              <wp:effectExtent l="0" t="0" r="0" b="0"/>
              <wp:wrapNone/>
              <wp:docPr id="351" name="Shape 35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4B45DCA" id="_x0000_t32" coordsize="21600,21600" o:spt="32" o:oned="t" path="m,l21600,21600e" filled="f">
              <v:path arrowok="t" fillok="f" o:connecttype="none"/>
              <o:lock v:ext="edit" shapetype="t"/>
            </v:shapetype>
            <v:shape id="Shape 351" o:spid="_x0000_s1026" type="#_x0000_t32" style="position:absolute;margin-left:39pt;margin-top:32.95pt;width:343.2pt;height:0;z-index:-2515681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" strokeweight="1pt">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B35A" w14:textId="77777777" w:rsidR="0072615D" w:rsidRDefault="0072615D">
    <w:pPr>
      <w:spacing w:line="1" w:lineRule="exact"/>
    </w:pPr>
    <w:r>
      <w:rPr>
        <w:noProof/>
      </w:rPr>
      <mc:AlternateContent>
        <mc:Choice Requires="wps">
          <w:drawing>
            <wp:anchor distT="0" distB="0" distL="0" distR="0" simplePos="0" relativeHeight="251896832" behindDoc="1" locked="0" layoutInCell="1" allowOverlap="1" wp14:anchorId="0C17E201" wp14:editId="0B45EDC6">
              <wp:simplePos x="0" y="0"/>
              <wp:positionH relativeFrom="page">
                <wp:posOffset>1609090</wp:posOffset>
              </wp:positionH>
              <wp:positionV relativeFrom="page">
                <wp:posOffset>295275</wp:posOffset>
              </wp:positionV>
              <wp:extent cx="3212465" cy="85090"/>
              <wp:effectExtent l="0" t="0" r="0" b="0"/>
              <wp:wrapNone/>
              <wp:docPr id="358" name="Shape 358"/>
              <wp:cNvGraphicFramePr/>
              <a:graphic xmlns:a="http://schemas.openxmlformats.org/drawingml/2006/main">
                <a:graphicData uri="http://schemas.microsoft.com/office/word/2010/wordprocessingShape">
                  <wps:wsp>
                    <wps:cNvSpPr txBox="1"/>
                    <wps:spPr>
                      <a:xfrm>
                        <a:off x="0" y="0"/>
                        <a:ext cx="3212465" cy="85090"/>
                      </a:xfrm>
                      <a:prstGeom prst="rect">
                        <a:avLst/>
                      </a:prstGeom>
                      <a:noFill/>
                    </wps:spPr>
                    <wps:txbx>
                      <w:txbxContent>
                        <w:p w14:paraId="0E2E29C0" w14:textId="77777777" w:rsidR="0072615D" w:rsidRDefault="0072615D">
                          <w:pPr>
                            <w:pStyle w:val="Headerorfooter0"/>
                            <w:tabs>
                              <w:tab w:val="right" w:pos="5059"/>
                            </w:tabs>
                            <w:rPr>
                              <w:sz w:val="16"/>
                              <w:szCs w:val="16"/>
                            </w:rPr>
                          </w:pPr>
                          <w:r>
                            <w:t>CONTROL INFECTOLÓGICO EN EL CONSULTORIO</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0C17E201" id="_x0000_t202" coordsize="21600,21600" o:spt="202" path="m,l,21600r21600,l21600,xe">
              <v:stroke joinstyle="miter"/>
              <v:path gradientshapeok="t" o:connecttype="rect"/>
            </v:shapetype>
            <v:shape id="Shape 358" o:spid="_x0000_s1164" type="#_x0000_t202" style="position:absolute;margin-left:126.7pt;margin-top:23.25pt;width:252.95pt;height:6.7pt;z-index:-2514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" filled="f" stroked="f">
              <v:textbox style="mso-fit-shape-to-text:t" inset="0,0,0,0">
                <w:txbxContent>
                  <w:p w14:paraId="0E2E29C0" w14:textId="77777777" w:rsidR="0072615D" w:rsidRDefault="0072615D">
                    <w:pPr>
                      <w:pStyle w:val="Headerorfooter0"/>
                      <w:tabs>
                        <w:tab w:val="right" w:pos="5059"/>
                      </w:tabs>
                      <w:rPr>
                        <w:sz w:val="16"/>
                        <w:szCs w:val="16"/>
                      </w:rPr>
                    </w:pPr>
                    <w:r>
                      <w:t>CONTROL INFECTOLÓGICO EN EL CONSULTORIO</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51424" behindDoc="1" locked="0" layoutInCell="1" allowOverlap="1" wp14:anchorId="14BF7B41" wp14:editId="10E83A8B">
              <wp:simplePos x="0" y="0"/>
              <wp:positionH relativeFrom="page">
                <wp:posOffset>499745</wp:posOffset>
              </wp:positionH>
              <wp:positionV relativeFrom="page">
                <wp:posOffset>418465</wp:posOffset>
              </wp:positionV>
              <wp:extent cx="4358640" cy="0"/>
              <wp:effectExtent l="0" t="0" r="0" b="0"/>
              <wp:wrapNone/>
              <wp:docPr id="360" name="Shape 36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65B6B03" id="_x0000_t32" coordsize="21600,21600" o:spt="32" o:oned="t" path="m,l21600,21600e" filled="f">
              <v:path arrowok="t" fillok="f" o:connecttype="none"/>
              <o:lock v:ext="edit" shapetype="t"/>
            </v:shapetype>
            <v:shape id="Shape 360" o:spid="_x0000_s1026" type="#_x0000_t32" style="position:absolute;margin-left:39.35pt;margin-top:32.95pt;width:343.2pt;height:0;z-index:-2515650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" strokeweight="1pt">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13C32" w14:textId="77777777" w:rsidR="0072615D" w:rsidRDefault="0072615D">
    <w:pPr>
      <w:spacing w:line="1" w:lineRule="exact"/>
    </w:pPr>
    <w:r>
      <w:rPr>
        <w:noProof/>
      </w:rPr>
      <mc:AlternateContent>
        <mc:Choice Requires="wps">
          <w:drawing>
            <wp:anchor distT="0" distB="0" distL="0" distR="0" simplePos="0" relativeHeight="251895808" behindDoc="1" locked="0" layoutInCell="1" allowOverlap="1" wp14:anchorId="381A9660" wp14:editId="6F07BD55">
              <wp:simplePos x="0" y="0"/>
              <wp:positionH relativeFrom="page">
                <wp:posOffset>1609090</wp:posOffset>
              </wp:positionH>
              <wp:positionV relativeFrom="page">
                <wp:posOffset>295275</wp:posOffset>
              </wp:positionV>
              <wp:extent cx="3212465" cy="85090"/>
              <wp:effectExtent l="0" t="0" r="0" b="0"/>
              <wp:wrapNone/>
              <wp:docPr id="355" name="Shape 355"/>
              <wp:cNvGraphicFramePr/>
              <a:graphic xmlns:a="http://schemas.openxmlformats.org/drawingml/2006/main">
                <a:graphicData uri="http://schemas.microsoft.com/office/word/2010/wordprocessingShape">
                  <wps:wsp>
                    <wps:cNvSpPr txBox="1"/>
                    <wps:spPr>
                      <a:xfrm>
                        <a:off x="0" y="0"/>
                        <a:ext cx="3212465" cy="85090"/>
                      </a:xfrm>
                      <a:prstGeom prst="rect">
                        <a:avLst/>
                      </a:prstGeom>
                      <a:noFill/>
                    </wps:spPr>
                    <wps:txbx>
                      <w:txbxContent>
                        <w:p w14:paraId="6CCDFDB1" w14:textId="77777777" w:rsidR="0072615D" w:rsidRDefault="0072615D">
                          <w:pPr>
                            <w:pStyle w:val="Headerorfooter0"/>
                            <w:tabs>
                              <w:tab w:val="right" w:pos="5059"/>
                            </w:tabs>
                            <w:rPr>
                              <w:sz w:val="16"/>
                              <w:szCs w:val="16"/>
                            </w:rPr>
                          </w:pPr>
                          <w:r>
                            <w:t>CONTROL INFECTOLÓGICO EN EL CONSULTORIO</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381A9660" id="_x0000_t202" coordsize="21600,21600" o:spt="202" path="m,l,21600r21600,l21600,xe">
              <v:stroke joinstyle="miter"/>
              <v:path gradientshapeok="t" o:connecttype="rect"/>
            </v:shapetype>
            <v:shape id="Shape 355" o:spid="_x0000_s1165" type="#_x0000_t202" style="position:absolute;margin-left:126.7pt;margin-top:23.25pt;width:252.95pt;height:6.7pt;z-index:-2514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" filled="f" stroked="f">
              <v:textbox style="mso-fit-shape-to-text:t" inset="0,0,0,0">
                <w:txbxContent>
                  <w:p w14:paraId="6CCDFDB1" w14:textId="77777777" w:rsidR="0072615D" w:rsidRDefault="0072615D">
                    <w:pPr>
                      <w:pStyle w:val="Headerorfooter0"/>
                      <w:tabs>
                        <w:tab w:val="right" w:pos="5059"/>
                      </w:tabs>
                      <w:rPr>
                        <w:sz w:val="16"/>
                        <w:szCs w:val="16"/>
                      </w:rPr>
                    </w:pPr>
                    <w:r>
                      <w:t>CONTROL INFECTOLÓGICO EN EL CONSULTORIO</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50400" behindDoc="1" locked="0" layoutInCell="1" allowOverlap="1" wp14:anchorId="16F76BA1" wp14:editId="2CE8BBCF">
              <wp:simplePos x="0" y="0"/>
              <wp:positionH relativeFrom="page">
                <wp:posOffset>499745</wp:posOffset>
              </wp:positionH>
              <wp:positionV relativeFrom="page">
                <wp:posOffset>418465</wp:posOffset>
              </wp:positionV>
              <wp:extent cx="4358640" cy="0"/>
              <wp:effectExtent l="0" t="0" r="0" b="0"/>
              <wp:wrapNone/>
              <wp:docPr id="357" name="Shape 35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00B077F" id="_x0000_t32" coordsize="21600,21600" o:spt="32" o:oned="t" path="m,l21600,21600e" filled="f">
              <v:path arrowok="t" fillok="f" o:connecttype="none"/>
              <o:lock v:ext="edit" shapetype="t"/>
            </v:shapetype>
            <v:shape id="Shape 357" o:spid="_x0000_s1026" type="#_x0000_t32" style="position:absolute;margin-left:39.35pt;margin-top:32.95pt;width:343.2pt;height:0;z-index:-2515660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" strokeweight="1pt">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C1E7" w14:textId="77777777" w:rsidR="0072615D" w:rsidRDefault="0072615D">
    <w:pPr>
      <w:spacing w:line="1" w:lineRule="exact"/>
    </w:pPr>
    <w:r>
      <w:rPr>
        <w:noProof/>
      </w:rPr>
      <mc:AlternateContent>
        <mc:Choice Requires="wps">
          <w:drawing>
            <wp:anchor distT="0" distB="0" distL="0" distR="0" simplePos="0" relativeHeight="251898880" behindDoc="1" locked="0" layoutInCell="1" allowOverlap="1" wp14:anchorId="7779B024" wp14:editId="12673AE9">
              <wp:simplePos x="0" y="0"/>
              <wp:positionH relativeFrom="page">
                <wp:posOffset>521335</wp:posOffset>
              </wp:positionH>
              <wp:positionV relativeFrom="page">
                <wp:posOffset>295275</wp:posOffset>
              </wp:positionV>
              <wp:extent cx="3742690" cy="85090"/>
              <wp:effectExtent l="0" t="0" r="0" b="0"/>
              <wp:wrapNone/>
              <wp:docPr id="364" name="Shape 364"/>
              <wp:cNvGraphicFramePr/>
              <a:graphic xmlns:a="http://schemas.openxmlformats.org/drawingml/2006/main">
                <a:graphicData uri="http://schemas.microsoft.com/office/word/2010/wordprocessingShape">
                  <wps:wsp>
                    <wps:cNvSpPr txBox="1"/>
                    <wps:spPr>
                      <a:xfrm>
                        <a:off x="0" y="0"/>
                        <a:ext cx="3742690" cy="85090"/>
                      </a:xfrm>
                      <a:prstGeom prst="rect">
                        <a:avLst/>
                      </a:prstGeom>
                      <a:noFill/>
                    </wps:spPr>
                    <wps:txbx>
                      <w:txbxContent>
                        <w:p w14:paraId="1763A1F6" w14:textId="77777777" w:rsidR="0072615D" w:rsidRDefault="0072615D">
                          <w:pPr>
                            <w:pStyle w:val="Headerorfooter0"/>
                            <w:tabs>
                              <w:tab w:val="right" w:pos="5894"/>
                            </w:tabs>
                          </w:pPr>
                          <w:r>
                            <w:rPr>
                              <w:sz w:val="16"/>
                              <w:szCs w:val="16"/>
                            </w:rPr>
                            <w:t>172</w:t>
                          </w:r>
                          <w:r>
                            <w:rPr>
                              <w:sz w:val="16"/>
                              <w:szCs w:val="16"/>
                            </w:rPr>
                            <w:tab/>
                          </w:r>
                          <w:r>
                            <w:t>ENFERMEDADES DE TRANSMISIÓN SEXUAL EN ADOLESCENTES Y NIÑOS</w:t>
                          </w:r>
                        </w:p>
                      </w:txbxContent>
                    </wps:txbx>
                    <wps:bodyPr lIns="0" tIns="0" rIns="0" bIns="0">
                      <a:spAutoFit/>
                    </wps:bodyPr>
                  </wps:wsp>
                </a:graphicData>
              </a:graphic>
            </wp:anchor>
          </w:drawing>
        </mc:Choice>
        <mc:Fallback>
          <w:pict>
            <v:shapetype w14:anchorId="7779B024" id="_x0000_t202" coordsize="21600,21600" o:spt="202" path="m,l,21600r21600,l21600,xe">
              <v:stroke joinstyle="miter"/>
              <v:path gradientshapeok="t" o:connecttype="rect"/>
            </v:shapetype>
            <v:shape id="Shape 364" o:spid="_x0000_s1166" type="#_x0000_t202" style="position:absolute;margin-left:41.05pt;margin-top:23.25pt;width:294.7pt;height:6.7pt;z-index:-2514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" filled="f" stroked="f">
              <v:textbox style="mso-fit-shape-to-text:t" inset="0,0,0,0">
                <w:txbxContent>
                  <w:p w14:paraId="1763A1F6" w14:textId="77777777" w:rsidR="0072615D" w:rsidRDefault="0072615D">
                    <w:pPr>
                      <w:pStyle w:val="Headerorfooter0"/>
                      <w:tabs>
                        <w:tab w:val="right" w:pos="5894"/>
                      </w:tabs>
                    </w:pPr>
                    <w:r>
                      <w:rPr>
                        <w:sz w:val="16"/>
                        <w:szCs w:val="16"/>
                      </w:rPr>
                      <w:t>172</w:t>
                    </w:r>
                    <w:r>
                      <w:rPr>
                        <w:sz w:val="16"/>
                        <w:szCs w:val="16"/>
                      </w:rPr>
                      <w:tab/>
                    </w:r>
                    <w:r>
                      <w:t>ENFERMEDADES DE TRANSMISIÓN SEXUAL EN ADOLESCENTES Y NIÑOS</w:t>
                    </w:r>
                  </w:p>
                </w:txbxContent>
              </v:textbox>
              <w10:wrap anchorx="page" anchory="page"/>
            </v:shape>
          </w:pict>
        </mc:Fallback>
      </mc:AlternateContent>
    </w:r>
    <w:r>
      <w:rPr>
        <w:noProof/>
      </w:rPr>
      <mc:AlternateContent>
        <mc:Choice Requires="wps">
          <w:drawing>
            <wp:anchor distT="0" distB="0" distL="114300" distR="114300" simplePos="0" relativeHeight="251753472" behindDoc="1" locked="0" layoutInCell="1" allowOverlap="1" wp14:anchorId="1D4BAA6E" wp14:editId="7AD5F0C2">
              <wp:simplePos x="0" y="0"/>
              <wp:positionH relativeFrom="page">
                <wp:posOffset>496570</wp:posOffset>
              </wp:positionH>
              <wp:positionV relativeFrom="page">
                <wp:posOffset>418465</wp:posOffset>
              </wp:positionV>
              <wp:extent cx="4358640" cy="0"/>
              <wp:effectExtent l="0" t="0" r="0" b="0"/>
              <wp:wrapNone/>
              <wp:docPr id="366" name="Shape 36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315773C" id="_x0000_t32" coordsize="21600,21600" o:spt="32" o:oned="t" path="m,l21600,21600e" filled="f">
              <v:path arrowok="t" fillok="f" o:connecttype="none"/>
              <o:lock v:ext="edit" shapetype="t"/>
            </v:shapetype>
            <v:shape id="Shape 366" o:spid="_x0000_s1026" type="#_x0000_t32" style="position:absolute;margin-left:39.1pt;margin-top:32.95pt;width:343.2pt;height:0;z-index:-2515630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APD&#10;YCbaAAAACAEAAA8AAAAAAAAAAAAAAAAAwgMAAGRycy9kb3ducmV2LnhtbFBLBQYAAAAABAAEAPMA&#10;AADJBAAAAAA=&#10;" strokeweight="1pt">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DE02" w14:textId="77777777" w:rsidR="0072615D" w:rsidRDefault="0072615D">
    <w:pPr>
      <w:spacing w:line="1" w:lineRule="exact"/>
    </w:pPr>
    <w:r>
      <w:rPr>
        <w:noProof/>
      </w:rPr>
      <mc:AlternateContent>
        <mc:Choice Requires="wps">
          <w:drawing>
            <wp:anchor distT="0" distB="0" distL="0" distR="0" simplePos="0" relativeHeight="251897856" behindDoc="1" locked="0" layoutInCell="1" allowOverlap="1" wp14:anchorId="7C824885" wp14:editId="2D2514DF">
              <wp:simplePos x="0" y="0"/>
              <wp:positionH relativeFrom="page">
                <wp:posOffset>521335</wp:posOffset>
              </wp:positionH>
              <wp:positionV relativeFrom="page">
                <wp:posOffset>295275</wp:posOffset>
              </wp:positionV>
              <wp:extent cx="3742690" cy="85090"/>
              <wp:effectExtent l="0" t="0" r="0" b="0"/>
              <wp:wrapNone/>
              <wp:docPr id="361" name="Shape 361"/>
              <wp:cNvGraphicFramePr/>
              <a:graphic xmlns:a="http://schemas.openxmlformats.org/drawingml/2006/main">
                <a:graphicData uri="http://schemas.microsoft.com/office/word/2010/wordprocessingShape">
                  <wps:wsp>
                    <wps:cNvSpPr txBox="1"/>
                    <wps:spPr>
                      <a:xfrm>
                        <a:off x="0" y="0"/>
                        <a:ext cx="3742690" cy="85090"/>
                      </a:xfrm>
                      <a:prstGeom prst="rect">
                        <a:avLst/>
                      </a:prstGeom>
                      <a:noFill/>
                    </wps:spPr>
                    <wps:txbx>
                      <w:txbxContent>
                        <w:p w14:paraId="6595DBBF" w14:textId="77777777" w:rsidR="0072615D" w:rsidRDefault="0072615D">
                          <w:pPr>
                            <w:pStyle w:val="Headerorfooter0"/>
                            <w:tabs>
                              <w:tab w:val="right" w:pos="5894"/>
                            </w:tabs>
                          </w:pPr>
                          <w:r>
                            <w:rPr>
                              <w:sz w:val="16"/>
                              <w:szCs w:val="16"/>
                            </w:rPr>
                            <w:t>172</w:t>
                          </w:r>
                          <w:r>
                            <w:rPr>
                              <w:sz w:val="16"/>
                              <w:szCs w:val="16"/>
                            </w:rPr>
                            <w:tab/>
                          </w:r>
                          <w:r>
                            <w:t>ENFERMEDADES DE TRANSMISIÓN SEXUAL EN ADOLESCENTES Y NIÑOS</w:t>
                          </w:r>
                        </w:p>
                      </w:txbxContent>
                    </wps:txbx>
                    <wps:bodyPr lIns="0" tIns="0" rIns="0" bIns="0">
                      <a:spAutoFit/>
                    </wps:bodyPr>
                  </wps:wsp>
                </a:graphicData>
              </a:graphic>
            </wp:anchor>
          </w:drawing>
        </mc:Choice>
        <mc:Fallback>
          <w:pict>
            <v:shapetype w14:anchorId="7C824885" id="_x0000_t202" coordsize="21600,21600" o:spt="202" path="m,l,21600r21600,l21600,xe">
              <v:stroke joinstyle="miter"/>
              <v:path gradientshapeok="t" o:connecttype="rect"/>
            </v:shapetype>
            <v:shape id="Shape 361" o:spid="_x0000_s1167" type="#_x0000_t202" style="position:absolute;margin-left:41.05pt;margin-top:23.25pt;width:294.7pt;height:6.7pt;z-index:-2514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" filled="f" stroked="f">
              <v:textbox style="mso-fit-shape-to-text:t" inset="0,0,0,0">
                <w:txbxContent>
                  <w:p w14:paraId="6595DBBF" w14:textId="77777777" w:rsidR="0072615D" w:rsidRDefault="0072615D">
                    <w:pPr>
                      <w:pStyle w:val="Headerorfooter0"/>
                      <w:tabs>
                        <w:tab w:val="right" w:pos="5894"/>
                      </w:tabs>
                    </w:pPr>
                    <w:r>
                      <w:rPr>
                        <w:sz w:val="16"/>
                        <w:szCs w:val="16"/>
                      </w:rPr>
                      <w:t>172</w:t>
                    </w:r>
                    <w:r>
                      <w:rPr>
                        <w:sz w:val="16"/>
                        <w:szCs w:val="16"/>
                      </w:rPr>
                      <w:tab/>
                    </w:r>
                    <w:r>
                      <w:t>ENFERMEDADES DE TRANSMISIÓN SEXUAL EN ADOLESCENTES Y NIÑOS</w:t>
                    </w:r>
                  </w:p>
                </w:txbxContent>
              </v:textbox>
              <w10:wrap anchorx="page" anchory="page"/>
            </v:shape>
          </w:pict>
        </mc:Fallback>
      </mc:AlternateContent>
    </w:r>
    <w:r>
      <w:rPr>
        <w:noProof/>
      </w:rPr>
      <mc:AlternateContent>
        <mc:Choice Requires="wps">
          <w:drawing>
            <wp:anchor distT="0" distB="0" distL="114300" distR="114300" simplePos="0" relativeHeight="251752448" behindDoc="1" locked="0" layoutInCell="1" allowOverlap="1" wp14:anchorId="029E80EA" wp14:editId="15C43294">
              <wp:simplePos x="0" y="0"/>
              <wp:positionH relativeFrom="page">
                <wp:posOffset>496570</wp:posOffset>
              </wp:positionH>
              <wp:positionV relativeFrom="page">
                <wp:posOffset>418465</wp:posOffset>
              </wp:positionV>
              <wp:extent cx="4358640" cy="0"/>
              <wp:effectExtent l="0" t="0" r="0" b="0"/>
              <wp:wrapNone/>
              <wp:docPr id="363" name="Shape 36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62E764E" id="_x0000_t32" coordsize="21600,21600" o:spt="32" o:oned="t" path="m,l21600,21600e" filled="f">
              <v:path arrowok="t" fillok="f" o:connecttype="none"/>
              <o:lock v:ext="edit" shapetype="t"/>
            </v:shapetype>
            <v:shape id="Shape 363" o:spid="_x0000_s1026" type="#_x0000_t32" style="position:absolute;margin-left:39.1pt;margin-top:32.95pt;width:343.2pt;height:0;z-index:-2515640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APD&#10;YCbaAAAACAEAAA8AAAAAAAAAAAAAAAAAwgMAAGRycy9kb3ducmV2LnhtbFBLBQYAAAAABAAEAPMA&#10;AADJBAAAAAA=&#10;" strokeweight="1pt">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3F731" w14:textId="77777777" w:rsidR="0072615D" w:rsidRDefault="0072615D">
    <w:pPr>
      <w:spacing w:line="1" w:lineRule="exact"/>
    </w:pPr>
    <w:r>
      <w:rPr>
        <w:noProof/>
      </w:rPr>
      <mc:AlternateContent>
        <mc:Choice Requires="wps">
          <w:drawing>
            <wp:anchor distT="0" distB="0" distL="0" distR="0" simplePos="0" relativeHeight="251899904" behindDoc="1" locked="0" layoutInCell="1" allowOverlap="1" wp14:anchorId="22D519A2" wp14:editId="6445195E">
              <wp:simplePos x="0" y="0"/>
              <wp:positionH relativeFrom="page">
                <wp:posOffset>1609090</wp:posOffset>
              </wp:positionH>
              <wp:positionV relativeFrom="page">
                <wp:posOffset>295275</wp:posOffset>
              </wp:positionV>
              <wp:extent cx="3212465" cy="85090"/>
              <wp:effectExtent l="0" t="0" r="0" b="0"/>
              <wp:wrapNone/>
              <wp:docPr id="367" name="Shape 367"/>
              <wp:cNvGraphicFramePr/>
              <a:graphic xmlns:a="http://schemas.openxmlformats.org/drawingml/2006/main">
                <a:graphicData uri="http://schemas.microsoft.com/office/word/2010/wordprocessingShape">
                  <wps:wsp>
                    <wps:cNvSpPr txBox="1"/>
                    <wps:spPr>
                      <a:xfrm>
                        <a:off x="0" y="0"/>
                        <a:ext cx="3212465" cy="85090"/>
                      </a:xfrm>
                      <a:prstGeom prst="rect">
                        <a:avLst/>
                      </a:prstGeom>
                      <a:noFill/>
                    </wps:spPr>
                    <wps:txbx>
                      <w:txbxContent>
                        <w:p w14:paraId="6D1537FD" w14:textId="77777777" w:rsidR="0072615D" w:rsidRDefault="0072615D">
                          <w:pPr>
                            <w:pStyle w:val="Headerorfooter0"/>
                            <w:tabs>
                              <w:tab w:val="right" w:pos="5059"/>
                            </w:tabs>
                            <w:rPr>
                              <w:sz w:val="16"/>
                              <w:szCs w:val="16"/>
                            </w:rPr>
                          </w:pPr>
                          <w:r>
                            <w:t>CONTROL INFECTOLÓGICO EN EL CONSULTORIO</w:t>
                          </w:r>
                          <w:r>
                            <w:tab/>
                          </w:r>
                          <w:r>
                            <w:fldChar w:fldCharType="begin"/>
                          </w:r>
                          <w:r>
                            <w:instrText xml:space="preserve"> PAGE \* MERGEFORMAT </w:instrText>
                          </w:r>
                          <w:r>
                            <w:fldChar w:fldCharType="separate"/>
                          </w:r>
                          <w:r>
                            <w:rPr>
                              <w:sz w:val="16"/>
                              <w:szCs w:val="16"/>
                            </w:rPr>
                            <w:t>#</w:t>
                          </w:r>
                          <w:r>
                            <w:rPr>
                              <w:sz w:val="16"/>
                              <w:szCs w:val="16"/>
                            </w:rPr>
                            <w:fldChar w:fldCharType="end"/>
                          </w:r>
                        </w:p>
                      </w:txbxContent>
                    </wps:txbx>
                    <wps:bodyPr lIns="0" tIns="0" rIns="0" bIns="0">
                      <a:spAutoFit/>
                    </wps:bodyPr>
                  </wps:wsp>
                </a:graphicData>
              </a:graphic>
            </wp:anchor>
          </w:drawing>
        </mc:Choice>
        <mc:Fallback>
          <w:pict>
            <v:shapetype w14:anchorId="22D519A2" id="_x0000_t202" coordsize="21600,21600" o:spt="202" path="m,l,21600r21600,l21600,xe">
              <v:stroke joinstyle="miter"/>
              <v:path gradientshapeok="t" o:connecttype="rect"/>
            </v:shapetype>
            <v:shape id="Shape 367" o:spid="_x0000_s1168" type="#_x0000_t202" style="position:absolute;margin-left:126.7pt;margin-top:23.25pt;width:252.95pt;height:6.7pt;z-index:-2514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" filled="f" stroked="f">
              <v:textbox style="mso-fit-shape-to-text:t" inset="0,0,0,0">
                <w:txbxContent>
                  <w:p w14:paraId="6D1537FD" w14:textId="77777777" w:rsidR="0072615D" w:rsidRDefault="0072615D">
                    <w:pPr>
                      <w:pStyle w:val="Headerorfooter0"/>
                      <w:tabs>
                        <w:tab w:val="right" w:pos="5059"/>
                      </w:tabs>
                      <w:rPr>
                        <w:sz w:val="16"/>
                        <w:szCs w:val="16"/>
                      </w:rPr>
                    </w:pPr>
                    <w:r>
                      <w:t>CONTROL INFECTOLÓGICO EN EL CONSULTORIO</w:t>
                    </w:r>
                    <w:r>
                      <w:tab/>
                    </w:r>
                    <w:r>
                      <w:fldChar w:fldCharType="begin"/>
                    </w:r>
                    <w:r>
                      <w:instrText xml:space="preserve"> PAGE \* MERGEFORMAT </w:instrText>
                    </w:r>
                    <w:r>
                      <w:fldChar w:fldCharType="separate"/>
                    </w:r>
                    <w:r>
                      <w:rPr>
                        <w:sz w:val="16"/>
                        <w:szCs w:val="16"/>
                      </w:rPr>
                      <w:t>#</w:t>
                    </w:r>
                    <w:r>
                      <w:rPr>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54496" behindDoc="1" locked="0" layoutInCell="1" allowOverlap="1" wp14:anchorId="49EB09DC" wp14:editId="58E6072D">
              <wp:simplePos x="0" y="0"/>
              <wp:positionH relativeFrom="page">
                <wp:posOffset>499745</wp:posOffset>
              </wp:positionH>
              <wp:positionV relativeFrom="page">
                <wp:posOffset>418465</wp:posOffset>
              </wp:positionV>
              <wp:extent cx="4358640" cy="0"/>
              <wp:effectExtent l="0" t="0" r="0" b="0"/>
              <wp:wrapNone/>
              <wp:docPr id="369" name="Shape 36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51A9036" id="_x0000_t32" coordsize="21600,21600" o:spt="32" o:oned="t" path="m,l21600,21600e" filled="f">
              <v:path arrowok="t" fillok="f" o:connecttype="none"/>
              <o:lock v:ext="edit" shapetype="t"/>
            </v:shapetype>
            <v:shape id="Shape 369" o:spid="_x0000_s1026" type="#_x0000_t32" style="position:absolute;margin-left:39.35pt;margin-top:32.95pt;width:343.2pt;height:0;z-index:-2515619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" strokeweight="1pt">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B9E5" w14:textId="77777777" w:rsidR="0072615D" w:rsidRDefault="0072615D">
    <w:pPr>
      <w:spacing w:line="1" w:lineRule="exact"/>
    </w:pPr>
    <w:r>
      <w:rPr>
        <w:noProof/>
      </w:rPr>
      <mc:AlternateContent>
        <mc:Choice Requires="wps">
          <w:drawing>
            <wp:anchor distT="0" distB="0" distL="0" distR="0" simplePos="0" relativeHeight="251901952" behindDoc="1" locked="0" layoutInCell="1" allowOverlap="1" wp14:anchorId="0BAE236A" wp14:editId="329159B9">
              <wp:simplePos x="0" y="0"/>
              <wp:positionH relativeFrom="page">
                <wp:posOffset>1095375</wp:posOffset>
              </wp:positionH>
              <wp:positionV relativeFrom="page">
                <wp:posOffset>295275</wp:posOffset>
              </wp:positionV>
              <wp:extent cx="3745865" cy="85090"/>
              <wp:effectExtent l="0" t="0" r="0" b="0"/>
              <wp:wrapNone/>
              <wp:docPr id="381" name="Shape 381"/>
              <wp:cNvGraphicFramePr/>
              <a:graphic xmlns:a="http://schemas.openxmlformats.org/drawingml/2006/main">
                <a:graphicData uri="http://schemas.microsoft.com/office/word/2010/wordprocessingShape">
                  <wps:wsp>
                    <wps:cNvSpPr txBox="1"/>
                    <wps:spPr>
                      <a:xfrm>
                        <a:off x="0" y="0"/>
                        <a:ext cx="3745865" cy="85090"/>
                      </a:xfrm>
                      <a:prstGeom prst="rect">
                        <a:avLst/>
                      </a:prstGeom>
                      <a:noFill/>
                    </wps:spPr>
                    <wps:txbx>
                      <w:txbxContent>
                        <w:p w14:paraId="602E2248" w14:textId="77777777" w:rsidR="0072615D" w:rsidRDefault="0072615D">
                          <w:pPr>
                            <w:pStyle w:val="Headerorfooter0"/>
                            <w:tabs>
                              <w:tab w:val="right" w:pos="5899"/>
                            </w:tabs>
                            <w:rPr>
                              <w:sz w:val="16"/>
                              <w:szCs w:val="16"/>
                            </w:rPr>
                          </w:pPr>
                          <w:r>
                            <w:t>ENFERMEDADES DE TRANSMISIÓN SEXUAL EN ADOLESCENTES Y NIÑOS</w:t>
                          </w:r>
                          <w:r>
                            <w:tab/>
                          </w:r>
                          <w:r>
                            <w:rPr>
                              <w:sz w:val="16"/>
                              <w:szCs w:val="16"/>
                            </w:rPr>
                            <w:t>173</w:t>
                          </w:r>
                        </w:p>
                      </w:txbxContent>
                    </wps:txbx>
                    <wps:bodyPr lIns="0" tIns="0" rIns="0" bIns="0">
                      <a:spAutoFit/>
                    </wps:bodyPr>
                  </wps:wsp>
                </a:graphicData>
              </a:graphic>
            </wp:anchor>
          </w:drawing>
        </mc:Choice>
        <mc:Fallback>
          <w:pict>
            <v:shapetype w14:anchorId="0BAE236A" id="_x0000_t202" coordsize="21600,21600" o:spt="202" path="m,l,21600r21600,l21600,xe">
              <v:stroke joinstyle="miter"/>
              <v:path gradientshapeok="t" o:connecttype="rect"/>
            </v:shapetype>
            <v:shape id="Shape 381" o:spid="_x0000_s1169" type="#_x0000_t202" style="position:absolute;margin-left:86.25pt;margin-top:23.25pt;width:294.95pt;height:6.7pt;z-index:-2514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" filled="f" stroked="f">
              <v:textbox style="mso-fit-shape-to-text:t" inset="0,0,0,0">
                <w:txbxContent>
                  <w:p w14:paraId="602E2248" w14:textId="77777777" w:rsidR="0072615D" w:rsidRDefault="0072615D">
                    <w:pPr>
                      <w:pStyle w:val="Headerorfooter0"/>
                      <w:tabs>
                        <w:tab w:val="right" w:pos="5899"/>
                      </w:tabs>
                      <w:rPr>
                        <w:sz w:val="16"/>
                        <w:szCs w:val="16"/>
                      </w:rPr>
                    </w:pPr>
                    <w:r>
                      <w:t>ENFERMEDADES DE TRANSMISIÓN SEXUAL EN ADOLESCENTES Y NIÑOS</w:t>
                    </w:r>
                    <w:r>
                      <w:tab/>
                    </w:r>
                    <w:r>
                      <w:rPr>
                        <w:sz w:val="16"/>
                        <w:szCs w:val="16"/>
                      </w:rPr>
                      <w:t>173</w:t>
                    </w:r>
                  </w:p>
                </w:txbxContent>
              </v:textbox>
              <w10:wrap anchorx="page" anchory="page"/>
            </v:shape>
          </w:pict>
        </mc:Fallback>
      </mc:AlternateContent>
    </w:r>
    <w:r>
      <w:rPr>
        <w:noProof/>
      </w:rPr>
      <mc:AlternateContent>
        <mc:Choice Requires="wps">
          <w:drawing>
            <wp:anchor distT="0" distB="0" distL="114300" distR="114300" simplePos="0" relativeHeight="251756544" behindDoc="1" locked="0" layoutInCell="1" allowOverlap="1" wp14:anchorId="0D2BDB3D" wp14:editId="66865C25">
              <wp:simplePos x="0" y="0"/>
              <wp:positionH relativeFrom="page">
                <wp:posOffset>504190</wp:posOffset>
              </wp:positionH>
              <wp:positionV relativeFrom="page">
                <wp:posOffset>418465</wp:posOffset>
              </wp:positionV>
              <wp:extent cx="4358640" cy="0"/>
              <wp:effectExtent l="0" t="0" r="0" b="0"/>
              <wp:wrapNone/>
              <wp:docPr id="383" name="Shape 38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447A695" id="_x0000_t32" coordsize="21600,21600" o:spt="32" o:oned="t" path="m,l21600,21600e" filled="f">
              <v:path arrowok="t" fillok="f" o:connecttype="none"/>
              <o:lock v:ext="edit" shapetype="t"/>
            </v:shapetype>
            <v:shape id="Shape 383" o:spid="_x0000_s1026" type="#_x0000_t32" style="position:absolute;margin-left:39.7pt;margin-top:32.95pt;width:343.2pt;height:0;z-index:-2515599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" strokeweight="1pt">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BD1E" w14:textId="77777777" w:rsidR="0072615D" w:rsidRDefault="0072615D">
    <w:pPr>
      <w:spacing w:line="1" w:lineRule="exact"/>
    </w:pPr>
    <w:r>
      <w:rPr>
        <w:noProof/>
      </w:rPr>
      <mc:AlternateContent>
        <mc:Choice Requires="wps">
          <w:drawing>
            <wp:anchor distT="0" distB="0" distL="0" distR="0" simplePos="0" relativeHeight="251900928" behindDoc="1" locked="0" layoutInCell="1" allowOverlap="1" wp14:anchorId="4B89DEFE" wp14:editId="033C912A">
              <wp:simplePos x="0" y="0"/>
              <wp:positionH relativeFrom="page">
                <wp:posOffset>521335</wp:posOffset>
              </wp:positionH>
              <wp:positionV relativeFrom="page">
                <wp:posOffset>295275</wp:posOffset>
              </wp:positionV>
              <wp:extent cx="3742690" cy="85090"/>
              <wp:effectExtent l="0" t="0" r="0" b="0"/>
              <wp:wrapNone/>
              <wp:docPr id="378" name="Shape 378"/>
              <wp:cNvGraphicFramePr/>
              <a:graphic xmlns:a="http://schemas.openxmlformats.org/drawingml/2006/main">
                <a:graphicData uri="http://schemas.microsoft.com/office/word/2010/wordprocessingShape">
                  <wps:wsp>
                    <wps:cNvSpPr txBox="1"/>
                    <wps:spPr>
                      <a:xfrm>
                        <a:off x="0" y="0"/>
                        <a:ext cx="3742690" cy="85090"/>
                      </a:xfrm>
                      <a:prstGeom prst="rect">
                        <a:avLst/>
                      </a:prstGeom>
                      <a:noFill/>
                    </wps:spPr>
                    <wps:txbx>
                      <w:txbxContent>
                        <w:p w14:paraId="6A3EE3EA" w14:textId="77777777" w:rsidR="0072615D" w:rsidRDefault="0072615D">
                          <w:pPr>
                            <w:pStyle w:val="Headerorfooter0"/>
                            <w:tabs>
                              <w:tab w:val="right" w:pos="5894"/>
                            </w:tabs>
                          </w:pPr>
                          <w:r>
                            <w:rPr>
                              <w:sz w:val="16"/>
                              <w:szCs w:val="16"/>
                            </w:rPr>
                            <w:t>172</w:t>
                          </w:r>
                          <w:r>
                            <w:rPr>
                              <w:sz w:val="16"/>
                              <w:szCs w:val="16"/>
                            </w:rPr>
                            <w:tab/>
                          </w:r>
                          <w:r>
                            <w:t>ENFERMEDADES DE TRANSMISIÓN SEXUAL EN ADOLESCENTES Y NIÑOS</w:t>
                          </w:r>
                        </w:p>
                      </w:txbxContent>
                    </wps:txbx>
                    <wps:bodyPr lIns="0" tIns="0" rIns="0" bIns="0">
                      <a:spAutoFit/>
                    </wps:bodyPr>
                  </wps:wsp>
                </a:graphicData>
              </a:graphic>
            </wp:anchor>
          </w:drawing>
        </mc:Choice>
        <mc:Fallback>
          <w:pict>
            <v:shapetype w14:anchorId="4B89DEFE" id="_x0000_t202" coordsize="21600,21600" o:spt="202" path="m,l,21600r21600,l21600,xe">
              <v:stroke joinstyle="miter"/>
              <v:path gradientshapeok="t" o:connecttype="rect"/>
            </v:shapetype>
            <v:shape id="Shape 378" o:spid="_x0000_s1170" type="#_x0000_t202" style="position:absolute;margin-left:41.05pt;margin-top:23.25pt;width:294.7pt;height:6.7pt;z-index:-2514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Z6tfQEAAPw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" filled="f" stroked="f">
              <v:textbox style="mso-fit-shape-to-text:t" inset="0,0,0,0">
                <w:txbxContent>
                  <w:p w14:paraId="6A3EE3EA" w14:textId="77777777" w:rsidR="0072615D" w:rsidRDefault="0072615D">
                    <w:pPr>
                      <w:pStyle w:val="Headerorfooter0"/>
                      <w:tabs>
                        <w:tab w:val="right" w:pos="5894"/>
                      </w:tabs>
                    </w:pPr>
                    <w:r>
                      <w:rPr>
                        <w:sz w:val="16"/>
                        <w:szCs w:val="16"/>
                      </w:rPr>
                      <w:t>172</w:t>
                    </w:r>
                    <w:r>
                      <w:rPr>
                        <w:sz w:val="16"/>
                        <w:szCs w:val="16"/>
                      </w:rPr>
                      <w:tab/>
                    </w:r>
                    <w:r>
                      <w:t>ENFERMEDADES DE TRANSMISIÓN SEXUAL EN ADOLESCENTES Y NIÑOS</w:t>
                    </w:r>
                  </w:p>
                </w:txbxContent>
              </v:textbox>
              <w10:wrap anchorx="page" anchory="page"/>
            </v:shape>
          </w:pict>
        </mc:Fallback>
      </mc:AlternateContent>
    </w:r>
    <w:r>
      <w:rPr>
        <w:noProof/>
      </w:rPr>
      <mc:AlternateContent>
        <mc:Choice Requires="wps">
          <w:drawing>
            <wp:anchor distT="0" distB="0" distL="114300" distR="114300" simplePos="0" relativeHeight="251755520" behindDoc="1" locked="0" layoutInCell="1" allowOverlap="1" wp14:anchorId="4599B865" wp14:editId="3543E71E">
              <wp:simplePos x="0" y="0"/>
              <wp:positionH relativeFrom="page">
                <wp:posOffset>496570</wp:posOffset>
              </wp:positionH>
              <wp:positionV relativeFrom="page">
                <wp:posOffset>418465</wp:posOffset>
              </wp:positionV>
              <wp:extent cx="4358640" cy="0"/>
              <wp:effectExtent l="0" t="0" r="0" b="0"/>
              <wp:wrapNone/>
              <wp:docPr id="380" name="Shape 38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57ABA07" id="_x0000_t32" coordsize="21600,21600" o:spt="32" o:oned="t" path="m,l21600,21600e" filled="f">
              <v:path arrowok="t" fillok="f" o:connecttype="none"/>
              <o:lock v:ext="edit" shapetype="t"/>
            </v:shapetype>
            <v:shape id="Shape 380" o:spid="_x0000_s1026" type="#_x0000_t32" style="position:absolute;margin-left:39.1pt;margin-top:32.95pt;width:343.2pt;height:0;z-index:-2515609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APD&#10;YCbaAAAACAEAAA8AAAAAAAAAAAAAAAAAwgMAAGRycy9kb3ducmV2LnhtbFBLBQYAAAAABAAEAPMA&#10;AADJBAAAAAA=&#10;" strokeweight="1pt">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43FF" w14:textId="77777777" w:rsidR="0072615D" w:rsidRDefault="0072615D">
    <w:pPr>
      <w:spacing w:line="1" w:lineRule="exact"/>
    </w:pPr>
    <w:r>
      <w:rPr>
        <w:noProof/>
      </w:rPr>
      <mc:AlternateContent>
        <mc:Choice Requires="wps">
          <w:drawing>
            <wp:anchor distT="0" distB="0" distL="0" distR="0" simplePos="0" relativeHeight="251904000" behindDoc="1" locked="0" layoutInCell="1" allowOverlap="1" wp14:anchorId="09062E03" wp14:editId="4D1FE0D6">
              <wp:simplePos x="0" y="0"/>
              <wp:positionH relativeFrom="page">
                <wp:posOffset>1809115</wp:posOffset>
              </wp:positionH>
              <wp:positionV relativeFrom="page">
                <wp:posOffset>295275</wp:posOffset>
              </wp:positionV>
              <wp:extent cx="3176270" cy="85090"/>
              <wp:effectExtent l="0" t="0" r="0" b="0"/>
              <wp:wrapNone/>
              <wp:docPr id="387" name="Shape 387"/>
              <wp:cNvGraphicFramePr/>
              <a:graphic xmlns:a="http://schemas.openxmlformats.org/drawingml/2006/main">
                <a:graphicData uri="http://schemas.microsoft.com/office/word/2010/wordprocessingShape">
                  <wps:wsp>
                    <wps:cNvSpPr txBox="1"/>
                    <wps:spPr>
                      <a:xfrm>
                        <a:off x="0" y="0"/>
                        <a:ext cx="3176270" cy="85090"/>
                      </a:xfrm>
                      <a:prstGeom prst="rect">
                        <a:avLst/>
                      </a:prstGeom>
                      <a:noFill/>
                    </wps:spPr>
                    <wps:txbx>
                      <w:txbxContent>
                        <w:p w14:paraId="4FE960C0" w14:textId="77777777" w:rsidR="0072615D" w:rsidRDefault="0072615D">
                          <w:pPr>
                            <w:pStyle w:val="Headerorfooter0"/>
                            <w:tabs>
                              <w:tab w:val="right" w:pos="5002"/>
                            </w:tabs>
                            <w:rPr>
                              <w:sz w:val="16"/>
                              <w:szCs w:val="16"/>
                            </w:rPr>
                          </w:pPr>
                          <w:r>
                            <w:t>HEPATITIS EN JÓVENES EN CORRECCIONALES</w:t>
                          </w:r>
                          <w:r>
                            <w:tab/>
                          </w:r>
                          <w:r>
                            <w:rPr>
                              <w:sz w:val="16"/>
                              <w:szCs w:val="16"/>
                            </w:rPr>
                            <w:t>183</w:t>
                          </w:r>
                        </w:p>
                      </w:txbxContent>
                    </wps:txbx>
                    <wps:bodyPr lIns="0" tIns="0" rIns="0" bIns="0">
                      <a:spAutoFit/>
                    </wps:bodyPr>
                  </wps:wsp>
                </a:graphicData>
              </a:graphic>
            </wp:anchor>
          </w:drawing>
        </mc:Choice>
        <mc:Fallback>
          <w:pict>
            <v:shapetype w14:anchorId="09062E03" id="_x0000_t202" coordsize="21600,21600" o:spt="202" path="m,l,21600r21600,l21600,xe">
              <v:stroke joinstyle="miter"/>
              <v:path gradientshapeok="t" o:connecttype="rect"/>
            </v:shapetype>
            <v:shape id="Shape 387" o:spid="_x0000_s1171" type="#_x0000_t202" style="position:absolute;margin-left:142.45pt;margin-top:23.25pt;width:250.1pt;height:6.7pt;z-index:-2514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" filled="f" stroked="f">
              <v:textbox style="mso-fit-shape-to-text:t" inset="0,0,0,0">
                <w:txbxContent>
                  <w:p w14:paraId="4FE960C0" w14:textId="77777777" w:rsidR="0072615D" w:rsidRDefault="0072615D">
                    <w:pPr>
                      <w:pStyle w:val="Headerorfooter0"/>
                      <w:tabs>
                        <w:tab w:val="right" w:pos="5002"/>
                      </w:tabs>
                      <w:rPr>
                        <w:sz w:val="16"/>
                        <w:szCs w:val="16"/>
                      </w:rPr>
                    </w:pPr>
                    <w:r>
                      <w:t>HEPATITIS EN JÓVENES EN CORRECCIONALES</w:t>
                    </w:r>
                    <w:r>
                      <w:tab/>
                    </w:r>
                    <w:r>
                      <w:rPr>
                        <w:sz w:val="16"/>
                        <w:szCs w:val="16"/>
                      </w:rPr>
                      <w:t>183</w:t>
                    </w:r>
                  </w:p>
                </w:txbxContent>
              </v:textbox>
              <w10:wrap anchorx="page" anchory="page"/>
            </v:shape>
          </w:pict>
        </mc:Fallback>
      </mc:AlternateContent>
    </w:r>
    <w:r>
      <w:rPr>
        <w:noProof/>
      </w:rPr>
      <mc:AlternateContent>
        <mc:Choice Requires="wps">
          <w:drawing>
            <wp:anchor distT="0" distB="0" distL="114300" distR="114300" simplePos="0" relativeHeight="251758592" behindDoc="1" locked="0" layoutInCell="1" allowOverlap="1" wp14:anchorId="5B0150FA" wp14:editId="5C8C5B7D">
              <wp:simplePos x="0" y="0"/>
              <wp:positionH relativeFrom="page">
                <wp:posOffset>647700</wp:posOffset>
              </wp:positionH>
              <wp:positionV relativeFrom="page">
                <wp:posOffset>418465</wp:posOffset>
              </wp:positionV>
              <wp:extent cx="4358640" cy="0"/>
              <wp:effectExtent l="0" t="0" r="0" b="0"/>
              <wp:wrapNone/>
              <wp:docPr id="389" name="Shape 38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B3AFBE9" id="_x0000_t32" coordsize="21600,21600" o:spt="32" o:oned="t" path="m,l21600,21600e" filled="f">
              <v:path arrowok="t" fillok="f" o:connecttype="none"/>
              <o:lock v:ext="edit" shapetype="t"/>
            </v:shapetype>
            <v:shape id="Shape 389" o:spid="_x0000_s1026" type="#_x0000_t32" style="position:absolute;margin-left:51pt;margin-top:32.95pt;width:343.2pt;height:0;z-index:-2515578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" strokeweight="1pt">
              <w10:wrap anchorx="page" anchory="page"/>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3834" w14:textId="77777777" w:rsidR="0072615D" w:rsidRDefault="0072615D">
    <w:pPr>
      <w:spacing w:line="1" w:lineRule="exact"/>
    </w:pPr>
    <w:r>
      <w:rPr>
        <w:noProof/>
      </w:rPr>
      <mc:AlternateContent>
        <mc:Choice Requires="wps">
          <w:drawing>
            <wp:anchor distT="0" distB="0" distL="0" distR="0" simplePos="0" relativeHeight="251902976" behindDoc="1" locked="0" layoutInCell="1" allowOverlap="1" wp14:anchorId="0F9EADFE" wp14:editId="5585AC1C">
              <wp:simplePos x="0" y="0"/>
              <wp:positionH relativeFrom="page">
                <wp:posOffset>1809115</wp:posOffset>
              </wp:positionH>
              <wp:positionV relativeFrom="page">
                <wp:posOffset>295275</wp:posOffset>
              </wp:positionV>
              <wp:extent cx="3176270" cy="85090"/>
              <wp:effectExtent l="0" t="0" r="0" b="0"/>
              <wp:wrapNone/>
              <wp:docPr id="384" name="Shape 384"/>
              <wp:cNvGraphicFramePr/>
              <a:graphic xmlns:a="http://schemas.openxmlformats.org/drawingml/2006/main">
                <a:graphicData uri="http://schemas.microsoft.com/office/word/2010/wordprocessingShape">
                  <wps:wsp>
                    <wps:cNvSpPr txBox="1"/>
                    <wps:spPr>
                      <a:xfrm>
                        <a:off x="0" y="0"/>
                        <a:ext cx="3176270" cy="85090"/>
                      </a:xfrm>
                      <a:prstGeom prst="rect">
                        <a:avLst/>
                      </a:prstGeom>
                      <a:noFill/>
                    </wps:spPr>
                    <wps:txbx>
                      <w:txbxContent>
                        <w:p w14:paraId="53571A3D" w14:textId="77777777" w:rsidR="0072615D" w:rsidRDefault="0072615D">
                          <w:pPr>
                            <w:pStyle w:val="Headerorfooter0"/>
                            <w:tabs>
                              <w:tab w:val="right" w:pos="5002"/>
                            </w:tabs>
                            <w:rPr>
                              <w:sz w:val="16"/>
                              <w:szCs w:val="16"/>
                            </w:rPr>
                          </w:pPr>
                          <w:r>
                            <w:t>HEPATITIS EN JÓVENES EN CORRECCIONALES</w:t>
                          </w:r>
                          <w:r>
                            <w:tab/>
                          </w:r>
                          <w:r>
                            <w:rPr>
                              <w:sz w:val="16"/>
                              <w:szCs w:val="16"/>
                            </w:rPr>
                            <w:t>183</w:t>
                          </w:r>
                        </w:p>
                      </w:txbxContent>
                    </wps:txbx>
                    <wps:bodyPr lIns="0" tIns="0" rIns="0" bIns="0">
                      <a:spAutoFit/>
                    </wps:bodyPr>
                  </wps:wsp>
                </a:graphicData>
              </a:graphic>
            </wp:anchor>
          </w:drawing>
        </mc:Choice>
        <mc:Fallback>
          <w:pict>
            <v:shapetype w14:anchorId="0F9EADFE" id="_x0000_t202" coordsize="21600,21600" o:spt="202" path="m,l,21600r21600,l21600,xe">
              <v:stroke joinstyle="miter"/>
              <v:path gradientshapeok="t" o:connecttype="rect"/>
            </v:shapetype>
            <v:shape id="Shape 384" o:spid="_x0000_s1172" type="#_x0000_t202" style="position:absolute;margin-left:142.45pt;margin-top:23.25pt;width:250.1pt;height:6.7pt;z-index:-2514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" filled="f" stroked="f">
              <v:textbox style="mso-fit-shape-to-text:t" inset="0,0,0,0">
                <w:txbxContent>
                  <w:p w14:paraId="53571A3D" w14:textId="77777777" w:rsidR="0072615D" w:rsidRDefault="0072615D">
                    <w:pPr>
                      <w:pStyle w:val="Headerorfooter0"/>
                      <w:tabs>
                        <w:tab w:val="right" w:pos="5002"/>
                      </w:tabs>
                      <w:rPr>
                        <w:sz w:val="16"/>
                        <w:szCs w:val="16"/>
                      </w:rPr>
                    </w:pPr>
                    <w:r>
                      <w:t>HEPATITIS EN JÓVENES EN CORRECCIONALES</w:t>
                    </w:r>
                    <w:r>
                      <w:tab/>
                    </w:r>
                    <w:r>
                      <w:rPr>
                        <w:sz w:val="16"/>
                        <w:szCs w:val="16"/>
                      </w:rPr>
                      <w:t>183</w:t>
                    </w:r>
                  </w:p>
                </w:txbxContent>
              </v:textbox>
              <w10:wrap anchorx="page" anchory="page"/>
            </v:shape>
          </w:pict>
        </mc:Fallback>
      </mc:AlternateContent>
    </w:r>
    <w:r>
      <w:rPr>
        <w:noProof/>
      </w:rPr>
      <mc:AlternateContent>
        <mc:Choice Requires="wps">
          <w:drawing>
            <wp:anchor distT="0" distB="0" distL="114300" distR="114300" simplePos="0" relativeHeight="251757568" behindDoc="1" locked="0" layoutInCell="1" allowOverlap="1" wp14:anchorId="042888EA" wp14:editId="22192B36">
              <wp:simplePos x="0" y="0"/>
              <wp:positionH relativeFrom="page">
                <wp:posOffset>647700</wp:posOffset>
              </wp:positionH>
              <wp:positionV relativeFrom="page">
                <wp:posOffset>418465</wp:posOffset>
              </wp:positionV>
              <wp:extent cx="4358640" cy="0"/>
              <wp:effectExtent l="0" t="0" r="0" b="0"/>
              <wp:wrapNone/>
              <wp:docPr id="386" name="Shape 38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9BA69C3" id="_x0000_t32" coordsize="21600,21600" o:spt="32" o:oned="t" path="m,l21600,21600e" filled="f">
              <v:path arrowok="t" fillok="f" o:connecttype="none"/>
              <o:lock v:ext="edit" shapetype="t"/>
            </v:shapetype>
            <v:shape id="Shape 386" o:spid="_x0000_s1026" type="#_x0000_t32" style="position:absolute;margin-left:51pt;margin-top:32.95pt;width:343.2pt;height:0;z-index:-2515589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" strokeweight="1pt">
              <w10:wrap anchorx="page" anchory="page"/>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D300C" w14:textId="77777777" w:rsidR="0072615D" w:rsidRDefault="0072615D">
    <w:pPr>
      <w:spacing w:line="1" w:lineRule="exact"/>
    </w:pPr>
    <w:r>
      <w:rPr>
        <w:noProof/>
      </w:rPr>
      <mc:AlternateContent>
        <mc:Choice Requires="wps">
          <w:drawing>
            <wp:anchor distT="0" distB="0" distL="0" distR="0" simplePos="0" relativeHeight="251906048" behindDoc="1" locked="0" layoutInCell="1" allowOverlap="1" wp14:anchorId="3A9B84EB" wp14:editId="7B46FE17">
              <wp:simplePos x="0" y="0"/>
              <wp:positionH relativeFrom="page">
                <wp:posOffset>662940</wp:posOffset>
              </wp:positionH>
              <wp:positionV relativeFrom="page">
                <wp:posOffset>295275</wp:posOffset>
              </wp:positionV>
              <wp:extent cx="3173095" cy="85090"/>
              <wp:effectExtent l="0" t="0" r="0" b="0"/>
              <wp:wrapNone/>
              <wp:docPr id="393" name="Shape 393"/>
              <wp:cNvGraphicFramePr/>
              <a:graphic xmlns:a="http://schemas.openxmlformats.org/drawingml/2006/main">
                <a:graphicData uri="http://schemas.microsoft.com/office/word/2010/wordprocessingShape">
                  <wps:wsp>
                    <wps:cNvSpPr txBox="1"/>
                    <wps:spPr>
                      <a:xfrm>
                        <a:off x="0" y="0"/>
                        <a:ext cx="3173095" cy="85090"/>
                      </a:xfrm>
                      <a:prstGeom prst="rect">
                        <a:avLst/>
                      </a:prstGeom>
                      <a:noFill/>
                    </wps:spPr>
                    <wps:txbx>
                      <w:txbxContent>
                        <w:p w14:paraId="5B2DCC55" w14:textId="77777777" w:rsidR="0072615D" w:rsidRDefault="0072615D">
                          <w:pPr>
                            <w:pStyle w:val="Headerorfooter0"/>
                            <w:tabs>
                              <w:tab w:val="right" w:pos="4997"/>
                            </w:tabs>
                          </w:pPr>
                          <w:r>
                            <w:rPr>
                              <w:sz w:val="16"/>
                              <w:szCs w:val="16"/>
                            </w:rPr>
                            <w:t>184</w:t>
                          </w:r>
                          <w:r>
                            <w:rPr>
                              <w:sz w:val="16"/>
                              <w:szCs w:val="16"/>
                            </w:rPr>
                            <w:tab/>
                          </w:r>
                          <w:r>
                            <w:t>HEPATITIS EN JÓVENES EN CORRECCIONALES</w:t>
                          </w:r>
                        </w:p>
                      </w:txbxContent>
                    </wps:txbx>
                    <wps:bodyPr lIns="0" tIns="0" rIns="0" bIns="0">
                      <a:spAutoFit/>
                    </wps:bodyPr>
                  </wps:wsp>
                </a:graphicData>
              </a:graphic>
            </wp:anchor>
          </w:drawing>
        </mc:Choice>
        <mc:Fallback>
          <w:pict>
            <v:shapetype w14:anchorId="3A9B84EB" id="_x0000_t202" coordsize="21600,21600" o:spt="202" path="m,l,21600r21600,l21600,xe">
              <v:stroke joinstyle="miter"/>
              <v:path gradientshapeok="t" o:connecttype="rect"/>
            </v:shapetype>
            <v:shape id="Shape 393" o:spid="_x0000_s1173" type="#_x0000_t202" style="position:absolute;margin-left:52.2pt;margin-top:23.25pt;width:249.85pt;height:6.7pt;z-index:-2514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" filled="f" stroked="f">
              <v:textbox style="mso-fit-shape-to-text:t" inset="0,0,0,0">
                <w:txbxContent>
                  <w:p w14:paraId="5B2DCC55" w14:textId="77777777" w:rsidR="0072615D" w:rsidRDefault="0072615D">
                    <w:pPr>
                      <w:pStyle w:val="Headerorfooter0"/>
                      <w:tabs>
                        <w:tab w:val="right" w:pos="4997"/>
                      </w:tabs>
                    </w:pPr>
                    <w:r>
                      <w:rPr>
                        <w:sz w:val="16"/>
                        <w:szCs w:val="16"/>
                      </w:rPr>
                      <w:t>184</w:t>
                    </w:r>
                    <w:r>
                      <w:rPr>
                        <w:sz w:val="16"/>
                        <w:szCs w:val="16"/>
                      </w:rPr>
                      <w:tab/>
                    </w:r>
                    <w:r>
                      <w:t>HEPATITIS EN JÓVENES EN CORRECCIONALES</w:t>
                    </w:r>
                  </w:p>
                </w:txbxContent>
              </v:textbox>
              <w10:wrap anchorx="page" anchory="page"/>
            </v:shape>
          </w:pict>
        </mc:Fallback>
      </mc:AlternateContent>
    </w:r>
    <w:r>
      <w:rPr>
        <w:noProof/>
      </w:rPr>
      <mc:AlternateContent>
        <mc:Choice Requires="wps">
          <w:drawing>
            <wp:anchor distT="0" distB="0" distL="114300" distR="114300" simplePos="0" relativeHeight="251760640" behindDoc="1" locked="0" layoutInCell="1" allowOverlap="1" wp14:anchorId="6D8EA693" wp14:editId="149936BD">
              <wp:simplePos x="0" y="0"/>
              <wp:positionH relativeFrom="page">
                <wp:posOffset>638175</wp:posOffset>
              </wp:positionH>
              <wp:positionV relativeFrom="page">
                <wp:posOffset>418465</wp:posOffset>
              </wp:positionV>
              <wp:extent cx="4358640" cy="0"/>
              <wp:effectExtent l="0" t="0" r="0" b="0"/>
              <wp:wrapNone/>
              <wp:docPr id="395" name="Shape 39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9ECD167" id="_x0000_t32" coordsize="21600,21600" o:spt="32" o:oned="t" path="m,l21600,21600e" filled="f">
              <v:path arrowok="t" fillok="f" o:connecttype="none"/>
              <o:lock v:ext="edit" shapetype="t"/>
            </v:shapetype>
            <v:shape id="Shape 395" o:spid="_x0000_s1026" type="#_x0000_t32" style="position:absolute;margin-left:50.25pt;margin-top:32.95pt;width:343.2pt;height:0;z-index:-2515558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" strokeweight="1pt">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18FD" w14:textId="77777777" w:rsidR="0072615D" w:rsidRDefault="0072615D">
    <w:pPr>
      <w:spacing w:line="1" w:lineRule="exact"/>
    </w:pPr>
    <w:r>
      <w:rPr>
        <w:noProof/>
      </w:rPr>
      <mc:AlternateContent>
        <mc:Choice Requires="wps">
          <w:drawing>
            <wp:anchor distT="0" distB="0" distL="0" distR="0" simplePos="0" relativeHeight="251905024" behindDoc="1" locked="0" layoutInCell="1" allowOverlap="1" wp14:anchorId="54D5A256" wp14:editId="22C1A77E">
              <wp:simplePos x="0" y="0"/>
              <wp:positionH relativeFrom="page">
                <wp:posOffset>1809115</wp:posOffset>
              </wp:positionH>
              <wp:positionV relativeFrom="page">
                <wp:posOffset>295275</wp:posOffset>
              </wp:positionV>
              <wp:extent cx="3176270" cy="85090"/>
              <wp:effectExtent l="0" t="0" r="0" b="0"/>
              <wp:wrapNone/>
              <wp:docPr id="390" name="Shape 390"/>
              <wp:cNvGraphicFramePr/>
              <a:graphic xmlns:a="http://schemas.openxmlformats.org/drawingml/2006/main">
                <a:graphicData uri="http://schemas.microsoft.com/office/word/2010/wordprocessingShape">
                  <wps:wsp>
                    <wps:cNvSpPr txBox="1"/>
                    <wps:spPr>
                      <a:xfrm>
                        <a:off x="0" y="0"/>
                        <a:ext cx="3176270" cy="85090"/>
                      </a:xfrm>
                      <a:prstGeom prst="rect">
                        <a:avLst/>
                      </a:prstGeom>
                      <a:noFill/>
                    </wps:spPr>
                    <wps:txbx>
                      <w:txbxContent>
                        <w:p w14:paraId="5BCD1D0E" w14:textId="77777777" w:rsidR="0072615D" w:rsidRDefault="0072615D">
                          <w:pPr>
                            <w:pStyle w:val="Headerorfooter0"/>
                            <w:tabs>
                              <w:tab w:val="right" w:pos="5002"/>
                            </w:tabs>
                            <w:rPr>
                              <w:sz w:val="16"/>
                              <w:szCs w:val="16"/>
                            </w:rPr>
                          </w:pPr>
                          <w:r>
                            <w:t>HEPATITIS EN JÓVENES EN CORRECCIONALES</w:t>
                          </w:r>
                          <w:r>
                            <w:tab/>
                          </w:r>
                          <w:r>
                            <w:rPr>
                              <w:sz w:val="16"/>
                              <w:szCs w:val="16"/>
                            </w:rPr>
                            <w:t>183</w:t>
                          </w:r>
                        </w:p>
                      </w:txbxContent>
                    </wps:txbx>
                    <wps:bodyPr lIns="0" tIns="0" rIns="0" bIns="0">
                      <a:spAutoFit/>
                    </wps:bodyPr>
                  </wps:wsp>
                </a:graphicData>
              </a:graphic>
            </wp:anchor>
          </w:drawing>
        </mc:Choice>
        <mc:Fallback>
          <w:pict>
            <v:shapetype w14:anchorId="54D5A256" id="_x0000_t202" coordsize="21600,21600" o:spt="202" path="m,l,21600r21600,l21600,xe">
              <v:stroke joinstyle="miter"/>
              <v:path gradientshapeok="t" o:connecttype="rect"/>
            </v:shapetype>
            <v:shape id="Shape 390" o:spid="_x0000_s1174" type="#_x0000_t202" style="position:absolute;margin-left:142.45pt;margin-top:23.25pt;width:250.1pt;height:6.7pt;z-index:-2514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" filled="f" stroked="f">
              <v:textbox style="mso-fit-shape-to-text:t" inset="0,0,0,0">
                <w:txbxContent>
                  <w:p w14:paraId="5BCD1D0E" w14:textId="77777777" w:rsidR="0072615D" w:rsidRDefault="0072615D">
                    <w:pPr>
                      <w:pStyle w:val="Headerorfooter0"/>
                      <w:tabs>
                        <w:tab w:val="right" w:pos="5002"/>
                      </w:tabs>
                      <w:rPr>
                        <w:sz w:val="16"/>
                        <w:szCs w:val="16"/>
                      </w:rPr>
                    </w:pPr>
                    <w:r>
                      <w:t>HEPATITIS EN JÓVENES EN CORRECCIONALES</w:t>
                    </w:r>
                    <w:r>
                      <w:tab/>
                    </w:r>
                    <w:r>
                      <w:rPr>
                        <w:sz w:val="16"/>
                        <w:szCs w:val="16"/>
                      </w:rPr>
                      <w:t>183</w:t>
                    </w:r>
                  </w:p>
                </w:txbxContent>
              </v:textbox>
              <w10:wrap anchorx="page" anchory="page"/>
            </v:shape>
          </w:pict>
        </mc:Fallback>
      </mc:AlternateContent>
    </w:r>
    <w:r>
      <w:rPr>
        <w:noProof/>
      </w:rPr>
      <mc:AlternateContent>
        <mc:Choice Requires="wps">
          <w:drawing>
            <wp:anchor distT="0" distB="0" distL="114300" distR="114300" simplePos="0" relativeHeight="251759616" behindDoc="1" locked="0" layoutInCell="1" allowOverlap="1" wp14:anchorId="7A4355FA" wp14:editId="0446436C">
              <wp:simplePos x="0" y="0"/>
              <wp:positionH relativeFrom="page">
                <wp:posOffset>647700</wp:posOffset>
              </wp:positionH>
              <wp:positionV relativeFrom="page">
                <wp:posOffset>418465</wp:posOffset>
              </wp:positionV>
              <wp:extent cx="4358640" cy="0"/>
              <wp:effectExtent l="0" t="0" r="0" b="0"/>
              <wp:wrapNone/>
              <wp:docPr id="392" name="Shape 39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61197FD" id="_x0000_t32" coordsize="21600,21600" o:spt="32" o:oned="t" path="m,l21600,21600e" filled="f">
              <v:path arrowok="t" fillok="f" o:connecttype="none"/>
              <o:lock v:ext="edit" shapetype="t"/>
            </v:shapetype>
            <v:shape id="Shape 392" o:spid="_x0000_s1026" type="#_x0000_t32" style="position:absolute;margin-left:51pt;margin-top:32.95pt;width:343.2pt;height:0;z-index:-2515568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" strokeweight="1pt">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79E4F" w14:textId="77777777" w:rsidR="0072615D" w:rsidRDefault="0072615D">
    <w:pPr>
      <w:spacing w:line="1" w:lineRule="exact"/>
    </w:pPr>
    <w:r>
      <w:rPr>
        <w:noProof/>
      </w:rPr>
      <mc:AlternateContent>
        <mc:Choice Requires="wps">
          <w:drawing>
            <wp:anchor distT="0" distB="0" distL="0" distR="0" simplePos="0" relativeHeight="251908096" behindDoc="1" locked="0" layoutInCell="1" allowOverlap="1" wp14:anchorId="1695336B" wp14:editId="74E257A6">
              <wp:simplePos x="0" y="0"/>
              <wp:positionH relativeFrom="page">
                <wp:posOffset>647700</wp:posOffset>
              </wp:positionH>
              <wp:positionV relativeFrom="page">
                <wp:posOffset>295275</wp:posOffset>
              </wp:positionV>
              <wp:extent cx="3806825" cy="85090"/>
              <wp:effectExtent l="0" t="0" r="0" b="0"/>
              <wp:wrapNone/>
              <wp:docPr id="399" name="Shape 399"/>
              <wp:cNvGraphicFramePr/>
              <a:graphic xmlns:a="http://schemas.openxmlformats.org/drawingml/2006/main">
                <a:graphicData uri="http://schemas.microsoft.com/office/word/2010/wordprocessingShape">
                  <wps:wsp>
                    <wps:cNvSpPr txBox="1"/>
                    <wps:spPr>
                      <a:xfrm>
                        <a:off x="0" y="0"/>
                        <a:ext cx="3806825" cy="85090"/>
                      </a:xfrm>
                      <a:prstGeom prst="rect">
                        <a:avLst/>
                      </a:prstGeom>
                      <a:noFill/>
                    </wps:spPr>
                    <wps:txbx>
                      <w:txbxContent>
                        <w:p w14:paraId="4FCAC491" w14:textId="77777777" w:rsidR="0072615D" w:rsidRDefault="0072615D">
                          <w:pPr>
                            <w:pStyle w:val="Headerorfooter0"/>
                            <w:tabs>
                              <w:tab w:val="right" w:pos="5995"/>
                            </w:tabs>
                          </w:pPr>
                          <w:r>
                            <w:rPr>
                              <w:sz w:val="16"/>
                              <w:szCs w:val="16"/>
                            </w:rPr>
                            <w:t>190</w:t>
                          </w:r>
                          <w:r>
                            <w:rPr>
                              <w:sz w:val="16"/>
                              <w:szCs w:val="16"/>
                            </w:rPr>
                            <w:tab/>
                          </w:r>
                          <w:r>
                            <w:t>VALORACIÓN MÉDICA INICIAL EN BUSCA DE ENFERMEDADES INFECCIOSAS</w:t>
                          </w:r>
                        </w:p>
                      </w:txbxContent>
                    </wps:txbx>
                    <wps:bodyPr lIns="0" tIns="0" rIns="0" bIns="0">
                      <a:spAutoFit/>
                    </wps:bodyPr>
                  </wps:wsp>
                </a:graphicData>
              </a:graphic>
            </wp:anchor>
          </w:drawing>
        </mc:Choice>
        <mc:Fallback>
          <w:pict>
            <v:shapetype w14:anchorId="1695336B" id="_x0000_t202" coordsize="21600,21600" o:spt="202" path="m,l,21600r21600,l21600,xe">
              <v:stroke joinstyle="miter"/>
              <v:path gradientshapeok="t" o:connecttype="rect"/>
            </v:shapetype>
            <v:shape id="Shape 399" o:spid="_x0000_s1175" type="#_x0000_t202" style="position:absolute;margin-left:51pt;margin-top:23.25pt;width:299.75pt;height:6.7pt;z-index:-2514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" filled="f" stroked="f">
              <v:textbox style="mso-fit-shape-to-text:t" inset="0,0,0,0">
                <w:txbxContent>
                  <w:p w14:paraId="4FCAC491" w14:textId="77777777" w:rsidR="0072615D" w:rsidRDefault="0072615D">
                    <w:pPr>
                      <w:pStyle w:val="Headerorfooter0"/>
                      <w:tabs>
                        <w:tab w:val="right" w:pos="5995"/>
                      </w:tabs>
                    </w:pPr>
                    <w:r>
                      <w:rPr>
                        <w:sz w:val="16"/>
                        <w:szCs w:val="16"/>
                      </w:rPr>
                      <w:t>190</w:t>
                    </w:r>
                    <w:r>
                      <w:rPr>
                        <w:sz w:val="16"/>
                        <w:szCs w:val="16"/>
                      </w:rPr>
                      <w:tab/>
                    </w:r>
                    <w:r>
                      <w:t>VALORACIÓN MÉDICA INICIAL EN BUSCA DE ENFERMEDADES INFECCIOSAS</w:t>
                    </w:r>
                  </w:p>
                </w:txbxContent>
              </v:textbox>
              <w10:wrap anchorx="page" anchory="page"/>
            </v:shape>
          </w:pict>
        </mc:Fallback>
      </mc:AlternateContent>
    </w:r>
    <w:r>
      <w:rPr>
        <w:noProof/>
      </w:rPr>
      <mc:AlternateContent>
        <mc:Choice Requires="wps">
          <w:drawing>
            <wp:anchor distT="0" distB="0" distL="114300" distR="114300" simplePos="0" relativeHeight="251762688" behindDoc="1" locked="0" layoutInCell="1" allowOverlap="1" wp14:anchorId="2A497BF5" wp14:editId="60253B32">
              <wp:simplePos x="0" y="0"/>
              <wp:positionH relativeFrom="page">
                <wp:posOffset>622935</wp:posOffset>
              </wp:positionH>
              <wp:positionV relativeFrom="page">
                <wp:posOffset>418465</wp:posOffset>
              </wp:positionV>
              <wp:extent cx="4358640" cy="0"/>
              <wp:effectExtent l="0" t="0" r="0" b="0"/>
              <wp:wrapNone/>
              <wp:docPr id="401" name="Shape 40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092938D" id="_x0000_t32" coordsize="21600,21600" o:spt="32" o:oned="t" path="m,l21600,21600e" filled="f">
              <v:path arrowok="t" fillok="f" o:connecttype="none"/>
              <o:lock v:ext="edit" shapetype="t"/>
            </v:shapetype>
            <v:shape id="Shape 401" o:spid="_x0000_s1026" type="#_x0000_t32" style="position:absolute;margin-left:49.05pt;margin-top:32.95pt;width:343.2pt;height:0;z-index:-2515537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" strokeweight="1pt">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53632" w14:textId="77777777" w:rsidR="0072615D" w:rsidRDefault="0072615D">
    <w:pPr>
      <w:spacing w:line="1" w:lineRule="exact"/>
    </w:pPr>
    <w:r>
      <w:rPr>
        <w:noProof/>
      </w:rPr>
      <mc:AlternateContent>
        <mc:Choice Requires="wps">
          <w:drawing>
            <wp:anchor distT="0" distB="0" distL="0" distR="0" simplePos="0" relativeHeight="251907072" behindDoc="1" locked="0" layoutInCell="1" allowOverlap="1" wp14:anchorId="0F5CDB29" wp14:editId="7850803E">
              <wp:simplePos x="0" y="0"/>
              <wp:positionH relativeFrom="page">
                <wp:posOffset>647700</wp:posOffset>
              </wp:positionH>
              <wp:positionV relativeFrom="page">
                <wp:posOffset>295275</wp:posOffset>
              </wp:positionV>
              <wp:extent cx="3806825" cy="85090"/>
              <wp:effectExtent l="0" t="0" r="0" b="0"/>
              <wp:wrapNone/>
              <wp:docPr id="396" name="Shape 396"/>
              <wp:cNvGraphicFramePr/>
              <a:graphic xmlns:a="http://schemas.openxmlformats.org/drawingml/2006/main">
                <a:graphicData uri="http://schemas.microsoft.com/office/word/2010/wordprocessingShape">
                  <wps:wsp>
                    <wps:cNvSpPr txBox="1"/>
                    <wps:spPr>
                      <a:xfrm>
                        <a:off x="0" y="0"/>
                        <a:ext cx="3806825" cy="85090"/>
                      </a:xfrm>
                      <a:prstGeom prst="rect">
                        <a:avLst/>
                      </a:prstGeom>
                      <a:noFill/>
                    </wps:spPr>
                    <wps:txbx>
                      <w:txbxContent>
                        <w:p w14:paraId="2EF1D1B8" w14:textId="77777777" w:rsidR="0072615D" w:rsidRDefault="0072615D">
                          <w:pPr>
                            <w:pStyle w:val="Headerorfooter0"/>
                            <w:tabs>
                              <w:tab w:val="right" w:pos="5995"/>
                            </w:tabs>
                          </w:pPr>
                          <w:r>
                            <w:rPr>
                              <w:sz w:val="16"/>
                              <w:szCs w:val="16"/>
                            </w:rPr>
                            <w:t>190</w:t>
                          </w:r>
                          <w:r>
                            <w:rPr>
                              <w:sz w:val="16"/>
                              <w:szCs w:val="16"/>
                            </w:rPr>
                            <w:tab/>
                          </w:r>
                          <w:r>
                            <w:t>VALORACIÓN MÉDICA INICIAL EN BUSCA DE ENFERMEDADES INFECCIOSAS</w:t>
                          </w:r>
                        </w:p>
                      </w:txbxContent>
                    </wps:txbx>
                    <wps:bodyPr lIns="0" tIns="0" rIns="0" bIns="0">
                      <a:spAutoFit/>
                    </wps:bodyPr>
                  </wps:wsp>
                </a:graphicData>
              </a:graphic>
            </wp:anchor>
          </w:drawing>
        </mc:Choice>
        <mc:Fallback>
          <w:pict>
            <v:shapetype w14:anchorId="0F5CDB29" id="_x0000_t202" coordsize="21600,21600" o:spt="202" path="m,l,21600r21600,l21600,xe">
              <v:stroke joinstyle="miter"/>
              <v:path gradientshapeok="t" o:connecttype="rect"/>
            </v:shapetype>
            <v:shape id="Shape 396" o:spid="_x0000_s1176" type="#_x0000_t202" style="position:absolute;margin-left:51pt;margin-top:23.25pt;width:299.75pt;height:6.7pt;z-index:-2514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" filled="f" stroked="f">
              <v:textbox style="mso-fit-shape-to-text:t" inset="0,0,0,0">
                <w:txbxContent>
                  <w:p w14:paraId="2EF1D1B8" w14:textId="77777777" w:rsidR="0072615D" w:rsidRDefault="0072615D">
                    <w:pPr>
                      <w:pStyle w:val="Headerorfooter0"/>
                      <w:tabs>
                        <w:tab w:val="right" w:pos="5995"/>
                      </w:tabs>
                    </w:pPr>
                    <w:r>
                      <w:rPr>
                        <w:sz w:val="16"/>
                        <w:szCs w:val="16"/>
                      </w:rPr>
                      <w:t>190</w:t>
                    </w:r>
                    <w:r>
                      <w:rPr>
                        <w:sz w:val="16"/>
                        <w:szCs w:val="16"/>
                      </w:rPr>
                      <w:tab/>
                    </w:r>
                    <w:r>
                      <w:t>VALORACIÓN MÉDICA INICIAL EN BUSCA DE ENFERMEDADES INFECCIOSAS</w:t>
                    </w:r>
                  </w:p>
                </w:txbxContent>
              </v:textbox>
              <w10:wrap anchorx="page" anchory="page"/>
            </v:shape>
          </w:pict>
        </mc:Fallback>
      </mc:AlternateContent>
    </w:r>
    <w:r>
      <w:rPr>
        <w:noProof/>
      </w:rPr>
      <mc:AlternateContent>
        <mc:Choice Requires="wps">
          <w:drawing>
            <wp:anchor distT="0" distB="0" distL="114300" distR="114300" simplePos="0" relativeHeight="251761664" behindDoc="1" locked="0" layoutInCell="1" allowOverlap="1" wp14:anchorId="4354CE3F" wp14:editId="27792D51">
              <wp:simplePos x="0" y="0"/>
              <wp:positionH relativeFrom="page">
                <wp:posOffset>622935</wp:posOffset>
              </wp:positionH>
              <wp:positionV relativeFrom="page">
                <wp:posOffset>418465</wp:posOffset>
              </wp:positionV>
              <wp:extent cx="4358640" cy="0"/>
              <wp:effectExtent l="0" t="0" r="0" b="0"/>
              <wp:wrapNone/>
              <wp:docPr id="398" name="Shape 39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5F3F98E" id="_x0000_t32" coordsize="21600,21600" o:spt="32" o:oned="t" path="m,l21600,21600e" filled="f">
              <v:path arrowok="t" fillok="f" o:connecttype="none"/>
              <o:lock v:ext="edit" shapetype="t"/>
            </v:shapetype>
            <v:shape id="Shape 398" o:spid="_x0000_s1026" type="#_x0000_t32" style="position:absolute;margin-left:49.05pt;margin-top:32.95pt;width:343.2pt;height:0;z-index:-2515548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" strokeweight="1pt">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DE08" w14:textId="77777777" w:rsidR="0072615D" w:rsidRDefault="0072615D">
    <w:pPr>
      <w:spacing w:line="1" w:lineRule="exact"/>
    </w:pPr>
    <w:r>
      <w:rPr>
        <w:noProof/>
      </w:rPr>
      <mc:AlternateContent>
        <mc:Choice Requires="wps">
          <w:drawing>
            <wp:anchor distT="0" distB="0" distL="0" distR="0" simplePos="0" relativeHeight="251910144" behindDoc="1" locked="0" layoutInCell="1" allowOverlap="1" wp14:anchorId="6ECC3B83" wp14:editId="2C140E8C">
              <wp:simplePos x="0" y="0"/>
              <wp:positionH relativeFrom="page">
                <wp:posOffset>1155065</wp:posOffset>
              </wp:positionH>
              <wp:positionV relativeFrom="page">
                <wp:posOffset>295275</wp:posOffset>
              </wp:positionV>
              <wp:extent cx="3797935" cy="85090"/>
              <wp:effectExtent l="0" t="0" r="0" b="0"/>
              <wp:wrapNone/>
              <wp:docPr id="405" name="Shape 405"/>
              <wp:cNvGraphicFramePr/>
              <a:graphic xmlns:a="http://schemas.openxmlformats.org/drawingml/2006/main">
                <a:graphicData uri="http://schemas.microsoft.com/office/word/2010/wordprocessingShape">
                  <wps:wsp>
                    <wps:cNvSpPr txBox="1"/>
                    <wps:spPr>
                      <a:xfrm>
                        <a:off x="0" y="0"/>
                        <a:ext cx="3797935" cy="85090"/>
                      </a:xfrm>
                      <a:prstGeom prst="rect">
                        <a:avLst/>
                      </a:prstGeom>
                      <a:noFill/>
                    </wps:spPr>
                    <wps:txbx>
                      <w:txbxContent>
                        <w:p w14:paraId="49BDCF1E" w14:textId="77777777" w:rsidR="0072615D" w:rsidRDefault="0072615D">
                          <w:pPr>
                            <w:pStyle w:val="Headerorfooter0"/>
                            <w:tabs>
                              <w:tab w:val="right" w:pos="5981"/>
                            </w:tabs>
                            <w:rPr>
                              <w:sz w:val="16"/>
                              <w:szCs w:val="16"/>
                            </w:rPr>
                          </w:pPr>
                          <w:r>
                            <w:t>VALORACIÓN MÉDICA INICIAL EN BUSCA DE ENFERMEDADES INFECCIOSAS</w:t>
                          </w:r>
                          <w:r>
                            <w:tab/>
                          </w:r>
                          <w:r>
                            <w:rPr>
                              <w:sz w:val="16"/>
                              <w:szCs w:val="16"/>
                            </w:rPr>
                            <w:t>191</w:t>
                          </w:r>
                        </w:p>
                      </w:txbxContent>
                    </wps:txbx>
                    <wps:bodyPr lIns="0" tIns="0" rIns="0" bIns="0">
                      <a:spAutoFit/>
                    </wps:bodyPr>
                  </wps:wsp>
                </a:graphicData>
              </a:graphic>
            </wp:anchor>
          </w:drawing>
        </mc:Choice>
        <mc:Fallback>
          <w:pict>
            <v:shapetype w14:anchorId="6ECC3B83" id="_x0000_t202" coordsize="21600,21600" o:spt="202" path="m,l,21600r21600,l21600,xe">
              <v:stroke joinstyle="miter"/>
              <v:path gradientshapeok="t" o:connecttype="rect"/>
            </v:shapetype>
            <v:shape id="Shape 405" o:spid="_x0000_s1177" type="#_x0000_t202" style="position:absolute;margin-left:90.95pt;margin-top:23.25pt;width:299.05pt;height:6.7pt;z-index:-2514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" filled="f" stroked="f">
              <v:textbox style="mso-fit-shape-to-text:t" inset="0,0,0,0">
                <w:txbxContent>
                  <w:p w14:paraId="49BDCF1E" w14:textId="77777777" w:rsidR="0072615D" w:rsidRDefault="0072615D">
                    <w:pPr>
                      <w:pStyle w:val="Headerorfooter0"/>
                      <w:tabs>
                        <w:tab w:val="right" w:pos="5981"/>
                      </w:tabs>
                      <w:rPr>
                        <w:sz w:val="16"/>
                        <w:szCs w:val="16"/>
                      </w:rPr>
                    </w:pPr>
                    <w:r>
                      <w:t>VALORACIÓN MÉDICA INICIAL EN BUSCA DE ENFERMEDADES INFECCIOSAS</w:t>
                    </w:r>
                    <w:r>
                      <w:tab/>
                    </w:r>
                    <w:r>
                      <w:rPr>
                        <w:sz w:val="16"/>
                        <w:szCs w:val="16"/>
                      </w:rPr>
                      <w:t>191</w:t>
                    </w:r>
                  </w:p>
                </w:txbxContent>
              </v:textbox>
              <w10:wrap anchorx="page" anchory="page"/>
            </v:shape>
          </w:pict>
        </mc:Fallback>
      </mc:AlternateContent>
    </w:r>
    <w:r>
      <w:rPr>
        <w:noProof/>
      </w:rPr>
      <mc:AlternateContent>
        <mc:Choice Requires="wps">
          <w:drawing>
            <wp:anchor distT="0" distB="0" distL="114300" distR="114300" simplePos="0" relativeHeight="251764736" behindDoc="1" locked="0" layoutInCell="1" allowOverlap="1" wp14:anchorId="187ED160" wp14:editId="54331269">
              <wp:simplePos x="0" y="0"/>
              <wp:positionH relativeFrom="page">
                <wp:posOffset>630555</wp:posOffset>
              </wp:positionH>
              <wp:positionV relativeFrom="page">
                <wp:posOffset>418465</wp:posOffset>
              </wp:positionV>
              <wp:extent cx="4358640" cy="0"/>
              <wp:effectExtent l="0" t="0" r="0" b="0"/>
              <wp:wrapNone/>
              <wp:docPr id="407" name="Shape 40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5CF1630" id="_x0000_t32" coordsize="21600,21600" o:spt="32" o:oned="t" path="m,l21600,21600e" filled="f">
              <v:path arrowok="t" fillok="f" o:connecttype="none"/>
              <o:lock v:ext="edit" shapetype="t"/>
            </v:shapetype>
            <v:shape id="Shape 407" o:spid="_x0000_s1026" type="#_x0000_t32" style="position:absolute;margin-left:49.65pt;margin-top:32.95pt;width:343.2pt;height:0;z-index:-2515517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" strokeweight="1pt">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7444" w14:textId="77777777" w:rsidR="0072615D" w:rsidRDefault="0072615D">
    <w:pPr>
      <w:spacing w:line="1" w:lineRule="exact"/>
    </w:pPr>
    <w:r>
      <w:rPr>
        <w:noProof/>
      </w:rPr>
      <mc:AlternateContent>
        <mc:Choice Requires="wps">
          <w:drawing>
            <wp:anchor distT="0" distB="0" distL="0" distR="0" simplePos="0" relativeHeight="251909120" behindDoc="1" locked="0" layoutInCell="1" allowOverlap="1" wp14:anchorId="46562B5F" wp14:editId="72CAC48F">
              <wp:simplePos x="0" y="0"/>
              <wp:positionH relativeFrom="page">
                <wp:posOffset>647700</wp:posOffset>
              </wp:positionH>
              <wp:positionV relativeFrom="page">
                <wp:posOffset>295275</wp:posOffset>
              </wp:positionV>
              <wp:extent cx="3806825" cy="85090"/>
              <wp:effectExtent l="0" t="0" r="0" b="0"/>
              <wp:wrapNone/>
              <wp:docPr id="402" name="Shape 402"/>
              <wp:cNvGraphicFramePr/>
              <a:graphic xmlns:a="http://schemas.openxmlformats.org/drawingml/2006/main">
                <a:graphicData uri="http://schemas.microsoft.com/office/word/2010/wordprocessingShape">
                  <wps:wsp>
                    <wps:cNvSpPr txBox="1"/>
                    <wps:spPr>
                      <a:xfrm>
                        <a:off x="0" y="0"/>
                        <a:ext cx="3806825" cy="85090"/>
                      </a:xfrm>
                      <a:prstGeom prst="rect">
                        <a:avLst/>
                      </a:prstGeom>
                      <a:noFill/>
                    </wps:spPr>
                    <wps:txbx>
                      <w:txbxContent>
                        <w:p w14:paraId="7E57ACB2" w14:textId="77777777" w:rsidR="0072615D" w:rsidRDefault="0072615D">
                          <w:pPr>
                            <w:pStyle w:val="Headerorfooter0"/>
                            <w:tabs>
                              <w:tab w:val="right" w:pos="5995"/>
                            </w:tabs>
                          </w:pPr>
                          <w:r>
                            <w:rPr>
                              <w:sz w:val="16"/>
                              <w:szCs w:val="16"/>
                            </w:rPr>
                            <w:t>190</w:t>
                          </w:r>
                          <w:r>
                            <w:rPr>
                              <w:sz w:val="16"/>
                              <w:szCs w:val="16"/>
                            </w:rPr>
                            <w:tab/>
                          </w:r>
                          <w:r>
                            <w:t>VALORACIÓN MÉDICA INICIAL EN BUSCA DE ENFERMEDADES INFECCIOSAS</w:t>
                          </w:r>
                        </w:p>
                      </w:txbxContent>
                    </wps:txbx>
                    <wps:bodyPr lIns="0" tIns="0" rIns="0" bIns="0">
                      <a:spAutoFit/>
                    </wps:bodyPr>
                  </wps:wsp>
                </a:graphicData>
              </a:graphic>
            </wp:anchor>
          </w:drawing>
        </mc:Choice>
        <mc:Fallback>
          <w:pict>
            <v:shapetype w14:anchorId="46562B5F" id="_x0000_t202" coordsize="21600,21600" o:spt="202" path="m,l,21600r21600,l21600,xe">
              <v:stroke joinstyle="miter"/>
              <v:path gradientshapeok="t" o:connecttype="rect"/>
            </v:shapetype>
            <v:shape id="Shape 402" o:spid="_x0000_s1178" type="#_x0000_t202" style="position:absolute;margin-left:51pt;margin-top:23.25pt;width:299.75pt;height:6.7pt;z-index:-2514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" filled="f" stroked="f">
              <v:textbox style="mso-fit-shape-to-text:t" inset="0,0,0,0">
                <w:txbxContent>
                  <w:p w14:paraId="7E57ACB2" w14:textId="77777777" w:rsidR="0072615D" w:rsidRDefault="0072615D">
                    <w:pPr>
                      <w:pStyle w:val="Headerorfooter0"/>
                      <w:tabs>
                        <w:tab w:val="right" w:pos="5995"/>
                      </w:tabs>
                    </w:pPr>
                    <w:r>
                      <w:rPr>
                        <w:sz w:val="16"/>
                        <w:szCs w:val="16"/>
                      </w:rPr>
                      <w:t>190</w:t>
                    </w:r>
                    <w:r>
                      <w:rPr>
                        <w:sz w:val="16"/>
                        <w:szCs w:val="16"/>
                      </w:rPr>
                      <w:tab/>
                    </w:r>
                    <w:r>
                      <w:t>VALORACIÓN MÉDICA INICIAL EN BUSCA DE ENFERMEDADES INFECCIOSAS</w:t>
                    </w:r>
                  </w:p>
                </w:txbxContent>
              </v:textbox>
              <w10:wrap anchorx="page" anchory="page"/>
            </v:shape>
          </w:pict>
        </mc:Fallback>
      </mc:AlternateContent>
    </w:r>
    <w:r>
      <w:rPr>
        <w:noProof/>
      </w:rPr>
      <mc:AlternateContent>
        <mc:Choice Requires="wps">
          <w:drawing>
            <wp:anchor distT="0" distB="0" distL="114300" distR="114300" simplePos="0" relativeHeight="251763712" behindDoc="1" locked="0" layoutInCell="1" allowOverlap="1" wp14:anchorId="67E3951D" wp14:editId="20DC5A6B">
              <wp:simplePos x="0" y="0"/>
              <wp:positionH relativeFrom="page">
                <wp:posOffset>622935</wp:posOffset>
              </wp:positionH>
              <wp:positionV relativeFrom="page">
                <wp:posOffset>418465</wp:posOffset>
              </wp:positionV>
              <wp:extent cx="4358640" cy="0"/>
              <wp:effectExtent l="0" t="0" r="0" b="0"/>
              <wp:wrapNone/>
              <wp:docPr id="404" name="Shape 40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138766D" id="_x0000_t32" coordsize="21600,21600" o:spt="32" o:oned="t" path="m,l21600,21600e" filled="f">
              <v:path arrowok="t" fillok="f" o:connecttype="none"/>
              <o:lock v:ext="edit" shapetype="t"/>
            </v:shapetype>
            <v:shape id="Shape 404" o:spid="_x0000_s1026" type="#_x0000_t32" style="position:absolute;margin-left:49.05pt;margin-top:32.95pt;width:343.2pt;height:0;z-index:-2515527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" strokeweight="1pt">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E1D7" w14:textId="77777777" w:rsidR="0072615D" w:rsidRDefault="0072615D"/>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3F918" w14:textId="77777777" w:rsidR="0072615D" w:rsidRDefault="0072615D"/>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4D21" w14:textId="77777777" w:rsidR="0072615D" w:rsidRDefault="0072615D"/>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991A" w14:textId="77777777" w:rsidR="0072615D" w:rsidRDefault="0072615D"/>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C14B" w14:textId="77777777" w:rsidR="0072615D" w:rsidRDefault="0072615D">
    <w:pPr>
      <w:spacing w:line="1" w:lineRule="exact"/>
    </w:pPr>
    <w:r>
      <w:rPr>
        <w:noProof/>
      </w:rPr>
      <mc:AlternateContent>
        <mc:Choice Requires="wps">
          <w:drawing>
            <wp:anchor distT="0" distB="0" distL="0" distR="0" simplePos="0" relativeHeight="251914240" behindDoc="1" locked="0" layoutInCell="1" allowOverlap="1" wp14:anchorId="375C3616" wp14:editId="6793BB23">
              <wp:simplePos x="0" y="0"/>
              <wp:positionH relativeFrom="page">
                <wp:posOffset>629920</wp:posOffset>
              </wp:positionH>
              <wp:positionV relativeFrom="page">
                <wp:posOffset>311150</wp:posOffset>
              </wp:positionV>
              <wp:extent cx="3429000" cy="69850"/>
              <wp:effectExtent l="0" t="0" r="0" b="0"/>
              <wp:wrapNone/>
              <wp:docPr id="415" name="Shape 415"/>
              <wp:cNvGraphicFramePr/>
              <a:graphic xmlns:a="http://schemas.openxmlformats.org/drawingml/2006/main">
                <a:graphicData uri="http://schemas.microsoft.com/office/word/2010/wordprocessingShape">
                  <wps:wsp>
                    <wps:cNvSpPr txBox="1"/>
                    <wps:spPr>
                      <a:xfrm>
                        <a:off x="0" y="0"/>
                        <a:ext cx="3429000" cy="69850"/>
                      </a:xfrm>
                      <a:prstGeom prst="rect">
                        <a:avLst/>
                      </a:prstGeom>
                      <a:noFill/>
                    </wps:spPr>
                    <wps:txbx>
                      <w:txbxContent>
                        <w:p w14:paraId="5DFD2C74" w14:textId="77777777" w:rsidR="0072615D" w:rsidRDefault="0072615D">
                          <w:pPr>
                            <w:pStyle w:val="Headerorfooter0"/>
                            <w:tabs>
                              <w:tab w:val="right" w:pos="5400"/>
                            </w:tabs>
                          </w:pPr>
                          <w:r>
                            <w:rPr>
                              <w:sz w:val="16"/>
                              <w:szCs w:val="16"/>
                            </w:rPr>
                            <w:t>200</w:t>
                          </w:r>
                          <w:r>
                            <w:rPr>
                              <w:sz w:val="16"/>
                              <w:szCs w:val="16"/>
                            </w:rPr>
                            <w:tab/>
                          </w:r>
                          <w:r>
                            <w:t>LESIONES POR AGUJAS DESECHADAS EN LA COMUNIDAD</w:t>
                          </w:r>
                        </w:p>
                      </w:txbxContent>
                    </wps:txbx>
                    <wps:bodyPr lIns="0" tIns="0" rIns="0" bIns="0">
                      <a:spAutoFit/>
                    </wps:bodyPr>
                  </wps:wsp>
                </a:graphicData>
              </a:graphic>
            </wp:anchor>
          </w:drawing>
        </mc:Choice>
        <mc:Fallback>
          <w:pict>
            <v:shapetype w14:anchorId="375C3616" id="_x0000_t202" coordsize="21600,21600" o:spt="202" path="m,l,21600r21600,l21600,xe">
              <v:stroke joinstyle="miter"/>
              <v:path gradientshapeok="t" o:connecttype="rect"/>
            </v:shapetype>
            <v:shape id="Shape 415" o:spid="_x0000_s1181" type="#_x0000_t202" style="position:absolute;margin-left:49.6pt;margin-top:24.5pt;width:270pt;height:5.5pt;z-index:-2514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" filled="f" stroked="f">
              <v:textbox style="mso-fit-shape-to-text:t" inset="0,0,0,0">
                <w:txbxContent>
                  <w:p w14:paraId="5DFD2C74" w14:textId="77777777" w:rsidR="0072615D" w:rsidRDefault="0072615D">
                    <w:pPr>
                      <w:pStyle w:val="Headerorfooter0"/>
                      <w:tabs>
                        <w:tab w:val="right" w:pos="5400"/>
                      </w:tabs>
                    </w:pPr>
                    <w:r>
                      <w:rPr>
                        <w:sz w:val="16"/>
                        <w:szCs w:val="16"/>
                      </w:rPr>
                      <w:t>200</w:t>
                    </w:r>
                    <w:r>
                      <w:rPr>
                        <w:sz w:val="16"/>
                        <w:szCs w:val="16"/>
                      </w:rPr>
                      <w:tab/>
                    </w:r>
                    <w:r>
                      <w:t>LESIONES POR AGUJAS DESECHADAS EN LA COMUNIDAD</w:t>
                    </w:r>
                  </w:p>
                </w:txbxContent>
              </v:textbox>
              <w10:wrap anchorx="page" anchory="page"/>
            </v:shape>
          </w:pict>
        </mc:Fallback>
      </mc:AlternateContent>
    </w:r>
    <w:r>
      <w:rPr>
        <w:noProof/>
      </w:rPr>
      <mc:AlternateContent>
        <mc:Choice Requires="wps">
          <w:drawing>
            <wp:anchor distT="0" distB="0" distL="114300" distR="114300" simplePos="0" relativeHeight="251766784" behindDoc="1" locked="0" layoutInCell="1" allowOverlap="1" wp14:anchorId="297F230E" wp14:editId="0D7094CC">
              <wp:simplePos x="0" y="0"/>
              <wp:positionH relativeFrom="page">
                <wp:posOffset>614680</wp:posOffset>
              </wp:positionH>
              <wp:positionV relativeFrom="page">
                <wp:posOffset>419100</wp:posOffset>
              </wp:positionV>
              <wp:extent cx="4358640" cy="0"/>
              <wp:effectExtent l="0" t="0" r="0" b="0"/>
              <wp:wrapNone/>
              <wp:docPr id="417" name="Shape 41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AA7B0B8" id="_x0000_t32" coordsize="21600,21600" o:spt="32" o:oned="t" path="m,l21600,21600e" filled="f">
              <v:path arrowok="t" fillok="f" o:connecttype="none"/>
              <o:lock v:ext="edit" shapetype="t"/>
            </v:shapetype>
            <v:shape id="Shape 417" o:spid="_x0000_s1026" type="#_x0000_t32" style="position:absolute;margin-left:48.4pt;margin-top:33pt;width:343.2pt;height:0;z-index:-2515496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" strokeweight="1pt">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E3CC0" w14:textId="77777777" w:rsidR="0072615D" w:rsidRDefault="0072615D">
    <w:pPr>
      <w:spacing w:line="1" w:lineRule="exact"/>
    </w:pPr>
    <w:r>
      <w:rPr>
        <w:noProof/>
      </w:rPr>
      <mc:AlternateContent>
        <mc:Choice Requires="wps">
          <w:drawing>
            <wp:anchor distT="0" distB="0" distL="0" distR="0" simplePos="0" relativeHeight="251913216" behindDoc="1" locked="0" layoutInCell="1" allowOverlap="1" wp14:anchorId="33091F3E" wp14:editId="00004BCB">
              <wp:simplePos x="0" y="0"/>
              <wp:positionH relativeFrom="page">
                <wp:posOffset>629920</wp:posOffset>
              </wp:positionH>
              <wp:positionV relativeFrom="page">
                <wp:posOffset>311150</wp:posOffset>
              </wp:positionV>
              <wp:extent cx="3429000" cy="69850"/>
              <wp:effectExtent l="0" t="0" r="0" b="0"/>
              <wp:wrapNone/>
              <wp:docPr id="412" name="Shape 412"/>
              <wp:cNvGraphicFramePr/>
              <a:graphic xmlns:a="http://schemas.openxmlformats.org/drawingml/2006/main">
                <a:graphicData uri="http://schemas.microsoft.com/office/word/2010/wordprocessingShape">
                  <wps:wsp>
                    <wps:cNvSpPr txBox="1"/>
                    <wps:spPr>
                      <a:xfrm>
                        <a:off x="0" y="0"/>
                        <a:ext cx="3429000" cy="69850"/>
                      </a:xfrm>
                      <a:prstGeom prst="rect">
                        <a:avLst/>
                      </a:prstGeom>
                      <a:noFill/>
                    </wps:spPr>
                    <wps:txbx>
                      <w:txbxContent>
                        <w:p w14:paraId="7ABD8F28" w14:textId="77777777" w:rsidR="0072615D" w:rsidRDefault="0072615D">
                          <w:pPr>
                            <w:pStyle w:val="Headerorfooter0"/>
                            <w:tabs>
                              <w:tab w:val="right" w:pos="5400"/>
                            </w:tabs>
                          </w:pPr>
                          <w:r>
                            <w:rPr>
                              <w:sz w:val="16"/>
                              <w:szCs w:val="16"/>
                            </w:rPr>
                            <w:t>200</w:t>
                          </w:r>
                          <w:r>
                            <w:rPr>
                              <w:sz w:val="16"/>
                              <w:szCs w:val="16"/>
                            </w:rPr>
                            <w:tab/>
                          </w:r>
                          <w:r>
                            <w:t>LESIONES POR AGUJAS DESECHADAS EN LA COMUNIDAD</w:t>
                          </w:r>
                        </w:p>
                      </w:txbxContent>
                    </wps:txbx>
                    <wps:bodyPr lIns="0" tIns="0" rIns="0" bIns="0">
                      <a:spAutoFit/>
                    </wps:bodyPr>
                  </wps:wsp>
                </a:graphicData>
              </a:graphic>
            </wp:anchor>
          </w:drawing>
        </mc:Choice>
        <mc:Fallback>
          <w:pict>
            <v:shapetype w14:anchorId="33091F3E" id="_x0000_t202" coordsize="21600,21600" o:spt="202" path="m,l,21600r21600,l21600,xe">
              <v:stroke joinstyle="miter"/>
              <v:path gradientshapeok="t" o:connecttype="rect"/>
            </v:shapetype>
            <v:shape id="Shape 412" o:spid="_x0000_s1182" type="#_x0000_t202" style="position:absolute;margin-left:49.6pt;margin-top:24.5pt;width:270pt;height:5.5pt;z-index:-2514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" filled="f" stroked="f">
              <v:textbox style="mso-fit-shape-to-text:t" inset="0,0,0,0">
                <w:txbxContent>
                  <w:p w14:paraId="7ABD8F28" w14:textId="77777777" w:rsidR="0072615D" w:rsidRDefault="0072615D">
                    <w:pPr>
                      <w:pStyle w:val="Headerorfooter0"/>
                      <w:tabs>
                        <w:tab w:val="right" w:pos="5400"/>
                      </w:tabs>
                    </w:pPr>
                    <w:r>
                      <w:rPr>
                        <w:sz w:val="16"/>
                        <w:szCs w:val="16"/>
                      </w:rPr>
                      <w:t>200</w:t>
                    </w:r>
                    <w:r>
                      <w:rPr>
                        <w:sz w:val="16"/>
                        <w:szCs w:val="16"/>
                      </w:rPr>
                      <w:tab/>
                    </w:r>
                    <w:r>
                      <w:t>LESIONES POR AGUJAS DESECHADAS EN LA COMUNIDAD</w:t>
                    </w:r>
                  </w:p>
                </w:txbxContent>
              </v:textbox>
              <w10:wrap anchorx="page" anchory="page"/>
            </v:shape>
          </w:pict>
        </mc:Fallback>
      </mc:AlternateContent>
    </w:r>
    <w:r>
      <w:rPr>
        <w:noProof/>
      </w:rPr>
      <mc:AlternateContent>
        <mc:Choice Requires="wps">
          <w:drawing>
            <wp:anchor distT="0" distB="0" distL="114300" distR="114300" simplePos="0" relativeHeight="251765760" behindDoc="1" locked="0" layoutInCell="1" allowOverlap="1" wp14:anchorId="26685C0D" wp14:editId="0CA02622">
              <wp:simplePos x="0" y="0"/>
              <wp:positionH relativeFrom="page">
                <wp:posOffset>614680</wp:posOffset>
              </wp:positionH>
              <wp:positionV relativeFrom="page">
                <wp:posOffset>419100</wp:posOffset>
              </wp:positionV>
              <wp:extent cx="4358640" cy="0"/>
              <wp:effectExtent l="0" t="0" r="0" b="0"/>
              <wp:wrapNone/>
              <wp:docPr id="414" name="Shape 41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D0E8FA0" id="_x0000_t32" coordsize="21600,21600" o:spt="32" o:oned="t" path="m,l21600,21600e" filled="f">
              <v:path arrowok="t" fillok="f" o:connecttype="none"/>
              <o:lock v:ext="edit" shapetype="t"/>
            </v:shapetype>
            <v:shape id="Shape 414" o:spid="_x0000_s1026" type="#_x0000_t32" style="position:absolute;margin-left:48.4pt;margin-top:33pt;width:343.2pt;height:0;z-index:-2515507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" strokeweight="1pt">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88B2" w14:textId="77777777" w:rsidR="0072615D" w:rsidRDefault="0072615D">
    <w:pPr>
      <w:spacing w:line="1" w:lineRule="exact"/>
    </w:pPr>
    <w:r>
      <w:rPr>
        <w:noProof/>
      </w:rPr>
      <mc:AlternateContent>
        <mc:Choice Requires="wps">
          <w:drawing>
            <wp:anchor distT="0" distB="0" distL="0" distR="0" simplePos="0" relativeHeight="251915264" behindDoc="1" locked="0" layoutInCell="1" allowOverlap="1" wp14:anchorId="76E3AB95" wp14:editId="173A6D0A">
              <wp:simplePos x="0" y="0"/>
              <wp:positionH relativeFrom="page">
                <wp:posOffset>1545590</wp:posOffset>
              </wp:positionH>
              <wp:positionV relativeFrom="page">
                <wp:posOffset>311150</wp:posOffset>
              </wp:positionV>
              <wp:extent cx="3422650" cy="69850"/>
              <wp:effectExtent l="0" t="0" r="0" b="0"/>
              <wp:wrapNone/>
              <wp:docPr id="418" name="Shape 418"/>
              <wp:cNvGraphicFramePr/>
              <a:graphic xmlns:a="http://schemas.openxmlformats.org/drawingml/2006/main">
                <a:graphicData uri="http://schemas.microsoft.com/office/word/2010/wordprocessingShape">
                  <wps:wsp>
                    <wps:cNvSpPr txBox="1"/>
                    <wps:spPr>
                      <a:xfrm>
                        <a:off x="0" y="0"/>
                        <a:ext cx="3422650" cy="69850"/>
                      </a:xfrm>
                      <a:prstGeom prst="rect">
                        <a:avLst/>
                      </a:prstGeom>
                      <a:noFill/>
                    </wps:spPr>
                    <wps:txbx>
                      <w:txbxContent>
                        <w:p w14:paraId="41AD9330" w14:textId="77777777" w:rsidR="0072615D" w:rsidRDefault="0072615D">
                          <w:pPr>
                            <w:pStyle w:val="Headerorfooter0"/>
                            <w:tabs>
                              <w:tab w:val="right" w:pos="5390"/>
                            </w:tabs>
                            <w:rPr>
                              <w:sz w:val="16"/>
                              <w:szCs w:val="16"/>
                            </w:rPr>
                          </w:pPr>
                          <w:r>
                            <w:t>LESIONES POR AGUJAS DESECHADAS EN LA COMUNIDAD</w:t>
                          </w:r>
                          <w:r>
                            <w:tab/>
                          </w:r>
                          <w:r>
                            <w:rPr>
                              <w:sz w:val="16"/>
                              <w:szCs w:val="16"/>
                            </w:rPr>
                            <w:t>199</w:t>
                          </w:r>
                        </w:p>
                      </w:txbxContent>
                    </wps:txbx>
                    <wps:bodyPr lIns="0" tIns="0" rIns="0" bIns="0">
                      <a:spAutoFit/>
                    </wps:bodyPr>
                  </wps:wsp>
                </a:graphicData>
              </a:graphic>
            </wp:anchor>
          </w:drawing>
        </mc:Choice>
        <mc:Fallback>
          <w:pict>
            <v:shapetype w14:anchorId="76E3AB95" id="_x0000_t202" coordsize="21600,21600" o:spt="202" path="m,l,21600r21600,l21600,xe">
              <v:stroke joinstyle="miter"/>
              <v:path gradientshapeok="t" o:connecttype="rect"/>
            </v:shapetype>
            <v:shape id="Shape 418" o:spid="_x0000_s1183" type="#_x0000_t202" style="position:absolute;margin-left:121.7pt;margin-top:24.5pt;width:269.5pt;height:5.5pt;z-index:-2514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" filled="f" stroked="f">
              <v:textbox style="mso-fit-shape-to-text:t" inset="0,0,0,0">
                <w:txbxContent>
                  <w:p w14:paraId="41AD9330" w14:textId="77777777" w:rsidR="0072615D" w:rsidRDefault="0072615D">
                    <w:pPr>
                      <w:pStyle w:val="Headerorfooter0"/>
                      <w:tabs>
                        <w:tab w:val="right" w:pos="5390"/>
                      </w:tabs>
                      <w:rPr>
                        <w:sz w:val="16"/>
                        <w:szCs w:val="16"/>
                      </w:rPr>
                    </w:pPr>
                    <w:r>
                      <w:t>LESIONES POR AGUJAS DESECHADAS EN LA COMUNIDAD</w:t>
                    </w:r>
                    <w:r>
                      <w:tab/>
                    </w:r>
                    <w:r>
                      <w:rPr>
                        <w:sz w:val="16"/>
                        <w:szCs w:val="16"/>
                      </w:rPr>
                      <w:t>199</w:t>
                    </w:r>
                  </w:p>
                </w:txbxContent>
              </v:textbox>
              <w10:wrap anchorx="page" anchory="page"/>
            </v:shape>
          </w:pict>
        </mc:Fallback>
      </mc:AlternateContent>
    </w:r>
    <w:r>
      <w:rPr>
        <w:noProof/>
      </w:rPr>
      <mc:AlternateContent>
        <mc:Choice Requires="wps">
          <w:drawing>
            <wp:anchor distT="0" distB="0" distL="114300" distR="114300" simplePos="0" relativeHeight="251767808" behindDoc="1" locked="0" layoutInCell="1" allowOverlap="1" wp14:anchorId="3775E07D" wp14:editId="4031FCAB">
              <wp:simplePos x="0" y="0"/>
              <wp:positionH relativeFrom="page">
                <wp:posOffset>631190</wp:posOffset>
              </wp:positionH>
              <wp:positionV relativeFrom="page">
                <wp:posOffset>419100</wp:posOffset>
              </wp:positionV>
              <wp:extent cx="4358640" cy="0"/>
              <wp:effectExtent l="0" t="0" r="0" b="0"/>
              <wp:wrapNone/>
              <wp:docPr id="420" name="Shape 42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45E73BF" id="_x0000_t32" coordsize="21600,21600" o:spt="32" o:oned="t" path="m,l21600,21600e" filled="f">
              <v:path arrowok="t" fillok="f" o:connecttype="none"/>
              <o:lock v:ext="edit" shapetype="t"/>
            </v:shapetype>
            <v:shape id="Shape 420" o:spid="_x0000_s1026" type="#_x0000_t32" style="position:absolute;margin-left:49.7pt;margin-top:33pt;width:343.2pt;height:0;z-index:-2515486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" strokeweight="1pt">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886E" w14:textId="77777777" w:rsidR="0072615D" w:rsidRDefault="0072615D">
    <w:pPr>
      <w:spacing w:line="1" w:lineRule="exact"/>
    </w:pPr>
    <w:r>
      <w:rPr>
        <w:noProof/>
      </w:rPr>
      <mc:AlternateContent>
        <mc:Choice Requires="wps">
          <w:drawing>
            <wp:anchor distT="0" distB="0" distL="0" distR="0" simplePos="0" relativeHeight="251917312" behindDoc="1" locked="0" layoutInCell="1" allowOverlap="1" wp14:anchorId="58B6FD1E" wp14:editId="7F194F4C">
              <wp:simplePos x="0" y="0"/>
              <wp:positionH relativeFrom="page">
                <wp:posOffset>2484755</wp:posOffset>
              </wp:positionH>
              <wp:positionV relativeFrom="page">
                <wp:posOffset>311150</wp:posOffset>
              </wp:positionV>
              <wp:extent cx="2459990" cy="69850"/>
              <wp:effectExtent l="0" t="0" r="0" b="0"/>
              <wp:wrapNone/>
              <wp:docPr id="424" name="Shape 424"/>
              <wp:cNvGraphicFramePr/>
              <a:graphic xmlns:a="http://schemas.openxmlformats.org/drawingml/2006/main">
                <a:graphicData uri="http://schemas.microsoft.com/office/word/2010/wordprocessingShape">
                  <wps:wsp>
                    <wps:cNvSpPr txBox="1"/>
                    <wps:spPr>
                      <a:xfrm>
                        <a:off x="0" y="0"/>
                        <a:ext cx="2459990" cy="69850"/>
                      </a:xfrm>
                      <a:prstGeom prst="rect">
                        <a:avLst/>
                      </a:prstGeom>
                      <a:noFill/>
                    </wps:spPr>
                    <wps:txbx>
                      <w:txbxContent>
                        <w:p w14:paraId="51186536" w14:textId="77777777" w:rsidR="0072615D" w:rsidRDefault="0072615D">
                          <w:pPr>
                            <w:pStyle w:val="Headerorfooter0"/>
                            <w:tabs>
                              <w:tab w:val="right" w:pos="3874"/>
                            </w:tabs>
                            <w:rPr>
                              <w:sz w:val="16"/>
                              <w:szCs w:val="16"/>
                            </w:rPr>
                          </w:pPr>
                          <w:r>
                            <w:t>MORDEDURAS</w:t>
                          </w:r>
                          <w:r>
                            <w:tab/>
                          </w:r>
                          <w:r>
                            <w:rPr>
                              <w:sz w:val="16"/>
                              <w:szCs w:val="16"/>
                            </w:rPr>
                            <w:t>201</w:t>
                          </w:r>
                        </w:p>
                      </w:txbxContent>
                    </wps:txbx>
                    <wps:bodyPr lIns="0" tIns="0" rIns="0" bIns="0">
                      <a:spAutoFit/>
                    </wps:bodyPr>
                  </wps:wsp>
                </a:graphicData>
              </a:graphic>
            </wp:anchor>
          </w:drawing>
        </mc:Choice>
        <mc:Fallback>
          <w:pict>
            <v:shapetype w14:anchorId="58B6FD1E" id="_x0000_t202" coordsize="21600,21600" o:spt="202" path="m,l,21600r21600,l21600,xe">
              <v:stroke joinstyle="miter"/>
              <v:path gradientshapeok="t" o:connecttype="rect"/>
            </v:shapetype>
            <v:shape id="Shape 424" o:spid="_x0000_s1184" type="#_x0000_t202" style="position:absolute;margin-left:195.65pt;margin-top:24.5pt;width:193.7pt;height:5.5pt;z-index:-25139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" filled="f" stroked="f">
              <v:textbox style="mso-fit-shape-to-text:t" inset="0,0,0,0">
                <w:txbxContent>
                  <w:p w14:paraId="51186536" w14:textId="77777777" w:rsidR="0072615D" w:rsidRDefault="0072615D">
                    <w:pPr>
                      <w:pStyle w:val="Headerorfooter0"/>
                      <w:tabs>
                        <w:tab w:val="right" w:pos="3874"/>
                      </w:tabs>
                      <w:rPr>
                        <w:sz w:val="16"/>
                        <w:szCs w:val="16"/>
                      </w:rPr>
                    </w:pPr>
                    <w:r>
                      <w:t>MORDEDURAS</w:t>
                    </w:r>
                    <w:r>
                      <w:tab/>
                    </w:r>
                    <w:r>
                      <w:rPr>
                        <w:sz w:val="16"/>
                        <w:szCs w:val="16"/>
                      </w:rPr>
                      <w:t>201</w:t>
                    </w:r>
                  </w:p>
                </w:txbxContent>
              </v:textbox>
              <w10:wrap anchorx="page" anchory="page"/>
            </v:shape>
          </w:pict>
        </mc:Fallback>
      </mc:AlternateContent>
    </w:r>
    <w:r>
      <w:rPr>
        <w:noProof/>
      </w:rPr>
      <mc:AlternateContent>
        <mc:Choice Requires="wps">
          <w:drawing>
            <wp:anchor distT="0" distB="0" distL="114300" distR="114300" simplePos="0" relativeHeight="251769856" behindDoc="1" locked="0" layoutInCell="1" allowOverlap="1" wp14:anchorId="090409ED" wp14:editId="7AFD918D">
              <wp:simplePos x="0" y="0"/>
              <wp:positionH relativeFrom="page">
                <wp:posOffset>622300</wp:posOffset>
              </wp:positionH>
              <wp:positionV relativeFrom="page">
                <wp:posOffset>419100</wp:posOffset>
              </wp:positionV>
              <wp:extent cx="4358640" cy="0"/>
              <wp:effectExtent l="0" t="0" r="0" b="0"/>
              <wp:wrapNone/>
              <wp:docPr id="426" name="Shape 42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211CD07" id="_x0000_t32" coordsize="21600,21600" o:spt="32" o:oned="t" path="m,l21600,21600e" filled="f">
              <v:path arrowok="t" fillok="f" o:connecttype="none"/>
              <o:lock v:ext="edit" shapetype="t"/>
            </v:shapetype>
            <v:shape id="Shape 426" o:spid="_x0000_s1026" type="#_x0000_t32" style="position:absolute;margin-left:49pt;margin-top:33pt;width:343.2pt;height:0;z-index:-2515466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" strokeweight="1pt">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7EF8" w14:textId="77777777" w:rsidR="0072615D" w:rsidRDefault="0072615D">
    <w:pPr>
      <w:spacing w:line="1" w:lineRule="exact"/>
    </w:pPr>
    <w:r>
      <w:rPr>
        <w:noProof/>
      </w:rPr>
      <mc:AlternateContent>
        <mc:Choice Requires="wps">
          <w:drawing>
            <wp:anchor distT="0" distB="0" distL="0" distR="0" simplePos="0" relativeHeight="251916288" behindDoc="1" locked="0" layoutInCell="1" allowOverlap="1" wp14:anchorId="6CC5C0DC" wp14:editId="7984B4D3">
              <wp:simplePos x="0" y="0"/>
              <wp:positionH relativeFrom="page">
                <wp:posOffset>2484755</wp:posOffset>
              </wp:positionH>
              <wp:positionV relativeFrom="page">
                <wp:posOffset>311150</wp:posOffset>
              </wp:positionV>
              <wp:extent cx="2459990" cy="69850"/>
              <wp:effectExtent l="0" t="0" r="0" b="0"/>
              <wp:wrapNone/>
              <wp:docPr id="421" name="Shape 421"/>
              <wp:cNvGraphicFramePr/>
              <a:graphic xmlns:a="http://schemas.openxmlformats.org/drawingml/2006/main">
                <a:graphicData uri="http://schemas.microsoft.com/office/word/2010/wordprocessingShape">
                  <wps:wsp>
                    <wps:cNvSpPr txBox="1"/>
                    <wps:spPr>
                      <a:xfrm>
                        <a:off x="0" y="0"/>
                        <a:ext cx="2459990" cy="69850"/>
                      </a:xfrm>
                      <a:prstGeom prst="rect">
                        <a:avLst/>
                      </a:prstGeom>
                      <a:noFill/>
                    </wps:spPr>
                    <wps:txbx>
                      <w:txbxContent>
                        <w:p w14:paraId="18438827" w14:textId="77777777" w:rsidR="0072615D" w:rsidRDefault="0072615D">
                          <w:pPr>
                            <w:pStyle w:val="Headerorfooter0"/>
                            <w:tabs>
                              <w:tab w:val="right" w:pos="3874"/>
                            </w:tabs>
                            <w:rPr>
                              <w:sz w:val="16"/>
                              <w:szCs w:val="16"/>
                            </w:rPr>
                          </w:pPr>
                          <w:r>
                            <w:t>MORDEDURAS</w:t>
                          </w:r>
                          <w:r>
                            <w:tab/>
                          </w:r>
                          <w:r>
                            <w:rPr>
                              <w:sz w:val="16"/>
                              <w:szCs w:val="16"/>
                            </w:rPr>
                            <w:t>201</w:t>
                          </w:r>
                        </w:p>
                      </w:txbxContent>
                    </wps:txbx>
                    <wps:bodyPr lIns="0" tIns="0" rIns="0" bIns="0">
                      <a:spAutoFit/>
                    </wps:bodyPr>
                  </wps:wsp>
                </a:graphicData>
              </a:graphic>
            </wp:anchor>
          </w:drawing>
        </mc:Choice>
        <mc:Fallback>
          <w:pict>
            <v:shapetype w14:anchorId="6CC5C0DC" id="_x0000_t202" coordsize="21600,21600" o:spt="202" path="m,l,21600r21600,l21600,xe">
              <v:stroke joinstyle="miter"/>
              <v:path gradientshapeok="t" o:connecttype="rect"/>
            </v:shapetype>
            <v:shape id="Shape 421" o:spid="_x0000_s1185" type="#_x0000_t202" style="position:absolute;margin-left:195.65pt;margin-top:24.5pt;width:193.7pt;height:5.5pt;z-index:-2514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" filled="f" stroked="f">
              <v:textbox style="mso-fit-shape-to-text:t" inset="0,0,0,0">
                <w:txbxContent>
                  <w:p w14:paraId="18438827" w14:textId="77777777" w:rsidR="0072615D" w:rsidRDefault="0072615D">
                    <w:pPr>
                      <w:pStyle w:val="Headerorfooter0"/>
                      <w:tabs>
                        <w:tab w:val="right" w:pos="3874"/>
                      </w:tabs>
                      <w:rPr>
                        <w:sz w:val="16"/>
                        <w:szCs w:val="16"/>
                      </w:rPr>
                    </w:pPr>
                    <w:r>
                      <w:t>MORDEDURAS</w:t>
                    </w:r>
                    <w:r>
                      <w:tab/>
                    </w:r>
                    <w:r>
                      <w:rPr>
                        <w:sz w:val="16"/>
                        <w:szCs w:val="16"/>
                      </w:rPr>
                      <w:t>201</w:t>
                    </w:r>
                  </w:p>
                </w:txbxContent>
              </v:textbox>
              <w10:wrap anchorx="page" anchory="page"/>
            </v:shape>
          </w:pict>
        </mc:Fallback>
      </mc:AlternateContent>
    </w:r>
    <w:r>
      <w:rPr>
        <w:noProof/>
      </w:rPr>
      <mc:AlternateContent>
        <mc:Choice Requires="wps">
          <w:drawing>
            <wp:anchor distT="0" distB="0" distL="114300" distR="114300" simplePos="0" relativeHeight="251768832" behindDoc="1" locked="0" layoutInCell="1" allowOverlap="1" wp14:anchorId="7319FB0F" wp14:editId="46C16AC1">
              <wp:simplePos x="0" y="0"/>
              <wp:positionH relativeFrom="page">
                <wp:posOffset>622300</wp:posOffset>
              </wp:positionH>
              <wp:positionV relativeFrom="page">
                <wp:posOffset>419100</wp:posOffset>
              </wp:positionV>
              <wp:extent cx="4358640" cy="0"/>
              <wp:effectExtent l="0" t="0" r="0" b="0"/>
              <wp:wrapNone/>
              <wp:docPr id="423" name="Shape 42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E687211" id="_x0000_t32" coordsize="21600,21600" o:spt="32" o:oned="t" path="m,l21600,21600e" filled="f">
              <v:path arrowok="t" fillok="f" o:connecttype="none"/>
              <o:lock v:ext="edit" shapetype="t"/>
            </v:shapetype>
            <v:shape id="Shape 423" o:spid="_x0000_s1026" type="#_x0000_t32" style="position:absolute;margin-left:49pt;margin-top:33pt;width:343.2pt;height:0;z-index:-2515476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" strokeweight="1pt">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C195" w14:textId="77777777" w:rsidR="0072615D" w:rsidRDefault="0072615D"/>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BCDD" w14:textId="77777777" w:rsidR="0072615D" w:rsidRDefault="0072615D"/>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6349" w14:textId="77777777" w:rsidR="0072615D" w:rsidRDefault="0072615D"/>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2B29" w14:textId="77777777" w:rsidR="0072615D" w:rsidRDefault="0072615D"/>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BA02" w14:textId="77777777" w:rsidR="0072615D" w:rsidRDefault="0072615D">
    <w:pPr>
      <w:spacing w:line="1" w:lineRule="exact"/>
    </w:pPr>
    <w:r>
      <w:rPr>
        <w:noProof/>
      </w:rPr>
      <mc:AlternateContent>
        <mc:Choice Requires="wps">
          <w:drawing>
            <wp:anchor distT="0" distB="0" distL="0" distR="0" simplePos="0" relativeHeight="251921408" behindDoc="1" locked="0" layoutInCell="1" allowOverlap="1" wp14:anchorId="5A0F49D8" wp14:editId="1790C16E">
              <wp:simplePos x="0" y="0"/>
              <wp:positionH relativeFrom="page">
                <wp:posOffset>1261110</wp:posOffset>
              </wp:positionH>
              <wp:positionV relativeFrom="page">
                <wp:posOffset>300355</wp:posOffset>
              </wp:positionV>
              <wp:extent cx="3590290" cy="85090"/>
              <wp:effectExtent l="0" t="0" r="0" b="0"/>
              <wp:wrapNone/>
              <wp:docPr id="438" name="Shape 438"/>
              <wp:cNvGraphicFramePr/>
              <a:graphic xmlns:a="http://schemas.openxmlformats.org/drawingml/2006/main">
                <a:graphicData uri="http://schemas.microsoft.com/office/word/2010/wordprocessingShape">
                  <wps:wsp>
                    <wps:cNvSpPr txBox="1"/>
                    <wps:spPr>
                      <a:xfrm>
                        <a:off x="0" y="0"/>
                        <a:ext cx="3590290" cy="85090"/>
                      </a:xfrm>
                      <a:prstGeom prst="rect">
                        <a:avLst/>
                      </a:prstGeom>
                      <a:noFill/>
                    </wps:spPr>
                    <wps:txbx>
                      <w:txbxContent>
                        <w:p w14:paraId="7B38BE0D" w14:textId="77777777" w:rsidR="0072615D" w:rsidRDefault="0072615D">
                          <w:pPr>
                            <w:pStyle w:val="Headerorfooter0"/>
                            <w:tabs>
                              <w:tab w:val="right" w:pos="5654"/>
                            </w:tabs>
                            <w:rPr>
                              <w:sz w:val="16"/>
                              <w:szCs w:val="16"/>
                            </w:rPr>
                          </w:pPr>
                          <w:r>
                            <w:t>PREVENCIÓN DE INFECCIONES TRANSMITIDAS POR GARRAPATAS</w:t>
                          </w:r>
                          <w:r>
                            <w:tab/>
                          </w:r>
                          <w:r>
                            <w:rPr>
                              <w:sz w:val="16"/>
                              <w:szCs w:val="16"/>
                            </w:rPr>
                            <w:t>205</w:t>
                          </w:r>
                        </w:p>
                      </w:txbxContent>
                    </wps:txbx>
                    <wps:bodyPr lIns="0" tIns="0" rIns="0" bIns="0">
                      <a:spAutoFit/>
                    </wps:bodyPr>
                  </wps:wsp>
                </a:graphicData>
              </a:graphic>
            </wp:anchor>
          </w:drawing>
        </mc:Choice>
        <mc:Fallback>
          <w:pict>
            <v:shapetype w14:anchorId="5A0F49D8" id="_x0000_t202" coordsize="21600,21600" o:spt="202" path="m,l,21600r21600,l21600,xe">
              <v:stroke joinstyle="miter"/>
              <v:path gradientshapeok="t" o:connecttype="rect"/>
            </v:shapetype>
            <v:shape id="Shape 438" o:spid="_x0000_s1188" type="#_x0000_t202" style="position:absolute;margin-left:99.3pt;margin-top:23.65pt;width:282.7pt;height:6.7pt;z-index:-2513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" filled="f" stroked="f">
              <v:textbox style="mso-fit-shape-to-text:t" inset="0,0,0,0">
                <w:txbxContent>
                  <w:p w14:paraId="7B38BE0D" w14:textId="77777777" w:rsidR="0072615D" w:rsidRDefault="0072615D">
                    <w:pPr>
                      <w:pStyle w:val="Headerorfooter0"/>
                      <w:tabs>
                        <w:tab w:val="right" w:pos="5654"/>
                      </w:tabs>
                      <w:rPr>
                        <w:sz w:val="16"/>
                        <w:szCs w:val="16"/>
                      </w:rPr>
                    </w:pPr>
                    <w:r>
                      <w:t>PREVENCIÓN DE INFECCIONES TRANSMITIDAS POR GARRAPATAS</w:t>
                    </w:r>
                    <w:r>
                      <w:tab/>
                    </w:r>
                    <w:r>
                      <w:rPr>
                        <w:sz w:val="16"/>
                        <w:szCs w:val="16"/>
                      </w:rPr>
                      <w:t>205</w:t>
                    </w:r>
                  </w:p>
                </w:txbxContent>
              </v:textbox>
              <w10:wrap anchorx="page" anchory="page"/>
            </v:shape>
          </w:pict>
        </mc:Fallback>
      </mc:AlternateContent>
    </w:r>
    <w:r>
      <w:rPr>
        <w:noProof/>
      </w:rPr>
      <mc:AlternateContent>
        <mc:Choice Requires="wps">
          <w:drawing>
            <wp:anchor distT="0" distB="0" distL="114300" distR="114300" simplePos="0" relativeHeight="251771904" behindDoc="1" locked="0" layoutInCell="1" allowOverlap="1" wp14:anchorId="27596A43" wp14:editId="2C4E42E4">
              <wp:simplePos x="0" y="0"/>
              <wp:positionH relativeFrom="page">
                <wp:posOffset>514350</wp:posOffset>
              </wp:positionH>
              <wp:positionV relativeFrom="page">
                <wp:posOffset>424180</wp:posOffset>
              </wp:positionV>
              <wp:extent cx="4358640" cy="0"/>
              <wp:effectExtent l="0" t="0" r="0" b="0"/>
              <wp:wrapNone/>
              <wp:docPr id="440" name="Shape 44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4EC8409" id="_x0000_t32" coordsize="21600,21600" o:spt="32" o:oned="t" path="m,l21600,21600e" filled="f">
              <v:path arrowok="t" fillok="f" o:connecttype="none"/>
              <o:lock v:ext="edit" shapetype="t"/>
            </v:shapetype>
            <v:shape id="Shape 440" o:spid="_x0000_s1026" type="#_x0000_t32" style="position:absolute;margin-left:40.5pt;margin-top:33.4pt;width:343.2pt;height:0;z-index:-2515445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DE8A" w14:textId="77777777" w:rsidR="0072615D" w:rsidRDefault="0072615D">
    <w:pPr>
      <w:spacing w:line="1" w:lineRule="exact"/>
    </w:pPr>
    <w:r>
      <w:rPr>
        <w:noProof/>
      </w:rPr>
      <mc:AlternateContent>
        <mc:Choice Requires="wps">
          <w:drawing>
            <wp:anchor distT="0" distB="0" distL="0" distR="0" simplePos="0" relativeHeight="251920384" behindDoc="1" locked="0" layoutInCell="1" allowOverlap="1" wp14:anchorId="5168E14B" wp14:editId="3F97EA7D">
              <wp:simplePos x="0" y="0"/>
              <wp:positionH relativeFrom="page">
                <wp:posOffset>1261110</wp:posOffset>
              </wp:positionH>
              <wp:positionV relativeFrom="page">
                <wp:posOffset>300355</wp:posOffset>
              </wp:positionV>
              <wp:extent cx="3590290" cy="85090"/>
              <wp:effectExtent l="0" t="0" r="0" b="0"/>
              <wp:wrapNone/>
              <wp:docPr id="435" name="Shape 435"/>
              <wp:cNvGraphicFramePr/>
              <a:graphic xmlns:a="http://schemas.openxmlformats.org/drawingml/2006/main">
                <a:graphicData uri="http://schemas.microsoft.com/office/word/2010/wordprocessingShape">
                  <wps:wsp>
                    <wps:cNvSpPr txBox="1"/>
                    <wps:spPr>
                      <a:xfrm>
                        <a:off x="0" y="0"/>
                        <a:ext cx="3590290" cy="85090"/>
                      </a:xfrm>
                      <a:prstGeom prst="rect">
                        <a:avLst/>
                      </a:prstGeom>
                      <a:noFill/>
                    </wps:spPr>
                    <wps:txbx>
                      <w:txbxContent>
                        <w:p w14:paraId="0D9CAB01" w14:textId="77777777" w:rsidR="0072615D" w:rsidRDefault="0072615D">
                          <w:pPr>
                            <w:pStyle w:val="Headerorfooter0"/>
                            <w:tabs>
                              <w:tab w:val="right" w:pos="5654"/>
                            </w:tabs>
                            <w:rPr>
                              <w:sz w:val="16"/>
                              <w:szCs w:val="16"/>
                            </w:rPr>
                          </w:pPr>
                          <w:r>
                            <w:t>PREVENCIÓN DE INFECCIONES TRANSMITIDAS POR GARRAPATAS</w:t>
                          </w:r>
                          <w:r>
                            <w:tab/>
                          </w:r>
                          <w:r>
                            <w:rPr>
                              <w:sz w:val="16"/>
                              <w:szCs w:val="16"/>
                            </w:rPr>
                            <w:t>205</w:t>
                          </w:r>
                        </w:p>
                      </w:txbxContent>
                    </wps:txbx>
                    <wps:bodyPr lIns="0" tIns="0" rIns="0" bIns="0">
                      <a:spAutoFit/>
                    </wps:bodyPr>
                  </wps:wsp>
                </a:graphicData>
              </a:graphic>
            </wp:anchor>
          </w:drawing>
        </mc:Choice>
        <mc:Fallback>
          <w:pict>
            <v:shapetype w14:anchorId="5168E14B" id="_x0000_t202" coordsize="21600,21600" o:spt="202" path="m,l,21600r21600,l21600,xe">
              <v:stroke joinstyle="miter"/>
              <v:path gradientshapeok="t" o:connecttype="rect"/>
            </v:shapetype>
            <v:shape id="Shape 435" o:spid="_x0000_s1189" type="#_x0000_t202" style="position:absolute;margin-left:99.3pt;margin-top:23.65pt;width:282.7pt;height:6.7pt;z-index:-2513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" filled="f" stroked="f">
              <v:textbox style="mso-fit-shape-to-text:t" inset="0,0,0,0">
                <w:txbxContent>
                  <w:p w14:paraId="0D9CAB01" w14:textId="77777777" w:rsidR="0072615D" w:rsidRDefault="0072615D">
                    <w:pPr>
                      <w:pStyle w:val="Headerorfooter0"/>
                      <w:tabs>
                        <w:tab w:val="right" w:pos="5654"/>
                      </w:tabs>
                      <w:rPr>
                        <w:sz w:val="16"/>
                        <w:szCs w:val="16"/>
                      </w:rPr>
                    </w:pPr>
                    <w:r>
                      <w:t>PREVENCIÓN DE INFECCIONES TRANSMITIDAS POR GARRAPATAS</w:t>
                    </w:r>
                    <w:r>
                      <w:tab/>
                    </w:r>
                    <w:r>
                      <w:rPr>
                        <w:sz w:val="16"/>
                        <w:szCs w:val="16"/>
                      </w:rPr>
                      <w:t>205</w:t>
                    </w:r>
                  </w:p>
                </w:txbxContent>
              </v:textbox>
              <w10:wrap anchorx="page" anchory="page"/>
            </v:shape>
          </w:pict>
        </mc:Fallback>
      </mc:AlternateContent>
    </w:r>
    <w:r>
      <w:rPr>
        <w:noProof/>
      </w:rPr>
      <mc:AlternateContent>
        <mc:Choice Requires="wps">
          <w:drawing>
            <wp:anchor distT="0" distB="0" distL="114300" distR="114300" simplePos="0" relativeHeight="251770880" behindDoc="1" locked="0" layoutInCell="1" allowOverlap="1" wp14:anchorId="420B9AFF" wp14:editId="5245FD74">
              <wp:simplePos x="0" y="0"/>
              <wp:positionH relativeFrom="page">
                <wp:posOffset>514350</wp:posOffset>
              </wp:positionH>
              <wp:positionV relativeFrom="page">
                <wp:posOffset>424180</wp:posOffset>
              </wp:positionV>
              <wp:extent cx="4358640" cy="0"/>
              <wp:effectExtent l="0" t="0" r="0" b="0"/>
              <wp:wrapNone/>
              <wp:docPr id="437" name="Shape 43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084E890" id="_x0000_t32" coordsize="21600,21600" o:spt="32" o:oned="t" path="m,l21600,21600e" filled="f">
              <v:path arrowok="t" fillok="f" o:connecttype="none"/>
              <o:lock v:ext="edit" shapetype="t"/>
            </v:shapetype>
            <v:shape id="Shape 437" o:spid="_x0000_s1026" type="#_x0000_t32" style="position:absolute;margin-left:40.5pt;margin-top:33.4pt;width:343.2pt;height:0;z-index:-2515456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" strokeweight="1pt">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F047" w14:textId="77777777" w:rsidR="0072615D" w:rsidRDefault="0072615D">
    <w:pPr>
      <w:spacing w:line="1" w:lineRule="exact"/>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DDB3" w14:textId="77777777" w:rsidR="0072615D" w:rsidRDefault="0072615D">
    <w:pPr>
      <w:spacing w:line="1" w:lineRule="exact"/>
    </w:pP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DE30" w14:textId="77777777" w:rsidR="0072615D" w:rsidRDefault="0072615D">
    <w:pPr>
      <w:spacing w:line="1" w:lineRule="exact"/>
    </w:pPr>
    <w:r>
      <w:rPr>
        <w:noProof/>
      </w:rPr>
      <mc:AlternateContent>
        <mc:Choice Requires="wps">
          <w:drawing>
            <wp:anchor distT="0" distB="0" distL="0" distR="0" simplePos="0" relativeHeight="251922432" behindDoc="1" locked="0" layoutInCell="1" allowOverlap="1" wp14:anchorId="62193CA8" wp14:editId="7D38D9FC">
              <wp:simplePos x="0" y="0"/>
              <wp:positionH relativeFrom="page">
                <wp:posOffset>528320</wp:posOffset>
              </wp:positionH>
              <wp:positionV relativeFrom="page">
                <wp:posOffset>300355</wp:posOffset>
              </wp:positionV>
              <wp:extent cx="3596640" cy="85090"/>
              <wp:effectExtent l="0" t="0" r="0" b="0"/>
              <wp:wrapNone/>
              <wp:docPr id="441" name="Shape 441"/>
              <wp:cNvGraphicFramePr/>
              <a:graphic xmlns:a="http://schemas.openxmlformats.org/drawingml/2006/main">
                <a:graphicData uri="http://schemas.microsoft.com/office/word/2010/wordprocessingShape">
                  <wps:wsp>
                    <wps:cNvSpPr txBox="1"/>
                    <wps:spPr>
                      <a:xfrm>
                        <a:off x="0" y="0"/>
                        <a:ext cx="3596640" cy="85090"/>
                      </a:xfrm>
                      <a:prstGeom prst="rect">
                        <a:avLst/>
                      </a:prstGeom>
                      <a:noFill/>
                    </wps:spPr>
                    <wps:txbx>
                      <w:txbxContent>
                        <w:p w14:paraId="45328E95" w14:textId="77777777" w:rsidR="0072615D" w:rsidRDefault="0072615D">
                          <w:pPr>
                            <w:pStyle w:val="Headerorfooter0"/>
                            <w:tabs>
                              <w:tab w:val="right" w:pos="5664"/>
                            </w:tabs>
                          </w:pPr>
                          <w:r>
                            <w:rPr>
                              <w:sz w:val="16"/>
                              <w:szCs w:val="16"/>
                            </w:rPr>
                            <w:t>206</w:t>
                          </w:r>
                          <w:r>
                            <w:rPr>
                              <w:sz w:val="16"/>
                              <w:szCs w:val="16"/>
                            </w:rPr>
                            <w:tab/>
                          </w:r>
                          <w:r>
                            <w:t>PREVENCIÓN DE INFECCIONES TRANSMITIDAS POR GARRAPATAS</w:t>
                          </w:r>
                        </w:p>
                      </w:txbxContent>
                    </wps:txbx>
                    <wps:bodyPr lIns="0" tIns="0" rIns="0" bIns="0">
                      <a:spAutoFit/>
                    </wps:bodyPr>
                  </wps:wsp>
                </a:graphicData>
              </a:graphic>
            </wp:anchor>
          </w:drawing>
        </mc:Choice>
        <mc:Fallback>
          <w:pict>
            <v:shapetype w14:anchorId="62193CA8" id="_x0000_t202" coordsize="21600,21600" o:spt="202" path="m,l,21600r21600,l21600,xe">
              <v:stroke joinstyle="miter"/>
              <v:path gradientshapeok="t" o:connecttype="rect"/>
            </v:shapetype>
            <v:shape id="Shape 441" o:spid="_x0000_s1190" type="#_x0000_t202" style="position:absolute;margin-left:41.6pt;margin-top:23.65pt;width:283.2pt;height:6.7pt;z-index:-2513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" filled="f" stroked="f">
              <v:textbox style="mso-fit-shape-to-text:t" inset="0,0,0,0">
                <w:txbxContent>
                  <w:p w14:paraId="45328E95" w14:textId="77777777" w:rsidR="0072615D" w:rsidRDefault="0072615D">
                    <w:pPr>
                      <w:pStyle w:val="Headerorfooter0"/>
                      <w:tabs>
                        <w:tab w:val="right" w:pos="5664"/>
                      </w:tabs>
                    </w:pPr>
                    <w:r>
                      <w:rPr>
                        <w:sz w:val="16"/>
                        <w:szCs w:val="16"/>
                      </w:rPr>
                      <w:t>206</w:t>
                    </w:r>
                    <w:r>
                      <w:rPr>
                        <w:sz w:val="16"/>
                        <w:szCs w:val="16"/>
                      </w:rPr>
                      <w:tab/>
                    </w:r>
                    <w:r>
                      <w:t>PREVENCIÓN DE INFECCIONES TRANSMITIDAS POR GARRAPATAS</w:t>
                    </w:r>
                  </w:p>
                </w:txbxContent>
              </v:textbox>
              <w10:wrap anchorx="page" anchory="page"/>
            </v:shape>
          </w:pict>
        </mc:Fallback>
      </mc:AlternateContent>
    </w:r>
    <w:r>
      <w:rPr>
        <w:noProof/>
      </w:rPr>
      <mc:AlternateContent>
        <mc:Choice Requires="wps">
          <w:drawing>
            <wp:anchor distT="0" distB="0" distL="114300" distR="114300" simplePos="0" relativeHeight="251772928" behindDoc="1" locked="0" layoutInCell="1" allowOverlap="1" wp14:anchorId="090F9A67" wp14:editId="36A30CA7">
              <wp:simplePos x="0" y="0"/>
              <wp:positionH relativeFrom="page">
                <wp:posOffset>513080</wp:posOffset>
              </wp:positionH>
              <wp:positionV relativeFrom="page">
                <wp:posOffset>424180</wp:posOffset>
              </wp:positionV>
              <wp:extent cx="4358640" cy="0"/>
              <wp:effectExtent l="0" t="0" r="0" b="0"/>
              <wp:wrapNone/>
              <wp:docPr id="443" name="Shape 44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EF506DB" id="_x0000_t32" coordsize="21600,21600" o:spt="32" o:oned="t" path="m,l21600,21600e" filled="f">
              <v:path arrowok="t" fillok="f" o:connecttype="none"/>
              <o:lock v:ext="edit" shapetype="t"/>
            </v:shapetype>
            <v:shape id="Shape 443" o:spid="_x0000_s1026" type="#_x0000_t32" style="position:absolute;margin-left:40.4pt;margin-top:33.4pt;width:343.2pt;height:0;z-index:-2515435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" strokeweight="1pt">
              <w10:wrap anchorx="page" anchory="page"/>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90B4" w14:textId="77777777" w:rsidR="0072615D" w:rsidRDefault="0072615D">
    <w:pPr>
      <w:spacing w:line="1" w:lineRule="exact"/>
    </w:pPr>
    <w:r>
      <w:rPr>
        <w:noProof/>
      </w:rPr>
      <mc:AlternateContent>
        <mc:Choice Requires="wps">
          <w:drawing>
            <wp:anchor distT="0" distB="0" distL="0" distR="0" simplePos="0" relativeHeight="251924480" behindDoc="1" locked="0" layoutInCell="1" allowOverlap="1" wp14:anchorId="28293517" wp14:editId="4FE685B3">
              <wp:simplePos x="0" y="0"/>
              <wp:positionH relativeFrom="page">
                <wp:posOffset>528320</wp:posOffset>
              </wp:positionH>
              <wp:positionV relativeFrom="page">
                <wp:posOffset>306705</wp:posOffset>
              </wp:positionV>
              <wp:extent cx="2776855" cy="79375"/>
              <wp:effectExtent l="0" t="0" r="0" b="0"/>
              <wp:wrapNone/>
              <wp:docPr id="447" name="Shape 447"/>
              <wp:cNvGraphicFramePr/>
              <a:graphic xmlns:a="http://schemas.openxmlformats.org/drawingml/2006/main">
                <a:graphicData uri="http://schemas.microsoft.com/office/word/2010/wordprocessingShape">
                  <wps:wsp>
                    <wps:cNvSpPr txBox="1"/>
                    <wps:spPr>
                      <a:xfrm>
                        <a:off x="0" y="0"/>
                        <a:ext cx="2776855" cy="79375"/>
                      </a:xfrm>
                      <a:prstGeom prst="rect">
                        <a:avLst/>
                      </a:prstGeom>
                      <a:noFill/>
                    </wps:spPr>
                    <wps:txbx>
                      <w:txbxContent>
                        <w:p w14:paraId="47040BBA" w14:textId="77777777" w:rsidR="0072615D" w:rsidRDefault="0072615D">
                          <w:pPr>
                            <w:pStyle w:val="Headerorfooter0"/>
                            <w:tabs>
                              <w:tab w:val="right" w:pos="4373"/>
                            </w:tabs>
                          </w:pPr>
                          <w:r>
                            <w:rPr>
                              <w:sz w:val="16"/>
                              <w:szCs w:val="16"/>
                            </w:rPr>
                            <w:t>208</w:t>
                          </w:r>
                          <w:r>
                            <w:rPr>
                              <w:sz w:val="16"/>
                              <w:szCs w:val="16"/>
                            </w:rPr>
                            <w:tab/>
                          </w:r>
                          <w:r>
                            <w:t>ADENOVIRUS, INFECCIONES</w:t>
                          </w:r>
                        </w:p>
                      </w:txbxContent>
                    </wps:txbx>
                    <wps:bodyPr lIns="0" tIns="0" rIns="0" bIns="0">
                      <a:spAutoFit/>
                    </wps:bodyPr>
                  </wps:wsp>
                </a:graphicData>
              </a:graphic>
            </wp:anchor>
          </w:drawing>
        </mc:Choice>
        <mc:Fallback>
          <w:pict>
            <v:shapetype w14:anchorId="28293517" id="_x0000_t202" coordsize="21600,21600" o:spt="202" path="m,l,21600r21600,l21600,xe">
              <v:stroke joinstyle="miter"/>
              <v:path gradientshapeok="t" o:connecttype="rect"/>
            </v:shapetype>
            <v:shape id="Shape 447" o:spid="_x0000_s1191" type="#_x0000_t202" style="position:absolute;margin-left:41.6pt;margin-top:24.15pt;width:218.65pt;height:6.25pt;z-index:-2513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" filled="f" stroked="f">
              <v:textbox style="mso-fit-shape-to-text:t" inset="0,0,0,0">
                <w:txbxContent>
                  <w:p w14:paraId="47040BBA" w14:textId="77777777" w:rsidR="0072615D" w:rsidRDefault="0072615D">
                    <w:pPr>
                      <w:pStyle w:val="Headerorfooter0"/>
                      <w:tabs>
                        <w:tab w:val="right" w:pos="4373"/>
                      </w:tabs>
                    </w:pPr>
                    <w:r>
                      <w:rPr>
                        <w:sz w:val="16"/>
                        <w:szCs w:val="16"/>
                      </w:rPr>
                      <w:t>208</w:t>
                    </w:r>
                    <w:r>
                      <w:rPr>
                        <w:sz w:val="16"/>
                        <w:szCs w:val="16"/>
                      </w:rPr>
                      <w:tab/>
                    </w:r>
                    <w:r>
                      <w:t>ADENOVIRUS, INFECCIONES</w:t>
                    </w:r>
                  </w:p>
                </w:txbxContent>
              </v:textbox>
              <w10:wrap anchorx="page" anchory="page"/>
            </v:shape>
          </w:pict>
        </mc:Fallback>
      </mc:AlternateContent>
    </w:r>
    <w:r>
      <w:rPr>
        <w:noProof/>
      </w:rPr>
      <mc:AlternateContent>
        <mc:Choice Requires="wps">
          <w:drawing>
            <wp:anchor distT="0" distB="0" distL="114300" distR="114300" simplePos="0" relativeHeight="251774976" behindDoc="1" locked="0" layoutInCell="1" allowOverlap="1" wp14:anchorId="59A415C4" wp14:editId="06E3F612">
              <wp:simplePos x="0" y="0"/>
              <wp:positionH relativeFrom="page">
                <wp:posOffset>513080</wp:posOffset>
              </wp:positionH>
              <wp:positionV relativeFrom="page">
                <wp:posOffset>414655</wp:posOffset>
              </wp:positionV>
              <wp:extent cx="4358640" cy="0"/>
              <wp:effectExtent l="0" t="0" r="0" b="0"/>
              <wp:wrapNone/>
              <wp:docPr id="449" name="Shape 44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D11B5C3" id="_x0000_t32" coordsize="21600,21600" o:spt="32" o:oned="t" path="m,l21600,21600e" filled="f">
              <v:path arrowok="t" fillok="f" o:connecttype="none"/>
              <o:lock v:ext="edit" shapetype="t"/>
            </v:shapetype>
            <v:shape id="Shape 449" o:spid="_x0000_s1026" type="#_x0000_t32" style="position:absolute;margin-left:40.4pt;margin-top:32.65pt;width:343.2pt;height:0;z-index:-2515415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56FB" w14:textId="77777777" w:rsidR="0072615D" w:rsidRDefault="0072615D">
    <w:pPr>
      <w:spacing w:line="1" w:lineRule="exact"/>
    </w:pPr>
    <w:r>
      <w:rPr>
        <w:noProof/>
      </w:rPr>
      <mc:AlternateContent>
        <mc:Choice Requires="wps">
          <w:drawing>
            <wp:anchor distT="0" distB="0" distL="0" distR="0" simplePos="0" relativeHeight="251923456" behindDoc="1" locked="0" layoutInCell="1" allowOverlap="1" wp14:anchorId="7263B94C" wp14:editId="76C8919E">
              <wp:simplePos x="0" y="0"/>
              <wp:positionH relativeFrom="page">
                <wp:posOffset>528320</wp:posOffset>
              </wp:positionH>
              <wp:positionV relativeFrom="page">
                <wp:posOffset>306705</wp:posOffset>
              </wp:positionV>
              <wp:extent cx="2776855" cy="79375"/>
              <wp:effectExtent l="0" t="0" r="0" b="0"/>
              <wp:wrapNone/>
              <wp:docPr id="444" name="Shape 444"/>
              <wp:cNvGraphicFramePr/>
              <a:graphic xmlns:a="http://schemas.openxmlformats.org/drawingml/2006/main">
                <a:graphicData uri="http://schemas.microsoft.com/office/word/2010/wordprocessingShape">
                  <wps:wsp>
                    <wps:cNvSpPr txBox="1"/>
                    <wps:spPr>
                      <a:xfrm>
                        <a:off x="0" y="0"/>
                        <a:ext cx="2776855" cy="79375"/>
                      </a:xfrm>
                      <a:prstGeom prst="rect">
                        <a:avLst/>
                      </a:prstGeom>
                      <a:noFill/>
                    </wps:spPr>
                    <wps:txbx>
                      <w:txbxContent>
                        <w:p w14:paraId="760E584F" w14:textId="77777777" w:rsidR="0072615D" w:rsidRDefault="0072615D">
                          <w:pPr>
                            <w:pStyle w:val="Headerorfooter0"/>
                            <w:tabs>
                              <w:tab w:val="right" w:pos="4373"/>
                            </w:tabs>
                          </w:pPr>
                          <w:r>
                            <w:rPr>
                              <w:sz w:val="16"/>
                              <w:szCs w:val="16"/>
                            </w:rPr>
                            <w:t>208</w:t>
                          </w:r>
                          <w:r>
                            <w:rPr>
                              <w:sz w:val="16"/>
                              <w:szCs w:val="16"/>
                            </w:rPr>
                            <w:tab/>
                          </w:r>
                          <w:r>
                            <w:t>ADENOVIRUS, INFECCIONES</w:t>
                          </w:r>
                        </w:p>
                      </w:txbxContent>
                    </wps:txbx>
                    <wps:bodyPr lIns="0" tIns="0" rIns="0" bIns="0">
                      <a:spAutoFit/>
                    </wps:bodyPr>
                  </wps:wsp>
                </a:graphicData>
              </a:graphic>
            </wp:anchor>
          </w:drawing>
        </mc:Choice>
        <mc:Fallback>
          <w:pict>
            <v:shapetype w14:anchorId="7263B94C" id="_x0000_t202" coordsize="21600,21600" o:spt="202" path="m,l,21600r21600,l21600,xe">
              <v:stroke joinstyle="miter"/>
              <v:path gradientshapeok="t" o:connecttype="rect"/>
            </v:shapetype>
            <v:shape id="Shape 444" o:spid="_x0000_s1192" type="#_x0000_t202" style="position:absolute;margin-left:41.6pt;margin-top:24.15pt;width:218.65pt;height:6.25pt;z-index:-2513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" filled="f" stroked="f">
              <v:textbox style="mso-fit-shape-to-text:t" inset="0,0,0,0">
                <w:txbxContent>
                  <w:p w14:paraId="760E584F" w14:textId="77777777" w:rsidR="0072615D" w:rsidRDefault="0072615D">
                    <w:pPr>
                      <w:pStyle w:val="Headerorfooter0"/>
                      <w:tabs>
                        <w:tab w:val="right" w:pos="4373"/>
                      </w:tabs>
                    </w:pPr>
                    <w:r>
                      <w:rPr>
                        <w:sz w:val="16"/>
                        <w:szCs w:val="16"/>
                      </w:rPr>
                      <w:t>208</w:t>
                    </w:r>
                    <w:r>
                      <w:rPr>
                        <w:sz w:val="16"/>
                        <w:szCs w:val="16"/>
                      </w:rPr>
                      <w:tab/>
                    </w:r>
                    <w:r>
                      <w:t>ADENOVIRUS, INFECCIONES</w:t>
                    </w:r>
                  </w:p>
                </w:txbxContent>
              </v:textbox>
              <w10:wrap anchorx="page" anchory="page"/>
            </v:shape>
          </w:pict>
        </mc:Fallback>
      </mc:AlternateContent>
    </w:r>
    <w:r>
      <w:rPr>
        <w:noProof/>
      </w:rPr>
      <mc:AlternateContent>
        <mc:Choice Requires="wps">
          <w:drawing>
            <wp:anchor distT="0" distB="0" distL="114300" distR="114300" simplePos="0" relativeHeight="251773952" behindDoc="1" locked="0" layoutInCell="1" allowOverlap="1" wp14:anchorId="078741BA" wp14:editId="6AF142A0">
              <wp:simplePos x="0" y="0"/>
              <wp:positionH relativeFrom="page">
                <wp:posOffset>513080</wp:posOffset>
              </wp:positionH>
              <wp:positionV relativeFrom="page">
                <wp:posOffset>414655</wp:posOffset>
              </wp:positionV>
              <wp:extent cx="4358640" cy="0"/>
              <wp:effectExtent l="0" t="0" r="0" b="0"/>
              <wp:wrapNone/>
              <wp:docPr id="446" name="Shape 44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ED51DFC" id="_x0000_t32" coordsize="21600,21600" o:spt="32" o:oned="t" path="m,l21600,21600e" filled="f">
              <v:path arrowok="t" fillok="f" o:connecttype="none"/>
              <o:lock v:ext="edit" shapetype="t"/>
            </v:shapetype>
            <v:shape id="Shape 446" o:spid="_x0000_s1026" type="#_x0000_t32" style="position:absolute;margin-left:40.4pt;margin-top:32.65pt;width:343.2pt;height:0;z-index:-2515425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" strokeweight="1pt">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58E2" w14:textId="77777777" w:rsidR="0072615D" w:rsidRDefault="0072615D">
    <w:pPr>
      <w:spacing w:line="1" w:lineRule="exact"/>
    </w:pPr>
    <w:r>
      <w:rPr>
        <w:noProof/>
      </w:rPr>
      <mc:AlternateContent>
        <mc:Choice Requires="wps">
          <w:drawing>
            <wp:anchor distT="0" distB="0" distL="0" distR="0" simplePos="0" relativeHeight="251926528" behindDoc="1" locked="0" layoutInCell="1" allowOverlap="1" wp14:anchorId="4495EDF5" wp14:editId="46D6B754">
              <wp:simplePos x="0" y="0"/>
              <wp:positionH relativeFrom="page">
                <wp:posOffset>527050</wp:posOffset>
              </wp:positionH>
              <wp:positionV relativeFrom="page">
                <wp:posOffset>315595</wp:posOffset>
              </wp:positionV>
              <wp:extent cx="2380615" cy="69850"/>
              <wp:effectExtent l="0" t="0" r="0" b="0"/>
              <wp:wrapNone/>
              <wp:docPr id="453" name="Shape 453"/>
              <wp:cNvGraphicFramePr/>
              <a:graphic xmlns:a="http://schemas.openxmlformats.org/drawingml/2006/main">
                <a:graphicData uri="http://schemas.microsoft.com/office/word/2010/wordprocessingShape">
                  <wps:wsp>
                    <wps:cNvSpPr txBox="1"/>
                    <wps:spPr>
                      <a:xfrm>
                        <a:off x="0" y="0"/>
                        <a:ext cx="2380615" cy="69850"/>
                      </a:xfrm>
                      <a:prstGeom prst="rect">
                        <a:avLst/>
                      </a:prstGeom>
                      <a:noFill/>
                    </wps:spPr>
                    <wps:txbx>
                      <w:txbxContent>
                        <w:p w14:paraId="0F771C33" w14:textId="77777777" w:rsidR="0072615D" w:rsidRDefault="0072615D">
                          <w:pPr>
                            <w:pStyle w:val="Headerorfooter0"/>
                            <w:tabs>
                              <w:tab w:val="right" w:pos="3749"/>
                            </w:tabs>
                          </w:pPr>
                          <w:r>
                            <w:rPr>
                              <w:sz w:val="16"/>
                              <w:szCs w:val="16"/>
                            </w:rPr>
                            <w:t>212</w:t>
                          </w:r>
                          <w:r>
                            <w:rPr>
                              <w:sz w:val="16"/>
                              <w:szCs w:val="16"/>
                            </w:rPr>
                            <w:tab/>
                          </w:r>
                          <w:r>
                            <w:t>AMIBIASIS</w:t>
                          </w:r>
                        </w:p>
                      </w:txbxContent>
                    </wps:txbx>
                    <wps:bodyPr lIns="0" tIns="0" rIns="0" bIns="0">
                      <a:spAutoFit/>
                    </wps:bodyPr>
                  </wps:wsp>
                </a:graphicData>
              </a:graphic>
            </wp:anchor>
          </w:drawing>
        </mc:Choice>
        <mc:Fallback>
          <w:pict>
            <v:shapetype w14:anchorId="4495EDF5" id="_x0000_t202" coordsize="21600,21600" o:spt="202" path="m,l,21600r21600,l21600,xe">
              <v:stroke joinstyle="miter"/>
              <v:path gradientshapeok="t" o:connecttype="rect"/>
            </v:shapetype>
            <v:shape id="Shape 453" o:spid="_x0000_s1193" type="#_x0000_t202" style="position:absolute;margin-left:41.5pt;margin-top:24.85pt;width:187.45pt;height:5.5pt;z-index:-2513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" filled="f" stroked="f">
              <v:textbox style="mso-fit-shape-to-text:t" inset="0,0,0,0">
                <w:txbxContent>
                  <w:p w14:paraId="0F771C33" w14:textId="77777777" w:rsidR="0072615D" w:rsidRDefault="0072615D">
                    <w:pPr>
                      <w:pStyle w:val="Headerorfooter0"/>
                      <w:tabs>
                        <w:tab w:val="right" w:pos="3749"/>
                      </w:tabs>
                    </w:pPr>
                    <w:r>
                      <w:rPr>
                        <w:sz w:val="16"/>
                        <w:szCs w:val="16"/>
                      </w:rPr>
                      <w:t>212</w:t>
                    </w:r>
                    <w:r>
                      <w:rPr>
                        <w:sz w:val="16"/>
                        <w:szCs w:val="16"/>
                      </w:rPr>
                      <w:tab/>
                    </w:r>
                    <w:r>
                      <w:t>AMIBIASIS</w:t>
                    </w:r>
                  </w:p>
                </w:txbxContent>
              </v:textbox>
              <w10:wrap anchorx="page" anchory="page"/>
            </v:shape>
          </w:pict>
        </mc:Fallback>
      </mc:AlternateContent>
    </w:r>
    <w:r>
      <w:rPr>
        <w:noProof/>
      </w:rPr>
      <mc:AlternateContent>
        <mc:Choice Requires="wps">
          <w:drawing>
            <wp:anchor distT="0" distB="0" distL="114300" distR="114300" simplePos="0" relativeHeight="251777024" behindDoc="1" locked="0" layoutInCell="1" allowOverlap="1" wp14:anchorId="3643FDDD" wp14:editId="696ED3C9">
              <wp:simplePos x="0" y="0"/>
              <wp:positionH relativeFrom="page">
                <wp:posOffset>511810</wp:posOffset>
              </wp:positionH>
              <wp:positionV relativeFrom="page">
                <wp:posOffset>424180</wp:posOffset>
              </wp:positionV>
              <wp:extent cx="4358640" cy="0"/>
              <wp:effectExtent l="0" t="0" r="0" b="0"/>
              <wp:wrapNone/>
              <wp:docPr id="455" name="Shape 45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73D60DD" id="_x0000_t32" coordsize="21600,21600" o:spt="32" o:oned="t" path="m,l21600,21600e" filled="f">
              <v:path arrowok="t" fillok="f" o:connecttype="none"/>
              <o:lock v:ext="edit" shapetype="t"/>
            </v:shapetype>
            <v:shape id="Shape 455" o:spid="_x0000_s1026" type="#_x0000_t32" style="position:absolute;margin-left:40.3pt;margin-top:33.4pt;width:343.2pt;height:0;z-index:-2515394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" strokeweight="1pt">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03A9" w14:textId="77777777" w:rsidR="0072615D" w:rsidRDefault="0072615D">
    <w:pPr>
      <w:spacing w:line="1" w:lineRule="exact"/>
    </w:pPr>
    <w:r>
      <w:rPr>
        <w:noProof/>
      </w:rPr>
      <mc:AlternateContent>
        <mc:Choice Requires="wps">
          <w:drawing>
            <wp:anchor distT="0" distB="0" distL="0" distR="0" simplePos="0" relativeHeight="251925504" behindDoc="1" locked="0" layoutInCell="1" allowOverlap="1" wp14:anchorId="5BBFB151" wp14:editId="64024E75">
              <wp:simplePos x="0" y="0"/>
              <wp:positionH relativeFrom="page">
                <wp:posOffset>527050</wp:posOffset>
              </wp:positionH>
              <wp:positionV relativeFrom="page">
                <wp:posOffset>315595</wp:posOffset>
              </wp:positionV>
              <wp:extent cx="2380615" cy="69850"/>
              <wp:effectExtent l="0" t="0" r="0" b="0"/>
              <wp:wrapNone/>
              <wp:docPr id="450" name="Shape 450"/>
              <wp:cNvGraphicFramePr/>
              <a:graphic xmlns:a="http://schemas.openxmlformats.org/drawingml/2006/main">
                <a:graphicData uri="http://schemas.microsoft.com/office/word/2010/wordprocessingShape">
                  <wps:wsp>
                    <wps:cNvSpPr txBox="1"/>
                    <wps:spPr>
                      <a:xfrm>
                        <a:off x="0" y="0"/>
                        <a:ext cx="2380615" cy="69850"/>
                      </a:xfrm>
                      <a:prstGeom prst="rect">
                        <a:avLst/>
                      </a:prstGeom>
                      <a:noFill/>
                    </wps:spPr>
                    <wps:txbx>
                      <w:txbxContent>
                        <w:p w14:paraId="6D281DC0" w14:textId="77777777" w:rsidR="0072615D" w:rsidRDefault="0072615D">
                          <w:pPr>
                            <w:pStyle w:val="Headerorfooter0"/>
                            <w:tabs>
                              <w:tab w:val="right" w:pos="3749"/>
                            </w:tabs>
                          </w:pPr>
                          <w:r>
                            <w:rPr>
                              <w:sz w:val="16"/>
                              <w:szCs w:val="16"/>
                            </w:rPr>
                            <w:t>212</w:t>
                          </w:r>
                          <w:r>
                            <w:rPr>
                              <w:sz w:val="16"/>
                              <w:szCs w:val="16"/>
                            </w:rPr>
                            <w:tab/>
                          </w:r>
                          <w:r>
                            <w:t>AMIBIASIS</w:t>
                          </w:r>
                        </w:p>
                      </w:txbxContent>
                    </wps:txbx>
                    <wps:bodyPr lIns="0" tIns="0" rIns="0" bIns="0">
                      <a:spAutoFit/>
                    </wps:bodyPr>
                  </wps:wsp>
                </a:graphicData>
              </a:graphic>
            </wp:anchor>
          </w:drawing>
        </mc:Choice>
        <mc:Fallback>
          <w:pict>
            <v:shapetype w14:anchorId="5BBFB151" id="_x0000_t202" coordsize="21600,21600" o:spt="202" path="m,l,21600r21600,l21600,xe">
              <v:stroke joinstyle="miter"/>
              <v:path gradientshapeok="t" o:connecttype="rect"/>
            </v:shapetype>
            <v:shape id="Shape 450" o:spid="_x0000_s1194" type="#_x0000_t202" style="position:absolute;margin-left:41.5pt;margin-top:24.85pt;width:187.45pt;height:5.5pt;z-index:-2513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" filled="f" stroked="f">
              <v:textbox style="mso-fit-shape-to-text:t" inset="0,0,0,0">
                <w:txbxContent>
                  <w:p w14:paraId="6D281DC0" w14:textId="77777777" w:rsidR="0072615D" w:rsidRDefault="0072615D">
                    <w:pPr>
                      <w:pStyle w:val="Headerorfooter0"/>
                      <w:tabs>
                        <w:tab w:val="right" w:pos="3749"/>
                      </w:tabs>
                    </w:pPr>
                    <w:r>
                      <w:rPr>
                        <w:sz w:val="16"/>
                        <w:szCs w:val="16"/>
                      </w:rPr>
                      <w:t>212</w:t>
                    </w:r>
                    <w:r>
                      <w:rPr>
                        <w:sz w:val="16"/>
                        <w:szCs w:val="16"/>
                      </w:rPr>
                      <w:tab/>
                    </w:r>
                    <w:r>
                      <w:t>AMIBIASIS</w:t>
                    </w:r>
                  </w:p>
                </w:txbxContent>
              </v:textbox>
              <w10:wrap anchorx="page" anchory="page"/>
            </v:shape>
          </w:pict>
        </mc:Fallback>
      </mc:AlternateContent>
    </w:r>
    <w:r>
      <w:rPr>
        <w:noProof/>
      </w:rPr>
      <mc:AlternateContent>
        <mc:Choice Requires="wps">
          <w:drawing>
            <wp:anchor distT="0" distB="0" distL="114300" distR="114300" simplePos="0" relativeHeight="251776000" behindDoc="1" locked="0" layoutInCell="1" allowOverlap="1" wp14:anchorId="4788DD22" wp14:editId="68983A24">
              <wp:simplePos x="0" y="0"/>
              <wp:positionH relativeFrom="page">
                <wp:posOffset>511810</wp:posOffset>
              </wp:positionH>
              <wp:positionV relativeFrom="page">
                <wp:posOffset>424180</wp:posOffset>
              </wp:positionV>
              <wp:extent cx="4358640" cy="0"/>
              <wp:effectExtent l="0" t="0" r="0" b="0"/>
              <wp:wrapNone/>
              <wp:docPr id="452" name="Shape 45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0265589D" id="_x0000_t32" coordsize="21600,21600" o:spt="32" o:oned="t" path="m,l21600,21600e" filled="f">
              <v:path arrowok="t" fillok="f" o:connecttype="none"/>
              <o:lock v:ext="edit" shapetype="t"/>
            </v:shapetype>
            <v:shape id="Shape 452" o:spid="_x0000_s1026" type="#_x0000_t32" style="position:absolute;margin-left:40.3pt;margin-top:33.4pt;width:343.2pt;height:0;z-index:-2515404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" strokeweight="1pt">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4716" w14:textId="77777777" w:rsidR="0072615D" w:rsidRDefault="0072615D">
    <w:pPr>
      <w:spacing w:line="1" w:lineRule="exact"/>
    </w:pPr>
    <w:r>
      <w:rPr>
        <w:noProof/>
      </w:rPr>
      <mc:AlternateContent>
        <mc:Choice Requires="wps">
          <w:drawing>
            <wp:anchor distT="0" distB="0" distL="0" distR="0" simplePos="0" relativeHeight="251927552" behindDoc="1" locked="0" layoutInCell="1" allowOverlap="1" wp14:anchorId="32FB5A49" wp14:editId="6FC368E0">
              <wp:simplePos x="0" y="0"/>
              <wp:positionH relativeFrom="page">
                <wp:posOffset>2082800</wp:posOffset>
              </wp:positionH>
              <wp:positionV relativeFrom="page">
                <wp:posOffset>306705</wp:posOffset>
              </wp:positionV>
              <wp:extent cx="2776855" cy="79375"/>
              <wp:effectExtent l="0" t="0" r="0" b="0"/>
              <wp:wrapNone/>
              <wp:docPr id="456" name="Shape 456"/>
              <wp:cNvGraphicFramePr/>
              <a:graphic xmlns:a="http://schemas.openxmlformats.org/drawingml/2006/main">
                <a:graphicData uri="http://schemas.microsoft.com/office/word/2010/wordprocessingShape">
                  <wps:wsp>
                    <wps:cNvSpPr txBox="1"/>
                    <wps:spPr>
                      <a:xfrm>
                        <a:off x="0" y="0"/>
                        <a:ext cx="2776855" cy="79375"/>
                      </a:xfrm>
                      <a:prstGeom prst="rect">
                        <a:avLst/>
                      </a:prstGeom>
                      <a:noFill/>
                    </wps:spPr>
                    <wps:txbx>
                      <w:txbxContent>
                        <w:p w14:paraId="1FD1ABD8" w14:textId="77777777" w:rsidR="0072615D" w:rsidRDefault="0072615D">
                          <w:pPr>
                            <w:pStyle w:val="Headerorfooter0"/>
                            <w:tabs>
                              <w:tab w:val="right" w:pos="4373"/>
                            </w:tabs>
                            <w:rPr>
                              <w:sz w:val="16"/>
                              <w:szCs w:val="16"/>
                            </w:rPr>
                          </w:pPr>
                          <w:r>
                            <w:t>ADENOVIRUS, INFECCIONES</w:t>
                          </w:r>
                          <w:r>
                            <w:tab/>
                          </w:r>
                          <w:r>
                            <w:rPr>
                              <w:sz w:val="16"/>
                              <w:szCs w:val="16"/>
                            </w:rPr>
                            <w:t>209</w:t>
                          </w:r>
                        </w:p>
                      </w:txbxContent>
                    </wps:txbx>
                    <wps:bodyPr lIns="0" tIns="0" rIns="0" bIns="0">
                      <a:spAutoFit/>
                    </wps:bodyPr>
                  </wps:wsp>
                </a:graphicData>
              </a:graphic>
            </wp:anchor>
          </w:drawing>
        </mc:Choice>
        <mc:Fallback>
          <w:pict>
            <v:shapetype w14:anchorId="32FB5A49" id="_x0000_t202" coordsize="21600,21600" o:spt="202" path="m,l,21600r21600,l21600,xe">
              <v:stroke joinstyle="miter"/>
              <v:path gradientshapeok="t" o:connecttype="rect"/>
            </v:shapetype>
            <v:shape id="Shape 456" o:spid="_x0000_s1195" type="#_x0000_t202" style="position:absolute;margin-left:164pt;margin-top:24.15pt;width:218.65pt;height:6.25pt;z-index:-2513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" filled="f" stroked="f">
              <v:textbox style="mso-fit-shape-to-text:t" inset="0,0,0,0">
                <w:txbxContent>
                  <w:p w14:paraId="1FD1ABD8" w14:textId="77777777" w:rsidR="0072615D" w:rsidRDefault="0072615D">
                    <w:pPr>
                      <w:pStyle w:val="Headerorfooter0"/>
                      <w:tabs>
                        <w:tab w:val="right" w:pos="4373"/>
                      </w:tabs>
                      <w:rPr>
                        <w:sz w:val="16"/>
                        <w:szCs w:val="16"/>
                      </w:rPr>
                    </w:pPr>
                    <w:r>
                      <w:t>ADENOVIRUS, INFECCIONES</w:t>
                    </w:r>
                    <w:r>
                      <w:tab/>
                    </w:r>
                    <w:r>
                      <w:rPr>
                        <w:sz w:val="16"/>
                        <w:szCs w:val="16"/>
                      </w:rPr>
                      <w:t>209</w:t>
                    </w:r>
                  </w:p>
                </w:txbxContent>
              </v:textbox>
              <w10:wrap anchorx="page" anchory="page"/>
            </v:shape>
          </w:pict>
        </mc:Fallback>
      </mc:AlternateContent>
    </w:r>
    <w:r>
      <w:rPr>
        <w:noProof/>
      </w:rPr>
      <mc:AlternateContent>
        <mc:Choice Requires="wps">
          <w:drawing>
            <wp:anchor distT="0" distB="0" distL="114300" distR="114300" simplePos="0" relativeHeight="251778048" behindDoc="1" locked="0" layoutInCell="1" allowOverlap="1" wp14:anchorId="369B48B8" wp14:editId="7E4191AF">
              <wp:simplePos x="0" y="0"/>
              <wp:positionH relativeFrom="page">
                <wp:posOffset>521970</wp:posOffset>
              </wp:positionH>
              <wp:positionV relativeFrom="page">
                <wp:posOffset>414655</wp:posOffset>
              </wp:positionV>
              <wp:extent cx="4358640" cy="0"/>
              <wp:effectExtent l="0" t="0" r="0" b="0"/>
              <wp:wrapNone/>
              <wp:docPr id="458" name="Shape 458"/>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34769FCE" id="_x0000_t32" coordsize="21600,21600" o:spt="32" o:oned="t" path="m,l21600,21600e" filled="f">
              <v:path arrowok="t" fillok="f" o:connecttype="none"/>
              <o:lock v:ext="edit" shapetype="t"/>
            </v:shapetype>
            <v:shape id="Shape 458" o:spid="_x0000_s1026" type="#_x0000_t32" style="position:absolute;margin-left:41.1pt;margin-top:32.65pt;width:343.2pt;height:0;z-index:-2515384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" strokeweight="1pt">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1FEE" w14:textId="77777777" w:rsidR="0072615D" w:rsidRDefault="0072615D">
    <w:pPr>
      <w:spacing w:line="1" w:lineRule="exact"/>
    </w:pPr>
    <w:r>
      <w:rPr>
        <w:noProof/>
      </w:rPr>
      <mc:AlternateContent>
        <mc:Choice Requires="wps">
          <w:drawing>
            <wp:anchor distT="0" distB="0" distL="0" distR="0" simplePos="0" relativeHeight="251929600" behindDoc="1" locked="0" layoutInCell="1" allowOverlap="1" wp14:anchorId="347ED46C" wp14:editId="00A7F1CE">
              <wp:simplePos x="0" y="0"/>
              <wp:positionH relativeFrom="page">
                <wp:posOffset>529590</wp:posOffset>
              </wp:positionH>
              <wp:positionV relativeFrom="page">
                <wp:posOffset>306705</wp:posOffset>
              </wp:positionV>
              <wp:extent cx="2746375" cy="79375"/>
              <wp:effectExtent l="0" t="0" r="0" b="0"/>
              <wp:wrapNone/>
              <wp:docPr id="462" name="Shape 462"/>
              <wp:cNvGraphicFramePr/>
              <a:graphic xmlns:a="http://schemas.openxmlformats.org/drawingml/2006/main">
                <a:graphicData uri="http://schemas.microsoft.com/office/word/2010/wordprocessingShape">
                  <wps:wsp>
                    <wps:cNvSpPr txBox="1"/>
                    <wps:spPr>
                      <a:xfrm>
                        <a:off x="0" y="0"/>
                        <a:ext cx="2746375" cy="79375"/>
                      </a:xfrm>
                      <a:prstGeom prst="rect">
                        <a:avLst/>
                      </a:prstGeom>
                      <a:noFill/>
                    </wps:spPr>
                    <wps:txbx>
                      <w:txbxContent>
                        <w:p w14:paraId="082817C0" w14:textId="77777777" w:rsidR="0072615D" w:rsidRDefault="0072615D">
                          <w:pPr>
                            <w:pStyle w:val="Headerorfooter0"/>
                            <w:tabs>
                              <w:tab w:val="right" w:pos="4325"/>
                            </w:tabs>
                          </w:pPr>
                          <w:r>
                            <w:rPr>
                              <w:sz w:val="16"/>
                              <w:szCs w:val="16"/>
                            </w:rPr>
                            <w:t>214</w:t>
                          </w:r>
                          <w:r>
                            <w:rPr>
                              <w:sz w:val="16"/>
                              <w:szCs w:val="16"/>
                            </w:rPr>
                            <w:tab/>
                          </w:r>
                          <w:r>
                            <w:t>ARBOVIRUS, INFECCIONES</w:t>
                          </w:r>
                        </w:p>
                      </w:txbxContent>
                    </wps:txbx>
                    <wps:bodyPr lIns="0" tIns="0" rIns="0" bIns="0">
                      <a:spAutoFit/>
                    </wps:bodyPr>
                  </wps:wsp>
                </a:graphicData>
              </a:graphic>
            </wp:anchor>
          </w:drawing>
        </mc:Choice>
        <mc:Fallback>
          <w:pict>
            <v:shapetype w14:anchorId="347ED46C" id="_x0000_t202" coordsize="21600,21600" o:spt="202" path="m,l,21600r21600,l21600,xe">
              <v:stroke joinstyle="miter"/>
              <v:path gradientshapeok="t" o:connecttype="rect"/>
            </v:shapetype>
            <v:shape id="Shape 462" o:spid="_x0000_s1196" type="#_x0000_t202" style="position:absolute;margin-left:41.7pt;margin-top:24.15pt;width:216.25pt;height:6.25pt;z-index:-2513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" filled="f" stroked="f">
              <v:textbox style="mso-fit-shape-to-text:t" inset="0,0,0,0">
                <w:txbxContent>
                  <w:p w14:paraId="082817C0" w14:textId="77777777" w:rsidR="0072615D" w:rsidRDefault="0072615D">
                    <w:pPr>
                      <w:pStyle w:val="Headerorfooter0"/>
                      <w:tabs>
                        <w:tab w:val="right" w:pos="4325"/>
                      </w:tabs>
                    </w:pPr>
                    <w:r>
                      <w:rPr>
                        <w:sz w:val="16"/>
                        <w:szCs w:val="16"/>
                      </w:rPr>
                      <w:t>214</w:t>
                    </w:r>
                    <w:r>
                      <w:rPr>
                        <w:sz w:val="16"/>
                        <w:szCs w:val="16"/>
                      </w:rPr>
                      <w:tab/>
                    </w:r>
                    <w:r>
                      <w:t>ARBOVIRUS, INFECCIONES</w:t>
                    </w:r>
                  </w:p>
                </w:txbxContent>
              </v:textbox>
              <w10:wrap anchorx="page" anchory="page"/>
            </v:shape>
          </w:pict>
        </mc:Fallback>
      </mc:AlternateContent>
    </w:r>
    <w:r>
      <w:rPr>
        <w:noProof/>
      </w:rPr>
      <mc:AlternateContent>
        <mc:Choice Requires="wps">
          <w:drawing>
            <wp:anchor distT="0" distB="0" distL="114300" distR="114300" simplePos="0" relativeHeight="251780096" behindDoc="1" locked="0" layoutInCell="1" allowOverlap="1" wp14:anchorId="45F412A6" wp14:editId="3F7C4798">
              <wp:simplePos x="0" y="0"/>
              <wp:positionH relativeFrom="page">
                <wp:posOffset>514350</wp:posOffset>
              </wp:positionH>
              <wp:positionV relativeFrom="page">
                <wp:posOffset>414655</wp:posOffset>
              </wp:positionV>
              <wp:extent cx="4358640" cy="0"/>
              <wp:effectExtent l="0" t="0" r="0" b="0"/>
              <wp:wrapNone/>
              <wp:docPr id="464" name="Shape 464"/>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ED44E89" id="_x0000_t32" coordsize="21600,21600" o:spt="32" o:oned="t" path="m,l21600,21600e" filled="f">
              <v:path arrowok="t" fillok="f" o:connecttype="none"/>
              <o:lock v:ext="edit" shapetype="t"/>
            </v:shapetype>
            <v:shape id="Shape 464" o:spid="_x0000_s1026" type="#_x0000_t32" style="position:absolute;margin-left:40.5pt;margin-top:32.65pt;width:343.2pt;height:0;z-index:-2515363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BB48" w14:textId="77777777" w:rsidR="0072615D" w:rsidRDefault="0072615D">
    <w:pPr>
      <w:spacing w:line="1" w:lineRule="exact"/>
    </w:pPr>
    <w:r>
      <w:rPr>
        <w:noProof/>
      </w:rPr>
      <mc:AlternateContent>
        <mc:Choice Requires="wps">
          <w:drawing>
            <wp:anchor distT="0" distB="0" distL="0" distR="0" simplePos="0" relativeHeight="251928576" behindDoc="1" locked="0" layoutInCell="1" allowOverlap="1" wp14:anchorId="1DD356A1" wp14:editId="4FAF321C">
              <wp:simplePos x="0" y="0"/>
              <wp:positionH relativeFrom="page">
                <wp:posOffset>529590</wp:posOffset>
              </wp:positionH>
              <wp:positionV relativeFrom="page">
                <wp:posOffset>306705</wp:posOffset>
              </wp:positionV>
              <wp:extent cx="2746375" cy="79375"/>
              <wp:effectExtent l="0" t="0" r="0" b="0"/>
              <wp:wrapNone/>
              <wp:docPr id="459" name="Shape 459"/>
              <wp:cNvGraphicFramePr/>
              <a:graphic xmlns:a="http://schemas.openxmlformats.org/drawingml/2006/main">
                <a:graphicData uri="http://schemas.microsoft.com/office/word/2010/wordprocessingShape">
                  <wps:wsp>
                    <wps:cNvSpPr txBox="1"/>
                    <wps:spPr>
                      <a:xfrm>
                        <a:off x="0" y="0"/>
                        <a:ext cx="2746375" cy="79375"/>
                      </a:xfrm>
                      <a:prstGeom prst="rect">
                        <a:avLst/>
                      </a:prstGeom>
                      <a:noFill/>
                    </wps:spPr>
                    <wps:txbx>
                      <w:txbxContent>
                        <w:p w14:paraId="4D68C606" w14:textId="77777777" w:rsidR="0072615D" w:rsidRDefault="0072615D">
                          <w:pPr>
                            <w:pStyle w:val="Headerorfooter0"/>
                            <w:tabs>
                              <w:tab w:val="right" w:pos="4325"/>
                            </w:tabs>
                          </w:pPr>
                          <w:r>
                            <w:rPr>
                              <w:sz w:val="16"/>
                              <w:szCs w:val="16"/>
                            </w:rPr>
                            <w:t>214</w:t>
                          </w:r>
                          <w:r>
                            <w:rPr>
                              <w:sz w:val="16"/>
                              <w:szCs w:val="16"/>
                            </w:rPr>
                            <w:tab/>
                          </w:r>
                          <w:r>
                            <w:t>ARBOVIRUS, INFECCIONES</w:t>
                          </w:r>
                        </w:p>
                      </w:txbxContent>
                    </wps:txbx>
                    <wps:bodyPr lIns="0" tIns="0" rIns="0" bIns="0">
                      <a:spAutoFit/>
                    </wps:bodyPr>
                  </wps:wsp>
                </a:graphicData>
              </a:graphic>
            </wp:anchor>
          </w:drawing>
        </mc:Choice>
        <mc:Fallback>
          <w:pict>
            <v:shapetype w14:anchorId="1DD356A1" id="_x0000_t202" coordsize="21600,21600" o:spt="202" path="m,l,21600r21600,l21600,xe">
              <v:stroke joinstyle="miter"/>
              <v:path gradientshapeok="t" o:connecttype="rect"/>
            </v:shapetype>
            <v:shape id="Shape 459" o:spid="_x0000_s1197" type="#_x0000_t202" style="position:absolute;margin-left:41.7pt;margin-top:24.15pt;width:216.25pt;height:6.25pt;z-index:-2513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" filled="f" stroked="f">
              <v:textbox style="mso-fit-shape-to-text:t" inset="0,0,0,0">
                <w:txbxContent>
                  <w:p w14:paraId="4D68C606" w14:textId="77777777" w:rsidR="0072615D" w:rsidRDefault="0072615D">
                    <w:pPr>
                      <w:pStyle w:val="Headerorfooter0"/>
                      <w:tabs>
                        <w:tab w:val="right" w:pos="4325"/>
                      </w:tabs>
                    </w:pPr>
                    <w:r>
                      <w:rPr>
                        <w:sz w:val="16"/>
                        <w:szCs w:val="16"/>
                      </w:rPr>
                      <w:t>214</w:t>
                    </w:r>
                    <w:r>
                      <w:rPr>
                        <w:sz w:val="16"/>
                        <w:szCs w:val="16"/>
                      </w:rPr>
                      <w:tab/>
                    </w:r>
                    <w:r>
                      <w:t>ARBOVIRUS, INFECCIONES</w:t>
                    </w:r>
                  </w:p>
                </w:txbxContent>
              </v:textbox>
              <w10:wrap anchorx="page" anchory="page"/>
            </v:shape>
          </w:pict>
        </mc:Fallback>
      </mc:AlternateContent>
    </w:r>
    <w:r>
      <w:rPr>
        <w:noProof/>
      </w:rPr>
      <mc:AlternateContent>
        <mc:Choice Requires="wps">
          <w:drawing>
            <wp:anchor distT="0" distB="0" distL="114300" distR="114300" simplePos="0" relativeHeight="251779072" behindDoc="1" locked="0" layoutInCell="1" allowOverlap="1" wp14:anchorId="0F222AED" wp14:editId="2CD575E7">
              <wp:simplePos x="0" y="0"/>
              <wp:positionH relativeFrom="page">
                <wp:posOffset>514350</wp:posOffset>
              </wp:positionH>
              <wp:positionV relativeFrom="page">
                <wp:posOffset>414655</wp:posOffset>
              </wp:positionV>
              <wp:extent cx="4358640" cy="0"/>
              <wp:effectExtent l="0" t="0" r="0" b="0"/>
              <wp:wrapNone/>
              <wp:docPr id="461" name="Shape 461"/>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B4157ED" id="_x0000_t32" coordsize="21600,21600" o:spt="32" o:oned="t" path="m,l21600,21600e" filled="f">
              <v:path arrowok="t" fillok="f" o:connecttype="none"/>
              <o:lock v:ext="edit" shapetype="t"/>
            </v:shapetype>
            <v:shape id="Shape 461" o:spid="_x0000_s1026" type="#_x0000_t32" style="position:absolute;margin-left:40.5pt;margin-top:32.65pt;width:343.2pt;height:0;z-index:-2515374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" strokeweight="1pt">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7A0ED" w14:textId="77777777" w:rsidR="0072615D" w:rsidRDefault="0072615D">
    <w:pPr>
      <w:spacing w:line="1" w:lineRule="exact"/>
    </w:pPr>
    <w:r>
      <w:rPr>
        <w:noProof/>
      </w:rPr>
      <mc:AlternateContent>
        <mc:Choice Requires="wps">
          <w:drawing>
            <wp:anchor distT="0" distB="0" distL="0" distR="0" simplePos="0" relativeHeight="251930624" behindDoc="1" locked="0" layoutInCell="1" allowOverlap="1" wp14:anchorId="1418F46A" wp14:editId="1C6543A7">
              <wp:simplePos x="0" y="0"/>
              <wp:positionH relativeFrom="page">
                <wp:posOffset>2470150</wp:posOffset>
              </wp:positionH>
              <wp:positionV relativeFrom="page">
                <wp:posOffset>315595</wp:posOffset>
              </wp:positionV>
              <wp:extent cx="2380615" cy="69850"/>
              <wp:effectExtent l="0" t="0" r="0" b="0"/>
              <wp:wrapNone/>
              <wp:docPr id="465" name="Shape 465"/>
              <wp:cNvGraphicFramePr/>
              <a:graphic xmlns:a="http://schemas.openxmlformats.org/drawingml/2006/main">
                <a:graphicData uri="http://schemas.microsoft.com/office/word/2010/wordprocessingShape">
                  <wps:wsp>
                    <wps:cNvSpPr txBox="1"/>
                    <wps:spPr>
                      <a:xfrm>
                        <a:off x="0" y="0"/>
                        <a:ext cx="2380615" cy="69850"/>
                      </a:xfrm>
                      <a:prstGeom prst="rect">
                        <a:avLst/>
                      </a:prstGeom>
                      <a:noFill/>
                    </wps:spPr>
                    <wps:txbx>
                      <w:txbxContent>
                        <w:p w14:paraId="53E6F408" w14:textId="77777777" w:rsidR="0072615D" w:rsidRDefault="0072615D">
                          <w:pPr>
                            <w:pStyle w:val="Headerorfooter0"/>
                            <w:tabs>
                              <w:tab w:val="right" w:pos="3749"/>
                            </w:tabs>
                            <w:rPr>
                              <w:sz w:val="16"/>
                              <w:szCs w:val="16"/>
                            </w:rPr>
                          </w:pPr>
                          <w:r>
                            <w:t>AMIBIASIS</w:t>
                          </w:r>
                          <w:r>
                            <w:tab/>
                          </w:r>
                          <w:r>
                            <w:rPr>
                              <w:sz w:val="16"/>
                              <w:szCs w:val="16"/>
                            </w:rPr>
                            <w:t>213</w:t>
                          </w:r>
                        </w:p>
                      </w:txbxContent>
                    </wps:txbx>
                    <wps:bodyPr lIns="0" tIns="0" rIns="0" bIns="0">
                      <a:spAutoFit/>
                    </wps:bodyPr>
                  </wps:wsp>
                </a:graphicData>
              </a:graphic>
            </wp:anchor>
          </w:drawing>
        </mc:Choice>
        <mc:Fallback>
          <w:pict>
            <v:shapetype w14:anchorId="1418F46A" id="_x0000_t202" coordsize="21600,21600" o:spt="202" path="m,l,21600r21600,l21600,xe">
              <v:stroke joinstyle="miter"/>
              <v:path gradientshapeok="t" o:connecttype="rect"/>
            </v:shapetype>
            <v:shape id="Shape 465" o:spid="_x0000_s1198" type="#_x0000_t202" style="position:absolute;margin-left:194.5pt;margin-top:24.85pt;width:187.45pt;height:5.5pt;z-index:-2513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" filled="f" stroked="f">
              <v:textbox style="mso-fit-shape-to-text:t" inset="0,0,0,0">
                <w:txbxContent>
                  <w:p w14:paraId="53E6F408" w14:textId="77777777" w:rsidR="0072615D" w:rsidRDefault="0072615D">
                    <w:pPr>
                      <w:pStyle w:val="Headerorfooter0"/>
                      <w:tabs>
                        <w:tab w:val="right" w:pos="3749"/>
                      </w:tabs>
                      <w:rPr>
                        <w:sz w:val="16"/>
                        <w:szCs w:val="16"/>
                      </w:rPr>
                    </w:pPr>
                    <w:r>
                      <w:t>AMIBIASIS</w:t>
                    </w:r>
                    <w:r>
                      <w:tab/>
                    </w:r>
                    <w:r>
                      <w:rPr>
                        <w:sz w:val="16"/>
                        <w:szCs w:val="16"/>
                      </w:rPr>
                      <w:t>213</w:t>
                    </w:r>
                  </w:p>
                </w:txbxContent>
              </v:textbox>
              <w10:wrap anchorx="page" anchory="page"/>
            </v:shape>
          </w:pict>
        </mc:Fallback>
      </mc:AlternateContent>
    </w:r>
    <w:r>
      <w:rPr>
        <w:noProof/>
      </w:rPr>
      <mc:AlternateContent>
        <mc:Choice Requires="wps">
          <w:drawing>
            <wp:anchor distT="0" distB="0" distL="114300" distR="114300" simplePos="0" relativeHeight="251781120" behindDoc="1" locked="0" layoutInCell="1" allowOverlap="1" wp14:anchorId="73E11988" wp14:editId="1D9D7BA2">
              <wp:simplePos x="0" y="0"/>
              <wp:positionH relativeFrom="page">
                <wp:posOffset>513080</wp:posOffset>
              </wp:positionH>
              <wp:positionV relativeFrom="page">
                <wp:posOffset>424180</wp:posOffset>
              </wp:positionV>
              <wp:extent cx="4358640" cy="0"/>
              <wp:effectExtent l="0" t="0" r="0" b="0"/>
              <wp:wrapNone/>
              <wp:docPr id="467" name="Shape 467"/>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28399C3A" id="_x0000_t32" coordsize="21600,21600" o:spt="32" o:oned="t" path="m,l21600,21600e" filled="f">
              <v:path arrowok="t" fillok="f" o:connecttype="none"/>
              <o:lock v:ext="edit" shapetype="t"/>
            </v:shapetype>
            <v:shape id="Shape 467" o:spid="_x0000_s1026" type="#_x0000_t32" style="position:absolute;margin-left:40.4pt;margin-top:33.4pt;width:343.2pt;height:0;z-index:-2515353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" strokeweight="1pt">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4CD5" w14:textId="77777777" w:rsidR="0072615D" w:rsidRDefault="0072615D">
    <w:pPr>
      <w:spacing w:line="1" w:lineRule="exact"/>
    </w:pPr>
    <w:r>
      <w:rPr>
        <w:noProof/>
      </w:rPr>
      <mc:AlternateContent>
        <mc:Choice Requires="wps">
          <w:drawing>
            <wp:anchor distT="0" distB="0" distL="0" distR="0" simplePos="0" relativeHeight="251932672" behindDoc="1" locked="0" layoutInCell="1" allowOverlap="1" wp14:anchorId="3D9CA7D4" wp14:editId="3DDF4FC6">
              <wp:simplePos x="0" y="0"/>
              <wp:positionH relativeFrom="page">
                <wp:posOffset>1630045</wp:posOffset>
              </wp:positionH>
              <wp:positionV relativeFrom="page">
                <wp:posOffset>306705</wp:posOffset>
              </wp:positionV>
              <wp:extent cx="3218815" cy="79375"/>
              <wp:effectExtent l="0" t="0" r="0" b="0"/>
              <wp:wrapNone/>
              <wp:docPr id="471" name="Shape 471"/>
              <wp:cNvGraphicFramePr/>
              <a:graphic xmlns:a="http://schemas.openxmlformats.org/drawingml/2006/main">
                <a:graphicData uri="http://schemas.microsoft.com/office/word/2010/wordprocessingShape">
                  <wps:wsp>
                    <wps:cNvSpPr txBox="1"/>
                    <wps:spPr>
                      <a:xfrm>
                        <a:off x="0" y="0"/>
                        <a:ext cx="3218815" cy="79375"/>
                      </a:xfrm>
                      <a:prstGeom prst="rect">
                        <a:avLst/>
                      </a:prstGeom>
                      <a:noFill/>
                    </wps:spPr>
                    <wps:txbx>
                      <w:txbxContent>
                        <w:p w14:paraId="75DE2607" w14:textId="77777777" w:rsidR="0072615D" w:rsidRDefault="0072615D">
                          <w:pPr>
                            <w:pStyle w:val="Headerorfooter0"/>
                            <w:tabs>
                              <w:tab w:val="right" w:pos="5069"/>
                            </w:tabs>
                            <w:rPr>
                              <w:sz w:val="16"/>
                              <w:szCs w:val="16"/>
                            </w:rPr>
                          </w:pPr>
                          <w:r>
                            <w:t>AMIBIANAS, MENINGOENCEFALITIS Y QUERATITIS</w:t>
                          </w:r>
                          <w:r>
                            <w:tab/>
                          </w:r>
                          <w:r>
                            <w:rPr>
                              <w:sz w:val="16"/>
                              <w:szCs w:val="16"/>
                            </w:rPr>
                            <w:t>211</w:t>
                          </w:r>
                        </w:p>
                      </w:txbxContent>
                    </wps:txbx>
                    <wps:bodyPr lIns="0" tIns="0" rIns="0" bIns="0">
                      <a:spAutoFit/>
                    </wps:bodyPr>
                  </wps:wsp>
                </a:graphicData>
              </a:graphic>
            </wp:anchor>
          </w:drawing>
        </mc:Choice>
        <mc:Fallback>
          <w:pict>
            <v:shapetype w14:anchorId="3D9CA7D4" id="_x0000_t202" coordsize="21600,21600" o:spt="202" path="m,l,21600r21600,l21600,xe">
              <v:stroke joinstyle="miter"/>
              <v:path gradientshapeok="t" o:connecttype="rect"/>
            </v:shapetype>
            <v:shape id="Shape 471" o:spid="_x0000_s1199" type="#_x0000_t202" style="position:absolute;margin-left:128.35pt;margin-top:24.15pt;width:253.45pt;height:6.25pt;z-index:-2513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" filled="f" stroked="f">
              <v:textbox style="mso-fit-shape-to-text:t" inset="0,0,0,0">
                <w:txbxContent>
                  <w:p w14:paraId="75DE2607" w14:textId="77777777" w:rsidR="0072615D" w:rsidRDefault="0072615D">
                    <w:pPr>
                      <w:pStyle w:val="Headerorfooter0"/>
                      <w:tabs>
                        <w:tab w:val="right" w:pos="5069"/>
                      </w:tabs>
                      <w:rPr>
                        <w:sz w:val="16"/>
                        <w:szCs w:val="16"/>
                      </w:rPr>
                    </w:pPr>
                    <w:r>
                      <w:t>AMIBIANAS, MENINGOENCEFALITIS Y QUERATITIS</w:t>
                    </w:r>
                    <w:r>
                      <w:tab/>
                    </w:r>
                    <w:r>
                      <w:rPr>
                        <w:sz w:val="16"/>
                        <w:szCs w:val="16"/>
                      </w:rPr>
                      <w:t>211</w:t>
                    </w:r>
                  </w:p>
                </w:txbxContent>
              </v:textbox>
              <w10:wrap anchorx="page" anchory="page"/>
            </v:shape>
          </w:pict>
        </mc:Fallback>
      </mc:AlternateContent>
    </w:r>
    <w:r>
      <w:rPr>
        <w:noProof/>
      </w:rPr>
      <mc:AlternateContent>
        <mc:Choice Requires="wps">
          <w:drawing>
            <wp:anchor distT="0" distB="0" distL="114300" distR="114300" simplePos="0" relativeHeight="251783168" behindDoc="1" locked="0" layoutInCell="1" allowOverlap="1" wp14:anchorId="3B043E04" wp14:editId="2CCBE630">
              <wp:simplePos x="0" y="0"/>
              <wp:positionH relativeFrom="page">
                <wp:posOffset>527050</wp:posOffset>
              </wp:positionH>
              <wp:positionV relativeFrom="page">
                <wp:posOffset>414655</wp:posOffset>
              </wp:positionV>
              <wp:extent cx="4358640" cy="0"/>
              <wp:effectExtent l="0" t="0" r="0" b="0"/>
              <wp:wrapNone/>
              <wp:docPr id="473" name="Shape 473"/>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17CB6712" id="_x0000_t32" coordsize="21600,21600" o:spt="32" o:oned="t" path="m,l21600,21600e" filled="f">
              <v:path arrowok="t" fillok="f" o:connecttype="none"/>
              <o:lock v:ext="edit" shapetype="t"/>
            </v:shapetype>
            <v:shape id="Shape 473" o:spid="_x0000_s1026" type="#_x0000_t32" style="position:absolute;margin-left:41.5pt;margin-top:32.65pt;width:343.2pt;height:0;z-index:-2515333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" strokeweight="1pt">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0C3F" w14:textId="77777777" w:rsidR="0072615D" w:rsidRDefault="0072615D">
    <w:pPr>
      <w:spacing w:line="1" w:lineRule="exact"/>
    </w:pPr>
    <w:r>
      <w:rPr>
        <w:noProof/>
      </w:rPr>
      <mc:AlternateContent>
        <mc:Choice Requires="wps">
          <w:drawing>
            <wp:anchor distT="0" distB="0" distL="0" distR="0" simplePos="0" relativeHeight="251931648" behindDoc="1" locked="0" layoutInCell="1" allowOverlap="1" wp14:anchorId="254A84E6" wp14:editId="36D92DA4">
              <wp:simplePos x="0" y="0"/>
              <wp:positionH relativeFrom="page">
                <wp:posOffset>1630045</wp:posOffset>
              </wp:positionH>
              <wp:positionV relativeFrom="page">
                <wp:posOffset>306705</wp:posOffset>
              </wp:positionV>
              <wp:extent cx="3218815" cy="79375"/>
              <wp:effectExtent l="0" t="0" r="0" b="0"/>
              <wp:wrapNone/>
              <wp:docPr id="468" name="Shape 468"/>
              <wp:cNvGraphicFramePr/>
              <a:graphic xmlns:a="http://schemas.openxmlformats.org/drawingml/2006/main">
                <a:graphicData uri="http://schemas.microsoft.com/office/word/2010/wordprocessingShape">
                  <wps:wsp>
                    <wps:cNvSpPr txBox="1"/>
                    <wps:spPr>
                      <a:xfrm>
                        <a:off x="0" y="0"/>
                        <a:ext cx="3218815" cy="79375"/>
                      </a:xfrm>
                      <a:prstGeom prst="rect">
                        <a:avLst/>
                      </a:prstGeom>
                      <a:noFill/>
                    </wps:spPr>
                    <wps:txbx>
                      <w:txbxContent>
                        <w:p w14:paraId="69DC61DB" w14:textId="77777777" w:rsidR="0072615D" w:rsidRDefault="0072615D">
                          <w:pPr>
                            <w:pStyle w:val="Headerorfooter0"/>
                            <w:tabs>
                              <w:tab w:val="right" w:pos="5069"/>
                            </w:tabs>
                            <w:rPr>
                              <w:sz w:val="16"/>
                              <w:szCs w:val="16"/>
                            </w:rPr>
                          </w:pPr>
                          <w:r>
                            <w:t>AMIBIANAS, MENINGOENCEFALITIS Y QUERATITIS</w:t>
                          </w:r>
                          <w:r>
                            <w:tab/>
                          </w:r>
                          <w:r>
                            <w:rPr>
                              <w:sz w:val="16"/>
                              <w:szCs w:val="16"/>
                            </w:rPr>
                            <w:t>211</w:t>
                          </w:r>
                        </w:p>
                      </w:txbxContent>
                    </wps:txbx>
                    <wps:bodyPr lIns="0" tIns="0" rIns="0" bIns="0">
                      <a:spAutoFit/>
                    </wps:bodyPr>
                  </wps:wsp>
                </a:graphicData>
              </a:graphic>
            </wp:anchor>
          </w:drawing>
        </mc:Choice>
        <mc:Fallback>
          <w:pict>
            <v:shapetype w14:anchorId="254A84E6" id="_x0000_t202" coordsize="21600,21600" o:spt="202" path="m,l,21600r21600,l21600,xe">
              <v:stroke joinstyle="miter"/>
              <v:path gradientshapeok="t" o:connecttype="rect"/>
            </v:shapetype>
            <v:shape id="Shape 468" o:spid="_x0000_s1200" type="#_x0000_t202" style="position:absolute;margin-left:128.35pt;margin-top:24.15pt;width:253.45pt;height:6.25pt;z-index:-2513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" filled="f" stroked="f">
              <v:textbox style="mso-fit-shape-to-text:t" inset="0,0,0,0">
                <w:txbxContent>
                  <w:p w14:paraId="69DC61DB" w14:textId="77777777" w:rsidR="0072615D" w:rsidRDefault="0072615D">
                    <w:pPr>
                      <w:pStyle w:val="Headerorfooter0"/>
                      <w:tabs>
                        <w:tab w:val="right" w:pos="5069"/>
                      </w:tabs>
                      <w:rPr>
                        <w:sz w:val="16"/>
                        <w:szCs w:val="16"/>
                      </w:rPr>
                    </w:pPr>
                    <w:r>
                      <w:t>AMIBIANAS, MENINGOENCEFALITIS Y QUERATITIS</w:t>
                    </w:r>
                    <w:r>
                      <w:tab/>
                    </w:r>
                    <w:r>
                      <w:rPr>
                        <w:sz w:val="16"/>
                        <w:szCs w:val="16"/>
                      </w:rPr>
                      <w:t>211</w:t>
                    </w:r>
                  </w:p>
                </w:txbxContent>
              </v:textbox>
              <w10:wrap anchorx="page" anchory="page"/>
            </v:shape>
          </w:pict>
        </mc:Fallback>
      </mc:AlternateContent>
    </w:r>
    <w:r>
      <w:rPr>
        <w:noProof/>
      </w:rPr>
      <mc:AlternateContent>
        <mc:Choice Requires="wps">
          <w:drawing>
            <wp:anchor distT="0" distB="0" distL="114300" distR="114300" simplePos="0" relativeHeight="251782144" behindDoc="1" locked="0" layoutInCell="1" allowOverlap="1" wp14:anchorId="44B8CE5C" wp14:editId="00D17AD7">
              <wp:simplePos x="0" y="0"/>
              <wp:positionH relativeFrom="page">
                <wp:posOffset>527050</wp:posOffset>
              </wp:positionH>
              <wp:positionV relativeFrom="page">
                <wp:posOffset>414655</wp:posOffset>
              </wp:positionV>
              <wp:extent cx="4358640" cy="0"/>
              <wp:effectExtent l="0" t="0" r="0" b="0"/>
              <wp:wrapNone/>
              <wp:docPr id="470" name="Shape 470"/>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462A8ACF" id="_x0000_t32" coordsize="21600,21600" o:spt="32" o:oned="t" path="m,l21600,21600e" filled="f">
              <v:path arrowok="t" fillok="f" o:connecttype="none"/>
              <o:lock v:ext="edit" shapetype="t"/>
            </v:shapetype>
            <v:shape id="Shape 470" o:spid="_x0000_s1026" type="#_x0000_t32" style="position:absolute;margin-left:41.5pt;margin-top:32.65pt;width:343.2pt;height:0;z-index:-2515343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" strokeweight="1pt">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6316D" w14:textId="77777777" w:rsidR="0072615D" w:rsidRDefault="0072615D">
    <w:pPr>
      <w:spacing w:line="1" w:lineRule="exact"/>
    </w:pPr>
    <w:r>
      <w:rPr>
        <w:noProof/>
      </w:rPr>
      <mc:AlternateContent>
        <mc:Choice Requires="wps">
          <w:drawing>
            <wp:anchor distT="0" distB="0" distL="0" distR="0" simplePos="0" relativeHeight="251933696" behindDoc="1" locked="0" layoutInCell="1" allowOverlap="1" wp14:anchorId="7F622E4B" wp14:editId="7496E92E">
              <wp:simplePos x="0" y="0"/>
              <wp:positionH relativeFrom="page">
                <wp:posOffset>523875</wp:posOffset>
              </wp:positionH>
              <wp:positionV relativeFrom="page">
                <wp:posOffset>306705</wp:posOffset>
              </wp:positionV>
              <wp:extent cx="3234055" cy="79375"/>
              <wp:effectExtent l="0" t="0" r="0" b="0"/>
              <wp:wrapNone/>
              <wp:docPr id="474" name="Shape 474"/>
              <wp:cNvGraphicFramePr/>
              <a:graphic xmlns:a="http://schemas.openxmlformats.org/drawingml/2006/main">
                <a:graphicData uri="http://schemas.microsoft.com/office/word/2010/wordprocessingShape">
                  <wps:wsp>
                    <wps:cNvSpPr txBox="1"/>
                    <wps:spPr>
                      <a:xfrm>
                        <a:off x="0" y="0"/>
                        <a:ext cx="3234055" cy="79375"/>
                      </a:xfrm>
                      <a:prstGeom prst="rect">
                        <a:avLst/>
                      </a:prstGeom>
                      <a:noFill/>
                    </wps:spPr>
                    <wps:txbx>
                      <w:txbxContent>
                        <w:p w14:paraId="77634D0E" w14:textId="77777777" w:rsidR="0072615D" w:rsidRDefault="0072615D">
                          <w:pPr>
                            <w:pStyle w:val="Headerorfooter0"/>
                            <w:tabs>
                              <w:tab w:val="right" w:pos="5093"/>
                            </w:tabs>
                          </w:pPr>
                          <w:r>
                            <w:rPr>
                              <w:sz w:val="16"/>
                              <w:szCs w:val="16"/>
                            </w:rPr>
                            <w:t>210</w:t>
                          </w:r>
                          <w:r>
                            <w:rPr>
                              <w:sz w:val="16"/>
                              <w:szCs w:val="16"/>
                            </w:rPr>
                            <w:tab/>
                          </w:r>
                          <w:r>
                            <w:t>AMIBIANAS, MENINGOENCEFALITIS Y QUERATITIS</w:t>
                          </w:r>
                        </w:p>
                      </w:txbxContent>
                    </wps:txbx>
                    <wps:bodyPr lIns="0" tIns="0" rIns="0" bIns="0">
                      <a:spAutoFit/>
                    </wps:bodyPr>
                  </wps:wsp>
                </a:graphicData>
              </a:graphic>
            </wp:anchor>
          </w:drawing>
        </mc:Choice>
        <mc:Fallback>
          <w:pict>
            <v:shapetype w14:anchorId="7F622E4B" id="_x0000_t202" coordsize="21600,21600" o:spt="202" path="m,l,21600r21600,l21600,xe">
              <v:stroke joinstyle="miter"/>
              <v:path gradientshapeok="t" o:connecttype="rect"/>
            </v:shapetype>
            <v:shape id="Shape 474" o:spid="_x0000_s1201" type="#_x0000_t202" style="position:absolute;margin-left:41.25pt;margin-top:24.15pt;width:254.65pt;height:6.25pt;z-index:-2513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" filled="f" stroked="f">
              <v:textbox style="mso-fit-shape-to-text:t" inset="0,0,0,0">
                <w:txbxContent>
                  <w:p w14:paraId="77634D0E" w14:textId="77777777" w:rsidR="0072615D" w:rsidRDefault="0072615D">
                    <w:pPr>
                      <w:pStyle w:val="Headerorfooter0"/>
                      <w:tabs>
                        <w:tab w:val="right" w:pos="5093"/>
                      </w:tabs>
                    </w:pPr>
                    <w:r>
                      <w:rPr>
                        <w:sz w:val="16"/>
                        <w:szCs w:val="16"/>
                      </w:rPr>
                      <w:t>210</w:t>
                    </w:r>
                    <w:r>
                      <w:rPr>
                        <w:sz w:val="16"/>
                        <w:szCs w:val="16"/>
                      </w:rPr>
                      <w:tab/>
                    </w:r>
                    <w:r>
                      <w:t>AMIBIANAS, MENINGOENCEFALITIS Y QUERATITIS</w:t>
                    </w:r>
                  </w:p>
                </w:txbxContent>
              </v:textbox>
              <w10:wrap anchorx="page" anchory="page"/>
            </v:shape>
          </w:pict>
        </mc:Fallback>
      </mc:AlternateContent>
    </w:r>
    <w:r>
      <w:rPr>
        <w:noProof/>
      </w:rPr>
      <mc:AlternateContent>
        <mc:Choice Requires="wps">
          <w:drawing>
            <wp:anchor distT="0" distB="0" distL="114300" distR="114300" simplePos="0" relativeHeight="251784192" behindDoc="1" locked="0" layoutInCell="1" allowOverlap="1" wp14:anchorId="5C7C91B4" wp14:editId="31EE9A4E">
              <wp:simplePos x="0" y="0"/>
              <wp:positionH relativeFrom="page">
                <wp:posOffset>508635</wp:posOffset>
              </wp:positionH>
              <wp:positionV relativeFrom="page">
                <wp:posOffset>414655</wp:posOffset>
              </wp:positionV>
              <wp:extent cx="4358640" cy="0"/>
              <wp:effectExtent l="0" t="0" r="0" b="0"/>
              <wp:wrapNone/>
              <wp:docPr id="476" name="Shape 476"/>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5444A04" id="_x0000_t32" coordsize="21600,21600" o:spt="32" o:oned="t" path="m,l21600,21600e" filled="f">
              <v:path arrowok="t" fillok="f" o:connecttype="none"/>
              <o:lock v:ext="edit" shapetype="t"/>
            </v:shapetype>
            <v:shape id="Shape 476" o:spid="_x0000_s1026" type="#_x0000_t32" style="position:absolute;margin-left:40.05pt;margin-top:32.65pt;width:343.2pt;height:0;z-index:-2515322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" strokeweight="1pt">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9542" w14:textId="77777777" w:rsidR="0072615D" w:rsidRDefault="0072615D">
    <w:pPr>
      <w:spacing w:line="1" w:lineRule="exact"/>
    </w:pPr>
    <w:r>
      <w:rPr>
        <w:noProof/>
      </w:rPr>
      <mc:AlternateContent>
        <mc:Choice Requires="wps">
          <w:drawing>
            <wp:anchor distT="0" distB="0" distL="0" distR="0" simplePos="0" relativeHeight="251935744" behindDoc="1" locked="0" layoutInCell="1" allowOverlap="1" wp14:anchorId="29A27C1A" wp14:editId="597FBC26">
              <wp:simplePos x="0" y="0"/>
              <wp:positionH relativeFrom="page">
                <wp:posOffset>527050</wp:posOffset>
              </wp:positionH>
              <wp:positionV relativeFrom="page">
                <wp:posOffset>315595</wp:posOffset>
              </wp:positionV>
              <wp:extent cx="2414270" cy="69850"/>
              <wp:effectExtent l="0" t="0" r="0" b="0"/>
              <wp:wrapNone/>
              <wp:docPr id="480" name="Shape 480"/>
              <wp:cNvGraphicFramePr/>
              <a:graphic xmlns:a="http://schemas.openxmlformats.org/drawingml/2006/main">
                <a:graphicData uri="http://schemas.microsoft.com/office/word/2010/wordprocessingShape">
                  <wps:wsp>
                    <wps:cNvSpPr txBox="1"/>
                    <wps:spPr>
                      <a:xfrm>
                        <a:off x="0" y="0"/>
                        <a:ext cx="2414270" cy="69850"/>
                      </a:xfrm>
                      <a:prstGeom prst="rect">
                        <a:avLst/>
                      </a:prstGeom>
                      <a:noFill/>
                    </wps:spPr>
                    <wps:txbx>
                      <w:txbxContent>
                        <w:p w14:paraId="29B379BE" w14:textId="77777777" w:rsidR="0072615D" w:rsidRDefault="0072615D">
                          <w:pPr>
                            <w:pStyle w:val="Headerorfooter0"/>
                            <w:tabs>
                              <w:tab w:val="right" w:pos="3802"/>
                            </w:tabs>
                          </w:pPr>
                          <w:r>
                            <w:rPr>
                              <w:sz w:val="16"/>
                              <w:szCs w:val="16"/>
                            </w:rPr>
                            <w:t>246</w:t>
                          </w:r>
                          <w:r>
                            <w:rPr>
                              <w:sz w:val="16"/>
                              <w:szCs w:val="16"/>
                            </w:rPr>
                            <w:tab/>
                          </w:r>
                          <w:r>
                            <w:t>CARBUNCO</w:t>
                          </w:r>
                        </w:p>
                      </w:txbxContent>
                    </wps:txbx>
                    <wps:bodyPr lIns="0" tIns="0" rIns="0" bIns="0">
                      <a:spAutoFit/>
                    </wps:bodyPr>
                  </wps:wsp>
                </a:graphicData>
              </a:graphic>
            </wp:anchor>
          </w:drawing>
        </mc:Choice>
        <mc:Fallback>
          <w:pict>
            <v:shapetype w14:anchorId="29A27C1A" id="_x0000_t202" coordsize="21600,21600" o:spt="202" path="m,l,21600r21600,l21600,xe">
              <v:stroke joinstyle="miter"/>
              <v:path gradientshapeok="t" o:connecttype="rect"/>
            </v:shapetype>
            <v:shape id="Shape 480" o:spid="_x0000_s1202" type="#_x0000_t202" style="position:absolute;margin-left:41.5pt;margin-top:24.85pt;width:190.1pt;height:5.5pt;z-index:-2513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" filled="f" stroked="f">
              <v:textbox style="mso-fit-shape-to-text:t" inset="0,0,0,0">
                <w:txbxContent>
                  <w:p w14:paraId="29B379BE" w14:textId="77777777" w:rsidR="0072615D" w:rsidRDefault="0072615D">
                    <w:pPr>
                      <w:pStyle w:val="Headerorfooter0"/>
                      <w:tabs>
                        <w:tab w:val="right" w:pos="3802"/>
                      </w:tabs>
                    </w:pPr>
                    <w:r>
                      <w:rPr>
                        <w:sz w:val="16"/>
                        <w:szCs w:val="16"/>
                      </w:rPr>
                      <w:t>246</w:t>
                    </w:r>
                    <w:r>
                      <w:rPr>
                        <w:sz w:val="16"/>
                        <w:szCs w:val="16"/>
                      </w:rPr>
                      <w:tab/>
                    </w:r>
                    <w:r>
                      <w:t>CARBUNCO</w:t>
                    </w:r>
                  </w:p>
                </w:txbxContent>
              </v:textbox>
              <w10:wrap anchorx="page" anchory="page"/>
            </v:shape>
          </w:pict>
        </mc:Fallback>
      </mc:AlternateContent>
    </w:r>
    <w:r>
      <w:rPr>
        <w:noProof/>
      </w:rPr>
      <mc:AlternateContent>
        <mc:Choice Requires="wps">
          <w:drawing>
            <wp:anchor distT="0" distB="0" distL="114300" distR="114300" simplePos="0" relativeHeight="251786240" behindDoc="1" locked="0" layoutInCell="1" allowOverlap="1" wp14:anchorId="1461DB51" wp14:editId="09278048">
              <wp:simplePos x="0" y="0"/>
              <wp:positionH relativeFrom="page">
                <wp:posOffset>511810</wp:posOffset>
              </wp:positionH>
              <wp:positionV relativeFrom="page">
                <wp:posOffset>424180</wp:posOffset>
              </wp:positionV>
              <wp:extent cx="4358640" cy="0"/>
              <wp:effectExtent l="0" t="0" r="0" b="0"/>
              <wp:wrapNone/>
              <wp:docPr id="482" name="Shape 482"/>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6D344258" id="_x0000_t32" coordsize="21600,21600" o:spt="32" o:oned="t" path="m,l21600,21600e" filled="f">
              <v:path arrowok="t" fillok="f" o:connecttype="none"/>
              <o:lock v:ext="edit" shapetype="t"/>
            </v:shapetype>
            <v:shape id="Shape 482" o:spid="_x0000_s1026" type="#_x0000_t32" style="position:absolute;margin-left:40.3pt;margin-top:33.4pt;width:343.2pt;height:0;z-index:-2515302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" strokeweight="1pt">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61F7" w14:textId="77777777" w:rsidR="0072615D" w:rsidRDefault="0072615D">
    <w:pPr>
      <w:spacing w:line="1" w:lineRule="exact"/>
    </w:pPr>
    <w:r>
      <w:rPr>
        <w:noProof/>
      </w:rPr>
      <mc:AlternateContent>
        <mc:Choice Requires="wps">
          <w:drawing>
            <wp:anchor distT="0" distB="0" distL="0" distR="0" simplePos="0" relativeHeight="251934720" behindDoc="1" locked="0" layoutInCell="1" allowOverlap="1" wp14:anchorId="4B70F311" wp14:editId="4729B3C2">
              <wp:simplePos x="0" y="0"/>
              <wp:positionH relativeFrom="page">
                <wp:posOffset>2449830</wp:posOffset>
              </wp:positionH>
              <wp:positionV relativeFrom="page">
                <wp:posOffset>315595</wp:posOffset>
              </wp:positionV>
              <wp:extent cx="2411095" cy="69850"/>
              <wp:effectExtent l="0" t="0" r="0" b="0"/>
              <wp:wrapNone/>
              <wp:docPr id="477" name="Shape 477"/>
              <wp:cNvGraphicFramePr/>
              <a:graphic xmlns:a="http://schemas.openxmlformats.org/drawingml/2006/main">
                <a:graphicData uri="http://schemas.microsoft.com/office/word/2010/wordprocessingShape">
                  <wps:wsp>
                    <wps:cNvSpPr txBox="1"/>
                    <wps:spPr>
                      <a:xfrm>
                        <a:off x="0" y="0"/>
                        <a:ext cx="2411095" cy="69850"/>
                      </a:xfrm>
                      <a:prstGeom prst="rect">
                        <a:avLst/>
                      </a:prstGeom>
                      <a:noFill/>
                    </wps:spPr>
                    <wps:txbx>
                      <w:txbxContent>
                        <w:p w14:paraId="1DF2799C" w14:textId="77777777" w:rsidR="0072615D" w:rsidRDefault="0072615D">
                          <w:pPr>
                            <w:pStyle w:val="Headerorfooter0"/>
                            <w:tabs>
                              <w:tab w:val="right" w:pos="3797"/>
                            </w:tabs>
                            <w:rPr>
                              <w:sz w:val="16"/>
                              <w:szCs w:val="16"/>
                            </w:rPr>
                          </w:pPr>
                          <w:r>
                            <w:t>CARBUNCO</w:t>
                          </w:r>
                          <w:r>
                            <w:tab/>
                          </w:r>
                          <w:r>
                            <w:rPr>
                              <w:sz w:val="16"/>
                              <w:szCs w:val="16"/>
                            </w:rPr>
                            <w:t>247</w:t>
                          </w:r>
                        </w:p>
                      </w:txbxContent>
                    </wps:txbx>
                    <wps:bodyPr lIns="0" tIns="0" rIns="0" bIns="0">
                      <a:spAutoFit/>
                    </wps:bodyPr>
                  </wps:wsp>
                </a:graphicData>
              </a:graphic>
            </wp:anchor>
          </w:drawing>
        </mc:Choice>
        <mc:Fallback>
          <w:pict>
            <v:shapetype w14:anchorId="4B70F311" id="_x0000_t202" coordsize="21600,21600" o:spt="202" path="m,l,21600r21600,l21600,xe">
              <v:stroke joinstyle="miter"/>
              <v:path gradientshapeok="t" o:connecttype="rect"/>
            </v:shapetype>
            <v:shape id="Shape 477" o:spid="_x0000_s1203" type="#_x0000_t202" style="position:absolute;margin-left:192.9pt;margin-top:24.85pt;width:189.85pt;height:5.5pt;z-index:-2513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" filled="f" stroked="f">
              <v:textbox style="mso-fit-shape-to-text:t" inset="0,0,0,0">
                <w:txbxContent>
                  <w:p w14:paraId="1DF2799C" w14:textId="77777777" w:rsidR="0072615D" w:rsidRDefault="0072615D">
                    <w:pPr>
                      <w:pStyle w:val="Headerorfooter0"/>
                      <w:tabs>
                        <w:tab w:val="right" w:pos="3797"/>
                      </w:tabs>
                      <w:rPr>
                        <w:sz w:val="16"/>
                        <w:szCs w:val="16"/>
                      </w:rPr>
                    </w:pPr>
                    <w:r>
                      <w:t>CARBUNCO</w:t>
                    </w:r>
                    <w:r>
                      <w:tab/>
                    </w:r>
                    <w:r>
                      <w:rPr>
                        <w:sz w:val="16"/>
                        <w:szCs w:val="16"/>
                      </w:rPr>
                      <w:t>247</w:t>
                    </w:r>
                  </w:p>
                </w:txbxContent>
              </v:textbox>
              <w10:wrap anchorx="page" anchory="page"/>
            </v:shape>
          </w:pict>
        </mc:Fallback>
      </mc:AlternateContent>
    </w:r>
    <w:r>
      <w:rPr>
        <w:noProof/>
      </w:rPr>
      <mc:AlternateContent>
        <mc:Choice Requires="wps">
          <w:drawing>
            <wp:anchor distT="0" distB="0" distL="114300" distR="114300" simplePos="0" relativeHeight="251785216" behindDoc="1" locked="0" layoutInCell="1" allowOverlap="1" wp14:anchorId="25E1F87D" wp14:editId="6906932C">
              <wp:simplePos x="0" y="0"/>
              <wp:positionH relativeFrom="page">
                <wp:posOffset>523875</wp:posOffset>
              </wp:positionH>
              <wp:positionV relativeFrom="page">
                <wp:posOffset>424180</wp:posOffset>
              </wp:positionV>
              <wp:extent cx="4358640" cy="0"/>
              <wp:effectExtent l="0" t="0" r="0" b="0"/>
              <wp:wrapNone/>
              <wp:docPr id="479" name="Shape 479"/>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7A01995E" id="_x0000_t32" coordsize="21600,21600" o:spt="32" o:oned="t" path="m,l21600,21600e" filled="f">
              <v:path arrowok="t" fillok="f" o:connecttype="none"/>
              <o:lock v:ext="edit" shapetype="t"/>
            </v:shapetype>
            <v:shape id="Shape 479" o:spid="_x0000_s1026" type="#_x0000_t32" style="position:absolute;margin-left:41.25pt;margin-top:33.4pt;width:343.2pt;height:0;z-index:-2515312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" strokeweight="1pt">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4CE03" w14:textId="77777777" w:rsidR="0072615D" w:rsidRDefault="0072615D">
    <w:pPr>
      <w:spacing w:line="1" w:lineRule="exact"/>
    </w:pPr>
    <w:r>
      <w:rPr>
        <w:noProof/>
      </w:rPr>
      <mc:AlternateContent>
        <mc:Choice Requires="wps">
          <w:drawing>
            <wp:anchor distT="0" distB="0" distL="0" distR="0" simplePos="0" relativeHeight="251936768" behindDoc="1" locked="0" layoutInCell="1" allowOverlap="1" wp14:anchorId="3C48EEEE" wp14:editId="5502E22C">
              <wp:simplePos x="0" y="0"/>
              <wp:positionH relativeFrom="page">
                <wp:posOffset>527050</wp:posOffset>
              </wp:positionH>
              <wp:positionV relativeFrom="page">
                <wp:posOffset>315595</wp:posOffset>
              </wp:positionV>
              <wp:extent cx="2380615" cy="69850"/>
              <wp:effectExtent l="0" t="0" r="0" b="0"/>
              <wp:wrapNone/>
              <wp:docPr id="483" name="Shape 483"/>
              <wp:cNvGraphicFramePr/>
              <a:graphic xmlns:a="http://schemas.openxmlformats.org/drawingml/2006/main">
                <a:graphicData uri="http://schemas.microsoft.com/office/word/2010/wordprocessingShape">
                  <wps:wsp>
                    <wps:cNvSpPr txBox="1"/>
                    <wps:spPr>
                      <a:xfrm>
                        <a:off x="0" y="0"/>
                        <a:ext cx="2380615" cy="69850"/>
                      </a:xfrm>
                      <a:prstGeom prst="rect">
                        <a:avLst/>
                      </a:prstGeom>
                      <a:noFill/>
                    </wps:spPr>
                    <wps:txbx>
                      <w:txbxContent>
                        <w:p w14:paraId="226E0ADD" w14:textId="77777777" w:rsidR="0072615D" w:rsidRDefault="0072615D">
                          <w:pPr>
                            <w:pStyle w:val="Headerorfooter0"/>
                            <w:tabs>
                              <w:tab w:val="right" w:pos="3749"/>
                            </w:tabs>
                          </w:pPr>
                          <w:r>
                            <w:rPr>
                              <w:sz w:val="16"/>
                              <w:szCs w:val="16"/>
                            </w:rPr>
                            <w:t>212</w:t>
                          </w:r>
                          <w:r>
                            <w:rPr>
                              <w:sz w:val="16"/>
                              <w:szCs w:val="16"/>
                            </w:rPr>
                            <w:tab/>
                          </w:r>
                          <w:r>
                            <w:t>AMIBIASIS</w:t>
                          </w:r>
                        </w:p>
                      </w:txbxContent>
                    </wps:txbx>
                    <wps:bodyPr lIns="0" tIns="0" rIns="0" bIns="0">
                      <a:spAutoFit/>
                    </wps:bodyPr>
                  </wps:wsp>
                </a:graphicData>
              </a:graphic>
            </wp:anchor>
          </w:drawing>
        </mc:Choice>
        <mc:Fallback>
          <w:pict>
            <v:shapetype w14:anchorId="3C48EEEE" id="_x0000_t202" coordsize="21600,21600" o:spt="202" path="m,l,21600r21600,l21600,xe">
              <v:stroke joinstyle="miter"/>
              <v:path gradientshapeok="t" o:connecttype="rect"/>
            </v:shapetype>
            <v:shape id="Shape 483" o:spid="_x0000_s1204" type="#_x0000_t202" style="position:absolute;margin-left:41.5pt;margin-top:24.85pt;width:187.45pt;height:5.5pt;z-index:-2513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" filled="f" stroked="f">
              <v:textbox style="mso-fit-shape-to-text:t" inset="0,0,0,0">
                <w:txbxContent>
                  <w:p w14:paraId="226E0ADD" w14:textId="77777777" w:rsidR="0072615D" w:rsidRDefault="0072615D">
                    <w:pPr>
                      <w:pStyle w:val="Headerorfooter0"/>
                      <w:tabs>
                        <w:tab w:val="right" w:pos="3749"/>
                      </w:tabs>
                    </w:pPr>
                    <w:r>
                      <w:rPr>
                        <w:sz w:val="16"/>
                        <w:szCs w:val="16"/>
                      </w:rPr>
                      <w:t>212</w:t>
                    </w:r>
                    <w:r>
                      <w:rPr>
                        <w:sz w:val="16"/>
                        <w:szCs w:val="16"/>
                      </w:rPr>
                      <w:tab/>
                    </w:r>
                    <w:r>
                      <w:t>AMIBIASIS</w:t>
                    </w:r>
                  </w:p>
                </w:txbxContent>
              </v:textbox>
              <w10:wrap anchorx="page" anchory="page"/>
            </v:shape>
          </w:pict>
        </mc:Fallback>
      </mc:AlternateContent>
    </w:r>
    <w:r>
      <w:rPr>
        <w:noProof/>
      </w:rPr>
      <mc:AlternateContent>
        <mc:Choice Requires="wps">
          <w:drawing>
            <wp:anchor distT="0" distB="0" distL="114300" distR="114300" simplePos="0" relativeHeight="251787264" behindDoc="1" locked="0" layoutInCell="1" allowOverlap="1" wp14:anchorId="6AAB9749" wp14:editId="53D7BB89">
              <wp:simplePos x="0" y="0"/>
              <wp:positionH relativeFrom="page">
                <wp:posOffset>511810</wp:posOffset>
              </wp:positionH>
              <wp:positionV relativeFrom="page">
                <wp:posOffset>424180</wp:posOffset>
              </wp:positionV>
              <wp:extent cx="4358640" cy="0"/>
              <wp:effectExtent l="0" t="0" r="0" b="0"/>
              <wp:wrapNone/>
              <wp:docPr id="485" name="Shape 485"/>
              <wp:cNvGraphicFramePr/>
              <a:graphic xmlns:a="http://schemas.openxmlformats.org/drawingml/2006/main">
                <a:graphicData uri="http://schemas.microsoft.com/office/word/2010/wordprocessingShape">
                  <wps:wsp>
                    <wps:cNvCnPr/>
                    <wps:spPr>
                      <a:xfrm>
                        <a:off x="0" y="0"/>
                        <a:ext cx="4358640" cy="0"/>
                      </a:xfrm>
                      <a:prstGeom prst="straightConnector1">
                        <a:avLst/>
                      </a:prstGeom>
                      <a:ln w="12700">
                        <a:solidFill/>
                      </a:ln>
                    </wps:spPr>
                    <wps:bodyPr/>
                  </wps:wsp>
                </a:graphicData>
              </a:graphic>
            </wp:anchor>
          </w:drawing>
        </mc:Choice>
        <mc:Fallback>
          <w:pict>
            <v:shapetype w14:anchorId="52607BFC" id="_x0000_t32" coordsize="21600,21600" o:spt="32" o:oned="t" path="m,l21600,21600e" filled="f">
              <v:path arrowok="t" fillok="f" o:connecttype="none"/>
              <o:lock v:ext="edit" shapetype="t"/>
            </v:shapetype>
            <v:shape id="Shape 485" o:spid="_x0000_s1026" type="#_x0000_t32" style="position:absolute;margin-left:40.3pt;margin-top:33.4pt;width:343.2pt;height:0;z-index:-2515292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"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C08"/>
    <w:multiLevelType w:val="multilevel"/>
    <w:tmpl w:val="12E6500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733C52"/>
    <w:multiLevelType w:val="multilevel"/>
    <w:tmpl w:val="B8D0A9F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BC443B"/>
    <w:multiLevelType w:val="multilevel"/>
    <w:tmpl w:val="9A74C74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F00E29"/>
    <w:multiLevelType w:val="multilevel"/>
    <w:tmpl w:val="D5A2566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A65F6"/>
    <w:multiLevelType w:val="multilevel"/>
    <w:tmpl w:val="D17E4D3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CC45F8"/>
    <w:multiLevelType w:val="multilevel"/>
    <w:tmpl w:val="F1C6D8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4E60D15"/>
    <w:multiLevelType w:val="multilevel"/>
    <w:tmpl w:val="4080D88E"/>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5A537B7"/>
    <w:multiLevelType w:val="multilevel"/>
    <w:tmpl w:val="4E5478D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F0541C"/>
    <w:multiLevelType w:val="multilevel"/>
    <w:tmpl w:val="FC6A00BA"/>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80730CA"/>
    <w:multiLevelType w:val="multilevel"/>
    <w:tmpl w:val="D8EEBF9E"/>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91C1E7C"/>
    <w:multiLevelType w:val="multilevel"/>
    <w:tmpl w:val="6B807692"/>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98F6712"/>
    <w:multiLevelType w:val="multilevel"/>
    <w:tmpl w:val="E8688666"/>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837A37"/>
    <w:multiLevelType w:val="multilevel"/>
    <w:tmpl w:val="B566B676"/>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310F33"/>
    <w:multiLevelType w:val="multilevel"/>
    <w:tmpl w:val="ACA257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5B62B1"/>
    <w:multiLevelType w:val="multilevel"/>
    <w:tmpl w:val="E7AA22B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C264F45"/>
    <w:multiLevelType w:val="multilevel"/>
    <w:tmpl w:val="B9ACB18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E197A34"/>
    <w:multiLevelType w:val="multilevel"/>
    <w:tmpl w:val="DDF48D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F60087B"/>
    <w:multiLevelType w:val="multilevel"/>
    <w:tmpl w:val="F7E820E2"/>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F7E0156"/>
    <w:multiLevelType w:val="multilevel"/>
    <w:tmpl w:val="ED2C6D2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04C6F74"/>
    <w:multiLevelType w:val="multilevel"/>
    <w:tmpl w:val="E66EC10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0955F51"/>
    <w:multiLevelType w:val="multilevel"/>
    <w:tmpl w:val="E922740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0B360C5"/>
    <w:multiLevelType w:val="multilevel"/>
    <w:tmpl w:val="6A48C06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18B3383"/>
    <w:multiLevelType w:val="multilevel"/>
    <w:tmpl w:val="E46ED3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1D60126"/>
    <w:multiLevelType w:val="multilevel"/>
    <w:tmpl w:val="8BC2239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2CF55A4"/>
    <w:multiLevelType w:val="multilevel"/>
    <w:tmpl w:val="5902347A"/>
    <w:lvl w:ilvl="0">
      <w:start w:val="1"/>
      <w:numFmt w:val="upperRoman"/>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4541776"/>
    <w:multiLevelType w:val="multilevel"/>
    <w:tmpl w:val="7722E054"/>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4582528"/>
    <w:multiLevelType w:val="multilevel"/>
    <w:tmpl w:val="48CC324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51F6E15"/>
    <w:multiLevelType w:val="multilevel"/>
    <w:tmpl w:val="E65A9620"/>
    <w:lvl w:ilvl="0">
      <w:start w:val="4"/>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5370C74"/>
    <w:multiLevelType w:val="multilevel"/>
    <w:tmpl w:val="CCC435A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57F63E2"/>
    <w:multiLevelType w:val="multilevel"/>
    <w:tmpl w:val="58AE6BCE"/>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58B31BD"/>
    <w:multiLevelType w:val="multilevel"/>
    <w:tmpl w:val="D7682A1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59C4862"/>
    <w:multiLevelType w:val="multilevel"/>
    <w:tmpl w:val="1C6CC4FC"/>
    <w:lvl w:ilvl="0">
      <w:start w:val="1"/>
      <w:numFmt w:val="bullet"/>
      <w:lvlText w:val="•"/>
      <w:lvlJc w:val="left"/>
      <w:rPr>
        <w:rFonts w:ascii="Times New Roman" w:eastAsia="Times New Roman" w:hAnsi="Times New Roman" w:cs="Times New Roman"/>
        <w:b/>
        <w:bCs/>
        <w:i/>
        <w:iCs/>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5A22458"/>
    <w:multiLevelType w:val="multilevel"/>
    <w:tmpl w:val="0146355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6765669"/>
    <w:multiLevelType w:val="multilevel"/>
    <w:tmpl w:val="6EA4F060"/>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8F46DC4"/>
    <w:multiLevelType w:val="multilevel"/>
    <w:tmpl w:val="8FD459A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93F4BA6"/>
    <w:multiLevelType w:val="multilevel"/>
    <w:tmpl w:val="E96680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A6F5C41"/>
    <w:multiLevelType w:val="multilevel"/>
    <w:tmpl w:val="F254499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A84658D"/>
    <w:multiLevelType w:val="multilevel"/>
    <w:tmpl w:val="2F7C2BB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B720B08"/>
    <w:multiLevelType w:val="multilevel"/>
    <w:tmpl w:val="E03E2C1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C8B3D27"/>
    <w:multiLevelType w:val="multilevel"/>
    <w:tmpl w:val="795407D8"/>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F7501E3"/>
    <w:multiLevelType w:val="multilevel"/>
    <w:tmpl w:val="0716340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F843E2E"/>
    <w:multiLevelType w:val="multilevel"/>
    <w:tmpl w:val="5378B38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FC87046"/>
    <w:multiLevelType w:val="multilevel"/>
    <w:tmpl w:val="1D0EE7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FDC7362"/>
    <w:multiLevelType w:val="multilevel"/>
    <w:tmpl w:val="74E61570"/>
    <w:lvl w:ilvl="0">
      <w:start w:val="7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19331BF"/>
    <w:multiLevelType w:val="multilevel"/>
    <w:tmpl w:val="3C5AA570"/>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25D0A53"/>
    <w:multiLevelType w:val="multilevel"/>
    <w:tmpl w:val="A5C4DFB6"/>
    <w:lvl w:ilvl="0">
      <w:start w:val="1"/>
      <w:numFmt w:val="upp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39C4B8D"/>
    <w:multiLevelType w:val="multilevel"/>
    <w:tmpl w:val="4FA0179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3A17DE1"/>
    <w:multiLevelType w:val="multilevel"/>
    <w:tmpl w:val="C35067B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3BC1767"/>
    <w:multiLevelType w:val="multilevel"/>
    <w:tmpl w:val="EEE8BE9C"/>
    <w:lvl w:ilvl="0">
      <w:start w:val="2"/>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4840FBD"/>
    <w:multiLevelType w:val="multilevel"/>
    <w:tmpl w:val="CB98FFF2"/>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4CB2CBA"/>
    <w:multiLevelType w:val="multilevel"/>
    <w:tmpl w:val="4DC27AF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5197BBD"/>
    <w:multiLevelType w:val="multilevel"/>
    <w:tmpl w:val="B79C788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5A74312"/>
    <w:multiLevelType w:val="multilevel"/>
    <w:tmpl w:val="962A69AE"/>
    <w:lvl w:ilvl="0">
      <w:start w:val="1"/>
      <w:numFmt w:val="bullet"/>
      <w:lvlText w:val="Y"/>
      <w:lvlJc w:val="left"/>
      <w:rPr>
        <w:rFonts w:ascii="Times New Roman" w:eastAsia="Times New Roman" w:hAnsi="Times New Roman" w:cs="Times New Roman"/>
        <w:b/>
        <w:bCs/>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5EC19D3"/>
    <w:multiLevelType w:val="multilevel"/>
    <w:tmpl w:val="CA36149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5EE5ED4"/>
    <w:multiLevelType w:val="multilevel"/>
    <w:tmpl w:val="4AF4C1D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6EF6478"/>
    <w:multiLevelType w:val="multilevel"/>
    <w:tmpl w:val="1E26DED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78A2151"/>
    <w:multiLevelType w:val="multilevel"/>
    <w:tmpl w:val="D0EA1F2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7D602C6"/>
    <w:multiLevelType w:val="multilevel"/>
    <w:tmpl w:val="3346610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8A45D03"/>
    <w:multiLevelType w:val="multilevel"/>
    <w:tmpl w:val="02B63CA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9AB490E"/>
    <w:multiLevelType w:val="multilevel"/>
    <w:tmpl w:val="D5C208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A3571BC"/>
    <w:multiLevelType w:val="multilevel"/>
    <w:tmpl w:val="FE302D0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AAC3EB3"/>
    <w:multiLevelType w:val="multilevel"/>
    <w:tmpl w:val="3224120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B8716F9"/>
    <w:multiLevelType w:val="multilevel"/>
    <w:tmpl w:val="1CFC30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BA92B58"/>
    <w:multiLevelType w:val="multilevel"/>
    <w:tmpl w:val="1F36C2DC"/>
    <w:lvl w:ilvl="0">
      <w:start w:val="5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C7251D1"/>
    <w:multiLevelType w:val="multilevel"/>
    <w:tmpl w:val="0512BF12"/>
    <w:lvl w:ilvl="0">
      <w:start w:val="6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DAC50B8"/>
    <w:multiLevelType w:val="multilevel"/>
    <w:tmpl w:val="DC32EE42"/>
    <w:lvl w:ilvl="0">
      <w:start w:val="1"/>
      <w:numFmt w:val="decimal"/>
      <w:lvlText w:val="%1."/>
      <w:lvlJc w:val="left"/>
      <w:rPr>
        <w:rFonts w:ascii="Arial" w:eastAsia="Arial" w:hAnsi="Arial" w:cs="Arial"/>
        <w:b/>
        <w:bCs/>
        <w:i w:val="0"/>
        <w:iCs w:val="0"/>
        <w:smallCaps w:val="0"/>
        <w:strike w:val="0"/>
        <w:color w:val="231F2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F494C4E"/>
    <w:multiLevelType w:val="multilevel"/>
    <w:tmpl w:val="359875A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F645C9F"/>
    <w:multiLevelType w:val="multilevel"/>
    <w:tmpl w:val="0FB85F3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1292C2E"/>
    <w:multiLevelType w:val="multilevel"/>
    <w:tmpl w:val="4F1C34E6"/>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19971B0"/>
    <w:multiLevelType w:val="multilevel"/>
    <w:tmpl w:val="5A24B470"/>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28B395F"/>
    <w:multiLevelType w:val="multilevel"/>
    <w:tmpl w:val="7AC0AC6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2B63FFC"/>
    <w:multiLevelType w:val="multilevel"/>
    <w:tmpl w:val="B3684D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45C7767"/>
    <w:multiLevelType w:val="multilevel"/>
    <w:tmpl w:val="D76ABC8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48D3DDA"/>
    <w:multiLevelType w:val="multilevel"/>
    <w:tmpl w:val="27A0935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75A35BE"/>
    <w:multiLevelType w:val="multilevel"/>
    <w:tmpl w:val="FDFEB84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7DB12A5"/>
    <w:multiLevelType w:val="multilevel"/>
    <w:tmpl w:val="CA62A288"/>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7E6237E"/>
    <w:multiLevelType w:val="multilevel"/>
    <w:tmpl w:val="B80E8B16"/>
    <w:lvl w:ilvl="0">
      <w:start w:val="5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909596B"/>
    <w:multiLevelType w:val="multilevel"/>
    <w:tmpl w:val="2E1A1A9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9273EC2"/>
    <w:multiLevelType w:val="multilevel"/>
    <w:tmpl w:val="A2368A9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9315AAB"/>
    <w:multiLevelType w:val="multilevel"/>
    <w:tmpl w:val="379E24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A994F22"/>
    <w:multiLevelType w:val="multilevel"/>
    <w:tmpl w:val="FDE27A6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B975D3D"/>
    <w:multiLevelType w:val="multilevel"/>
    <w:tmpl w:val="4A34120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C1943F7"/>
    <w:multiLevelType w:val="multilevel"/>
    <w:tmpl w:val="23B8AA02"/>
    <w:lvl w:ilvl="0">
      <w:start w:val="8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C3E5EE3"/>
    <w:multiLevelType w:val="multilevel"/>
    <w:tmpl w:val="F5CC229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CDD2D35"/>
    <w:multiLevelType w:val="multilevel"/>
    <w:tmpl w:val="F948018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D8567B6"/>
    <w:multiLevelType w:val="multilevel"/>
    <w:tmpl w:val="E92837D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40B80447"/>
    <w:multiLevelType w:val="multilevel"/>
    <w:tmpl w:val="A476CF14"/>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0E72EE3"/>
    <w:multiLevelType w:val="multilevel"/>
    <w:tmpl w:val="FA96F85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12F591D"/>
    <w:multiLevelType w:val="multilevel"/>
    <w:tmpl w:val="E6D2972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1E414EF"/>
    <w:multiLevelType w:val="multilevel"/>
    <w:tmpl w:val="A6BC0A84"/>
    <w:lvl w:ilvl="0">
      <w:start w:val="1"/>
      <w:numFmt w:val="bullet"/>
      <w:lvlText w:val="□"/>
      <w:lvlJc w:val="left"/>
      <w:rPr>
        <w:rFonts w:ascii="Arial" w:eastAsia="Arial" w:hAnsi="Arial" w:cs="Arial"/>
        <w:b w:val="0"/>
        <w:bCs w:val="0"/>
        <w:i w:val="0"/>
        <w:iCs w:val="0"/>
        <w:smallCaps w:val="0"/>
        <w:strike w:val="0"/>
        <w:color w:val="231F20"/>
        <w:spacing w:val="0"/>
        <w:w w:val="100"/>
        <w:position w:val="0"/>
        <w:sz w:val="12"/>
        <w:szCs w:val="1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1F2281F"/>
    <w:multiLevelType w:val="multilevel"/>
    <w:tmpl w:val="C840C89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2102774"/>
    <w:multiLevelType w:val="multilevel"/>
    <w:tmpl w:val="6C709A4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2126E58"/>
    <w:multiLevelType w:val="multilevel"/>
    <w:tmpl w:val="D892EA8E"/>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26E2B34"/>
    <w:multiLevelType w:val="multilevel"/>
    <w:tmpl w:val="2C3209D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2FE3E78"/>
    <w:multiLevelType w:val="multilevel"/>
    <w:tmpl w:val="7658AE20"/>
    <w:lvl w:ilvl="0">
      <w:start w:val="1"/>
      <w:numFmt w:val="decimal"/>
      <w:lvlText w:val="%1."/>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33911FF"/>
    <w:multiLevelType w:val="multilevel"/>
    <w:tmpl w:val="94EC9D0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37F3054"/>
    <w:multiLevelType w:val="multilevel"/>
    <w:tmpl w:val="80F8274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43C67A0"/>
    <w:multiLevelType w:val="multilevel"/>
    <w:tmpl w:val="643821B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45543CE"/>
    <w:multiLevelType w:val="multilevel"/>
    <w:tmpl w:val="134CA11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552187B"/>
    <w:multiLevelType w:val="multilevel"/>
    <w:tmpl w:val="DBF0FF1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8017F42"/>
    <w:multiLevelType w:val="multilevel"/>
    <w:tmpl w:val="B316D3D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92F6007"/>
    <w:multiLevelType w:val="multilevel"/>
    <w:tmpl w:val="77F2FF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980084A"/>
    <w:multiLevelType w:val="multilevel"/>
    <w:tmpl w:val="586C821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A667988"/>
    <w:multiLevelType w:val="multilevel"/>
    <w:tmpl w:val="3376BE3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B0A71C5"/>
    <w:multiLevelType w:val="multilevel"/>
    <w:tmpl w:val="D62C079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B60745E"/>
    <w:multiLevelType w:val="multilevel"/>
    <w:tmpl w:val="F60CABF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BEF4CA4"/>
    <w:multiLevelType w:val="multilevel"/>
    <w:tmpl w:val="C9DE005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C466168"/>
    <w:multiLevelType w:val="multilevel"/>
    <w:tmpl w:val="335A8DA6"/>
    <w:lvl w:ilvl="0">
      <w:start w:val="6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CF81472"/>
    <w:multiLevelType w:val="multilevel"/>
    <w:tmpl w:val="FCDE7384"/>
    <w:lvl w:ilvl="0">
      <w:start w:val="2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D307699"/>
    <w:multiLevelType w:val="multilevel"/>
    <w:tmpl w:val="3CD401D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4E665E90"/>
    <w:multiLevelType w:val="multilevel"/>
    <w:tmpl w:val="23EA281A"/>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4EA30E27"/>
    <w:multiLevelType w:val="multilevel"/>
    <w:tmpl w:val="6130E6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0D36967"/>
    <w:multiLevelType w:val="multilevel"/>
    <w:tmpl w:val="B8B68F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1113609"/>
    <w:multiLevelType w:val="multilevel"/>
    <w:tmpl w:val="7AF82000"/>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5E04E2"/>
    <w:multiLevelType w:val="multilevel"/>
    <w:tmpl w:val="E8ACB7FA"/>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3DD04A1"/>
    <w:multiLevelType w:val="multilevel"/>
    <w:tmpl w:val="80E407A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FFFFFF"/>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47B4C55"/>
    <w:multiLevelType w:val="multilevel"/>
    <w:tmpl w:val="389C394A"/>
    <w:lvl w:ilvl="0">
      <w:start w:val="10"/>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48529AF"/>
    <w:multiLevelType w:val="multilevel"/>
    <w:tmpl w:val="9BD020B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48B205A"/>
    <w:multiLevelType w:val="multilevel"/>
    <w:tmpl w:val="B66AB16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4D528B3"/>
    <w:multiLevelType w:val="multilevel"/>
    <w:tmpl w:val="2004AF7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54906B5"/>
    <w:multiLevelType w:val="multilevel"/>
    <w:tmpl w:val="1E4A632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69D0646"/>
    <w:multiLevelType w:val="multilevel"/>
    <w:tmpl w:val="CD0E4BD0"/>
    <w:lvl w:ilvl="0">
      <w:start w:val="3"/>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6CB673D"/>
    <w:multiLevelType w:val="multilevel"/>
    <w:tmpl w:val="CBA03888"/>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6E66CEB"/>
    <w:multiLevelType w:val="multilevel"/>
    <w:tmpl w:val="A306A62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7C43E04"/>
    <w:multiLevelType w:val="multilevel"/>
    <w:tmpl w:val="B642A23C"/>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90C79C1"/>
    <w:multiLevelType w:val="multilevel"/>
    <w:tmpl w:val="72C0C22A"/>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AB342DA"/>
    <w:multiLevelType w:val="multilevel"/>
    <w:tmpl w:val="B2F4C0B4"/>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F22E6A"/>
    <w:multiLevelType w:val="multilevel"/>
    <w:tmpl w:val="8FF2D65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532C96"/>
    <w:multiLevelType w:val="multilevel"/>
    <w:tmpl w:val="4C8ADE76"/>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F020EAC"/>
    <w:multiLevelType w:val="multilevel"/>
    <w:tmpl w:val="3E6E6A70"/>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F1C7981"/>
    <w:multiLevelType w:val="multilevel"/>
    <w:tmpl w:val="4386C2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FCB4389"/>
    <w:multiLevelType w:val="multilevel"/>
    <w:tmpl w:val="21B2FDA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6057461D"/>
    <w:multiLevelType w:val="multilevel"/>
    <w:tmpl w:val="F13076E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607B1A85"/>
    <w:multiLevelType w:val="multilevel"/>
    <w:tmpl w:val="40CAFDF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61456AD4"/>
    <w:multiLevelType w:val="multilevel"/>
    <w:tmpl w:val="3A44C6B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62116357"/>
    <w:multiLevelType w:val="multilevel"/>
    <w:tmpl w:val="B748DA8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638C4EC2"/>
    <w:multiLevelType w:val="multilevel"/>
    <w:tmpl w:val="4184ED1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46838BD"/>
    <w:multiLevelType w:val="multilevel"/>
    <w:tmpl w:val="D25CA8BE"/>
    <w:lvl w:ilvl="0">
      <w:start w:val="1"/>
      <w:numFmt w:val="bullet"/>
      <w:lvlText w:val="□"/>
      <w:lvlJc w:val="left"/>
      <w:rPr>
        <w:rFonts w:ascii="Arial" w:eastAsia="Arial" w:hAnsi="Arial" w:cs="Arial"/>
        <w:b w:val="0"/>
        <w:bCs w:val="0"/>
        <w:i w:val="0"/>
        <w:iCs w:val="0"/>
        <w:smallCaps w:val="0"/>
        <w:strike w:val="0"/>
        <w:color w:val="231F2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58D1BAE"/>
    <w:multiLevelType w:val="multilevel"/>
    <w:tmpl w:val="1E5AB438"/>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7113748"/>
    <w:multiLevelType w:val="multilevel"/>
    <w:tmpl w:val="19228602"/>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7B67B09"/>
    <w:multiLevelType w:val="multilevel"/>
    <w:tmpl w:val="B86A4BA4"/>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8652DA3"/>
    <w:multiLevelType w:val="multilevel"/>
    <w:tmpl w:val="1CAE7E7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86778EB"/>
    <w:multiLevelType w:val="multilevel"/>
    <w:tmpl w:val="5E94B37C"/>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93B487F"/>
    <w:multiLevelType w:val="multilevel"/>
    <w:tmpl w:val="025862DE"/>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9720BB4"/>
    <w:multiLevelType w:val="multilevel"/>
    <w:tmpl w:val="41F0E202"/>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9BF0BA4"/>
    <w:multiLevelType w:val="multilevel"/>
    <w:tmpl w:val="63B234A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B032789"/>
    <w:multiLevelType w:val="multilevel"/>
    <w:tmpl w:val="DFE6310C"/>
    <w:lvl w:ilvl="0">
      <w:start w:val="7"/>
      <w:numFmt w:val="upp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D7609F5"/>
    <w:multiLevelType w:val="multilevel"/>
    <w:tmpl w:val="7218A14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DEB181B"/>
    <w:multiLevelType w:val="multilevel"/>
    <w:tmpl w:val="0D94459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E5B6990"/>
    <w:multiLevelType w:val="multilevel"/>
    <w:tmpl w:val="F3F6A9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F252957"/>
    <w:multiLevelType w:val="multilevel"/>
    <w:tmpl w:val="684240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FC22AB2"/>
    <w:multiLevelType w:val="multilevel"/>
    <w:tmpl w:val="561E3F3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70291285"/>
    <w:multiLevelType w:val="multilevel"/>
    <w:tmpl w:val="6FD26F6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71215017"/>
    <w:multiLevelType w:val="multilevel"/>
    <w:tmpl w:val="A3C8C7F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71215484"/>
    <w:multiLevelType w:val="multilevel"/>
    <w:tmpl w:val="3C027DEE"/>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715B012D"/>
    <w:multiLevelType w:val="multilevel"/>
    <w:tmpl w:val="6E30A6D4"/>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71CB5BC4"/>
    <w:multiLevelType w:val="multilevel"/>
    <w:tmpl w:val="62D4CA5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726717B3"/>
    <w:multiLevelType w:val="multilevel"/>
    <w:tmpl w:val="D254968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2753960"/>
    <w:multiLevelType w:val="multilevel"/>
    <w:tmpl w:val="D29AE6A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2DD6351"/>
    <w:multiLevelType w:val="multilevel"/>
    <w:tmpl w:val="C548D4A6"/>
    <w:lvl w:ilvl="0">
      <w:start w:val="8"/>
      <w:numFmt w:val="decimal"/>
      <w:lvlText w:val="%1"/>
      <w:lvlJc w:val="left"/>
      <w:rPr>
        <w:rFonts w:ascii="Times New Roman" w:eastAsia="Times New Roman" w:hAnsi="Times New Roman" w:cs="Times New Roman"/>
        <w:b/>
        <w:bCs/>
        <w:i w:val="0"/>
        <w:iCs w:val="0"/>
        <w:smallCaps w:val="0"/>
        <w:strike w:val="0"/>
        <w:color w:val="231F20"/>
        <w:spacing w:val="0"/>
        <w:w w:val="100"/>
        <w:position w:val="0"/>
        <w:sz w:val="16"/>
        <w:szCs w:val="1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5092C21"/>
    <w:multiLevelType w:val="multilevel"/>
    <w:tmpl w:val="5F8E2B48"/>
    <w:lvl w:ilvl="0">
      <w:start w:val="1"/>
      <w:numFmt w:val="bullet"/>
      <w:lvlText w:val="•"/>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62C47A1"/>
    <w:multiLevelType w:val="multilevel"/>
    <w:tmpl w:val="78D2B400"/>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98C45C7"/>
    <w:multiLevelType w:val="multilevel"/>
    <w:tmpl w:val="6FB63ABC"/>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A8E6AE4"/>
    <w:multiLevelType w:val="multilevel"/>
    <w:tmpl w:val="05CCC7EA"/>
    <w:lvl w:ilvl="0">
      <w:start w:val="1"/>
      <w:numFmt w:val="low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C371BD4"/>
    <w:multiLevelType w:val="multilevel"/>
    <w:tmpl w:val="75303B8E"/>
    <w:lvl w:ilvl="0">
      <w:start w:val="1"/>
      <w:numFmt w:val="lowerRoman"/>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C5351CA"/>
    <w:multiLevelType w:val="multilevel"/>
    <w:tmpl w:val="EFEA949C"/>
    <w:lvl w:ilvl="0">
      <w:start w:val="1"/>
      <w:numFmt w:val="upperLetter"/>
      <w:lvlText w:val="%1."/>
      <w:lvlJc w:val="left"/>
      <w:rPr>
        <w:rFonts w:ascii="Times New Roman" w:eastAsia="Times New Roman" w:hAnsi="Times New Roman" w:cs="Times New Roman"/>
        <w:b w:val="0"/>
        <w:bCs w:val="0"/>
        <w:i w:val="0"/>
        <w:iCs w:val="0"/>
        <w:smallCaps w:val="0"/>
        <w:strike w:val="0"/>
        <w:color w:val="231F20"/>
        <w:spacing w:val="0"/>
        <w:w w:val="100"/>
        <w:position w:val="0"/>
        <w:sz w:val="16"/>
        <w:szCs w:val="1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E667209"/>
    <w:multiLevelType w:val="multilevel"/>
    <w:tmpl w:val="2D9870B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8"/>
        <w:szCs w:val="8"/>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F2B6BA5"/>
    <w:multiLevelType w:val="multilevel"/>
    <w:tmpl w:val="E03E4FFE"/>
    <w:lvl w:ilvl="0">
      <w:start w:val="1"/>
      <w:numFmt w:val="decimal"/>
      <w:lvlText w:val="%1"/>
      <w:lvlJc w:val="left"/>
      <w:rPr>
        <w:rFonts w:ascii="Times New Roman" w:eastAsia="Times New Roman" w:hAnsi="Times New Roman" w:cs="Times New Roman"/>
        <w:b w:val="0"/>
        <w:bCs w:val="0"/>
        <w:i w:val="0"/>
        <w:iCs w:val="0"/>
        <w:smallCaps w:val="0"/>
        <w:strike w:val="0"/>
        <w:color w:val="231F20"/>
        <w:spacing w:val="0"/>
        <w:w w:val="100"/>
        <w:position w:val="0"/>
        <w:sz w:val="15"/>
        <w:szCs w:val="15"/>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FF81ABC"/>
    <w:multiLevelType w:val="multilevel"/>
    <w:tmpl w:val="A302EC86"/>
    <w:lvl w:ilvl="0">
      <w:start w:val="1"/>
      <w:numFmt w:val="bullet"/>
      <w:lvlText w:val="•"/>
      <w:lvlJc w:val="left"/>
      <w:rPr>
        <w:rFonts w:ascii="Garamond" w:eastAsia="Garamond" w:hAnsi="Garamond" w:cs="Garamond"/>
        <w:b w:val="0"/>
        <w:bCs w:val="0"/>
        <w:i w:val="0"/>
        <w:iCs w:val="0"/>
        <w:smallCaps w:val="0"/>
        <w:strike w:val="0"/>
        <w:color w:val="231F2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5930848">
    <w:abstractNumId w:val="95"/>
  </w:num>
  <w:num w:numId="2" w16cid:durableId="1835878548">
    <w:abstractNumId w:val="156"/>
  </w:num>
  <w:num w:numId="3" w16cid:durableId="2121563228">
    <w:abstractNumId w:val="100"/>
  </w:num>
  <w:num w:numId="4" w16cid:durableId="1682732054">
    <w:abstractNumId w:val="31"/>
  </w:num>
  <w:num w:numId="5" w16cid:durableId="30619338">
    <w:abstractNumId w:val="163"/>
  </w:num>
  <w:num w:numId="6" w16cid:durableId="2040355869">
    <w:abstractNumId w:val="20"/>
  </w:num>
  <w:num w:numId="7" w16cid:durableId="150878561">
    <w:abstractNumId w:val="141"/>
  </w:num>
  <w:num w:numId="8" w16cid:durableId="2118207404">
    <w:abstractNumId w:val="148"/>
  </w:num>
  <w:num w:numId="9" w16cid:durableId="947002278">
    <w:abstractNumId w:val="134"/>
  </w:num>
  <w:num w:numId="10" w16cid:durableId="1454667316">
    <w:abstractNumId w:val="105"/>
  </w:num>
  <w:num w:numId="11" w16cid:durableId="1028145369">
    <w:abstractNumId w:val="67"/>
  </w:num>
  <w:num w:numId="12" w16cid:durableId="952059233">
    <w:abstractNumId w:val="106"/>
  </w:num>
  <w:num w:numId="13" w16cid:durableId="761802028">
    <w:abstractNumId w:val="124"/>
  </w:num>
  <w:num w:numId="14" w16cid:durableId="390153906">
    <w:abstractNumId w:val="24"/>
  </w:num>
  <w:num w:numId="15" w16cid:durableId="419789195">
    <w:abstractNumId w:val="34"/>
  </w:num>
  <w:num w:numId="16" w16cid:durableId="1995524730">
    <w:abstractNumId w:val="46"/>
  </w:num>
  <w:num w:numId="17" w16cid:durableId="815609861">
    <w:abstractNumId w:val="0"/>
  </w:num>
  <w:num w:numId="18" w16cid:durableId="855847583">
    <w:abstractNumId w:val="92"/>
  </w:num>
  <w:num w:numId="19" w16cid:durableId="1054963208">
    <w:abstractNumId w:val="80"/>
  </w:num>
  <w:num w:numId="20" w16cid:durableId="1204251259">
    <w:abstractNumId w:val="1"/>
  </w:num>
  <w:num w:numId="21" w16cid:durableId="1064331335">
    <w:abstractNumId w:val="61"/>
  </w:num>
  <w:num w:numId="22" w16cid:durableId="61488619">
    <w:abstractNumId w:val="65"/>
  </w:num>
  <w:num w:numId="23" w16cid:durableId="2119060427">
    <w:abstractNumId w:val="159"/>
  </w:num>
  <w:num w:numId="24" w16cid:durableId="800726256">
    <w:abstractNumId w:val="49"/>
  </w:num>
  <w:num w:numId="25" w16cid:durableId="1536697173">
    <w:abstractNumId w:val="144"/>
  </w:num>
  <w:num w:numId="26" w16cid:durableId="655303951">
    <w:abstractNumId w:val="89"/>
  </w:num>
  <w:num w:numId="27" w16cid:durableId="1044791084">
    <w:abstractNumId w:val="9"/>
  </w:num>
  <w:num w:numId="28" w16cid:durableId="362177227">
    <w:abstractNumId w:val="33"/>
  </w:num>
  <w:num w:numId="29" w16cid:durableId="1766342501">
    <w:abstractNumId w:val="137"/>
  </w:num>
  <w:num w:numId="30" w16cid:durableId="1652054455">
    <w:abstractNumId w:val="27"/>
  </w:num>
  <w:num w:numId="31" w16cid:durableId="827747659">
    <w:abstractNumId w:val="2"/>
  </w:num>
  <w:num w:numId="32" w16cid:durableId="1055856078">
    <w:abstractNumId w:val="94"/>
  </w:num>
  <w:num w:numId="33" w16cid:durableId="800927017">
    <w:abstractNumId w:val="38"/>
  </w:num>
  <w:num w:numId="34" w16cid:durableId="1898735747">
    <w:abstractNumId w:val="12"/>
  </w:num>
  <w:num w:numId="35" w16cid:durableId="1753359156">
    <w:abstractNumId w:val="151"/>
  </w:num>
  <w:num w:numId="36" w16cid:durableId="738018">
    <w:abstractNumId w:val="139"/>
  </w:num>
  <w:num w:numId="37" w16cid:durableId="1282804296">
    <w:abstractNumId w:val="101"/>
  </w:num>
  <w:num w:numId="38" w16cid:durableId="946698625">
    <w:abstractNumId w:val="96"/>
  </w:num>
  <w:num w:numId="39" w16cid:durableId="1161652036">
    <w:abstractNumId w:val="152"/>
  </w:num>
  <w:num w:numId="40" w16cid:durableId="86849086">
    <w:abstractNumId w:val="48"/>
  </w:num>
  <w:num w:numId="41" w16cid:durableId="1533028592">
    <w:abstractNumId w:val="57"/>
  </w:num>
  <w:num w:numId="42" w16cid:durableId="2107649576">
    <w:abstractNumId w:val="168"/>
  </w:num>
  <w:num w:numId="43" w16cid:durableId="2115980637">
    <w:abstractNumId w:val="15"/>
  </w:num>
  <w:num w:numId="44" w16cid:durableId="1666393065">
    <w:abstractNumId w:val="74"/>
  </w:num>
  <w:num w:numId="45" w16cid:durableId="311327405">
    <w:abstractNumId w:val="115"/>
  </w:num>
  <w:num w:numId="46" w16cid:durableId="338697250">
    <w:abstractNumId w:val="158"/>
  </w:num>
  <w:num w:numId="47" w16cid:durableId="1245917879">
    <w:abstractNumId w:val="40"/>
  </w:num>
  <w:num w:numId="48" w16cid:durableId="1869444971">
    <w:abstractNumId w:val="23"/>
  </w:num>
  <w:num w:numId="49" w16cid:durableId="743448988">
    <w:abstractNumId w:val="121"/>
  </w:num>
  <w:num w:numId="50" w16cid:durableId="619845231">
    <w:abstractNumId w:val="160"/>
  </w:num>
  <w:num w:numId="51" w16cid:durableId="1381054407">
    <w:abstractNumId w:val="51"/>
  </w:num>
  <w:num w:numId="52" w16cid:durableId="113864240">
    <w:abstractNumId w:val="78"/>
  </w:num>
  <w:num w:numId="53" w16cid:durableId="1550219030">
    <w:abstractNumId w:val="87"/>
  </w:num>
  <w:num w:numId="54" w16cid:durableId="1570262165">
    <w:abstractNumId w:val="44"/>
  </w:num>
  <w:num w:numId="55" w16cid:durableId="1460143852">
    <w:abstractNumId w:val="11"/>
  </w:num>
  <w:num w:numId="56" w16cid:durableId="1935936843">
    <w:abstractNumId w:val="32"/>
  </w:num>
  <w:num w:numId="57" w16cid:durableId="243490775">
    <w:abstractNumId w:val="103"/>
  </w:num>
  <w:num w:numId="58" w16cid:durableId="1297176452">
    <w:abstractNumId w:val="66"/>
  </w:num>
  <w:num w:numId="59" w16cid:durableId="953638670">
    <w:abstractNumId w:val="26"/>
  </w:num>
  <w:num w:numId="60" w16cid:durableId="436944837">
    <w:abstractNumId w:val="147"/>
  </w:num>
  <w:num w:numId="61" w16cid:durableId="1467970555">
    <w:abstractNumId w:val="162"/>
  </w:num>
  <w:num w:numId="62" w16cid:durableId="932472083">
    <w:abstractNumId w:val="93"/>
  </w:num>
  <w:num w:numId="63" w16cid:durableId="986401604">
    <w:abstractNumId w:val="99"/>
  </w:num>
  <w:num w:numId="64" w16cid:durableId="35473652">
    <w:abstractNumId w:val="7"/>
  </w:num>
  <w:num w:numId="65" w16cid:durableId="538662824">
    <w:abstractNumId w:val="157"/>
  </w:num>
  <w:num w:numId="66" w16cid:durableId="1876262610">
    <w:abstractNumId w:val="3"/>
  </w:num>
  <w:num w:numId="67" w16cid:durableId="394360433">
    <w:abstractNumId w:val="142"/>
  </w:num>
  <w:num w:numId="68" w16cid:durableId="1406954269">
    <w:abstractNumId w:val="129"/>
  </w:num>
  <w:num w:numId="69" w16cid:durableId="393235655">
    <w:abstractNumId w:val="71"/>
  </w:num>
  <w:num w:numId="70" w16cid:durableId="2130663177">
    <w:abstractNumId w:val="70"/>
  </w:num>
  <w:num w:numId="71" w16cid:durableId="1695881826">
    <w:abstractNumId w:val="68"/>
  </w:num>
  <w:num w:numId="72" w16cid:durableId="205265068">
    <w:abstractNumId w:val="58"/>
  </w:num>
  <w:num w:numId="73" w16cid:durableId="1492795773">
    <w:abstractNumId w:val="36"/>
  </w:num>
  <w:num w:numId="74" w16cid:durableId="1853493426">
    <w:abstractNumId w:val="77"/>
  </w:num>
  <w:num w:numId="75" w16cid:durableId="1904219532">
    <w:abstractNumId w:val="119"/>
  </w:num>
  <w:num w:numId="76" w16cid:durableId="1217425439">
    <w:abstractNumId w:val="90"/>
  </w:num>
  <w:num w:numId="77" w16cid:durableId="1434397082">
    <w:abstractNumId w:val="132"/>
  </w:num>
  <w:num w:numId="78" w16cid:durableId="939528699">
    <w:abstractNumId w:val="4"/>
  </w:num>
  <w:num w:numId="79" w16cid:durableId="1786384492">
    <w:abstractNumId w:val="16"/>
  </w:num>
  <w:num w:numId="80" w16cid:durableId="1914854322">
    <w:abstractNumId w:val="55"/>
  </w:num>
  <w:num w:numId="81" w16cid:durableId="585309618">
    <w:abstractNumId w:val="81"/>
  </w:num>
  <w:num w:numId="82" w16cid:durableId="1849562278">
    <w:abstractNumId w:val="98"/>
  </w:num>
  <w:num w:numId="83" w16cid:durableId="2015452010">
    <w:abstractNumId w:val="104"/>
  </w:num>
  <w:num w:numId="84" w16cid:durableId="674042319">
    <w:abstractNumId w:val="52"/>
  </w:num>
  <w:num w:numId="85" w16cid:durableId="723066206">
    <w:abstractNumId w:val="88"/>
  </w:num>
  <w:num w:numId="86" w16cid:durableId="201946194">
    <w:abstractNumId w:val="138"/>
  </w:num>
  <w:num w:numId="87" w16cid:durableId="1516530823">
    <w:abstractNumId w:val="154"/>
  </w:num>
  <w:num w:numId="88" w16cid:durableId="1048215267">
    <w:abstractNumId w:val="56"/>
  </w:num>
  <w:num w:numId="89" w16cid:durableId="1450509979">
    <w:abstractNumId w:val="72"/>
  </w:num>
  <w:num w:numId="90" w16cid:durableId="1681395070">
    <w:abstractNumId w:val="120"/>
  </w:num>
  <w:num w:numId="91" w16cid:durableId="1280452429">
    <w:abstractNumId w:val="13"/>
  </w:num>
  <w:num w:numId="92" w16cid:durableId="1019235532">
    <w:abstractNumId w:val="136"/>
  </w:num>
  <w:num w:numId="93" w16cid:durableId="1906645584">
    <w:abstractNumId w:val="19"/>
  </w:num>
  <w:num w:numId="94" w16cid:durableId="1464152184">
    <w:abstractNumId w:val="127"/>
  </w:num>
  <w:num w:numId="95" w16cid:durableId="419110282">
    <w:abstractNumId w:val="53"/>
  </w:num>
  <w:num w:numId="96" w16cid:durableId="417675029">
    <w:abstractNumId w:val="25"/>
  </w:num>
  <w:num w:numId="97" w16cid:durableId="1905093572">
    <w:abstractNumId w:val="30"/>
  </w:num>
  <w:num w:numId="98" w16cid:durableId="1780487608">
    <w:abstractNumId w:val="109"/>
  </w:num>
  <w:num w:numId="99" w16cid:durableId="357632563">
    <w:abstractNumId w:val="125"/>
  </w:num>
  <w:num w:numId="100" w16cid:durableId="1029641838">
    <w:abstractNumId w:val="83"/>
  </w:num>
  <w:num w:numId="101" w16cid:durableId="397169509">
    <w:abstractNumId w:val="18"/>
  </w:num>
  <w:num w:numId="102" w16cid:durableId="644042276">
    <w:abstractNumId w:val="110"/>
  </w:num>
  <w:num w:numId="103" w16cid:durableId="1673793969">
    <w:abstractNumId w:val="28"/>
  </w:num>
  <w:num w:numId="104" w16cid:durableId="817065260">
    <w:abstractNumId w:val="167"/>
  </w:num>
  <w:num w:numId="105" w16cid:durableId="1978415587">
    <w:abstractNumId w:val="37"/>
  </w:num>
  <w:num w:numId="106" w16cid:durableId="1829591492">
    <w:abstractNumId w:val="135"/>
  </w:num>
  <w:num w:numId="107" w16cid:durableId="276329096">
    <w:abstractNumId w:val="131"/>
  </w:num>
  <w:num w:numId="108" w16cid:durableId="117451728">
    <w:abstractNumId w:val="161"/>
  </w:num>
  <w:num w:numId="109" w16cid:durableId="134839075">
    <w:abstractNumId w:val="54"/>
  </w:num>
  <w:num w:numId="110" w16cid:durableId="1006635832">
    <w:abstractNumId w:val="41"/>
  </w:num>
  <w:num w:numId="111" w16cid:durableId="1763455654">
    <w:abstractNumId w:val="45"/>
  </w:num>
  <w:num w:numId="112" w16cid:durableId="1559513939">
    <w:abstractNumId w:val="145"/>
  </w:num>
  <w:num w:numId="113" w16cid:durableId="781536722">
    <w:abstractNumId w:val="29"/>
  </w:num>
  <w:num w:numId="114" w16cid:durableId="1169715393">
    <w:abstractNumId w:val="102"/>
  </w:num>
  <w:num w:numId="115" w16cid:durableId="313722807">
    <w:abstractNumId w:val="75"/>
  </w:num>
  <w:num w:numId="116" w16cid:durableId="1199004780">
    <w:abstractNumId w:val="113"/>
  </w:num>
  <w:num w:numId="117" w16cid:durableId="882671107">
    <w:abstractNumId w:val="117"/>
  </w:num>
  <w:num w:numId="118" w16cid:durableId="1516766270">
    <w:abstractNumId w:val="166"/>
  </w:num>
  <w:num w:numId="119" w16cid:durableId="1311860845">
    <w:abstractNumId w:val="128"/>
  </w:num>
  <w:num w:numId="120" w16cid:durableId="5719775">
    <w:abstractNumId w:val="153"/>
  </w:num>
  <w:num w:numId="121" w16cid:durableId="1025056349">
    <w:abstractNumId w:val="14"/>
  </w:num>
  <w:num w:numId="122" w16cid:durableId="1888176217">
    <w:abstractNumId w:val="21"/>
  </w:num>
  <w:num w:numId="123" w16cid:durableId="131944992">
    <w:abstractNumId w:val="126"/>
  </w:num>
  <w:num w:numId="124" w16cid:durableId="1054624587">
    <w:abstractNumId w:val="149"/>
  </w:num>
  <w:num w:numId="125" w16cid:durableId="1377898266">
    <w:abstractNumId w:val="5"/>
  </w:num>
  <w:num w:numId="126" w16cid:durableId="1746878540">
    <w:abstractNumId w:val="35"/>
  </w:num>
  <w:num w:numId="127" w16cid:durableId="1116555890">
    <w:abstractNumId w:val="130"/>
  </w:num>
  <w:num w:numId="128" w16cid:durableId="934288327">
    <w:abstractNumId w:val="111"/>
  </w:num>
  <w:num w:numId="129" w16cid:durableId="1812403379">
    <w:abstractNumId w:val="150"/>
  </w:num>
  <w:num w:numId="130" w16cid:durableId="650671470">
    <w:abstractNumId w:val="112"/>
  </w:num>
  <w:num w:numId="131" w16cid:durableId="713503182">
    <w:abstractNumId w:val="79"/>
  </w:num>
  <w:num w:numId="132" w16cid:durableId="2009163308">
    <w:abstractNumId w:val="59"/>
  </w:num>
  <w:num w:numId="133" w16cid:durableId="1242175431">
    <w:abstractNumId w:val="42"/>
  </w:num>
  <w:num w:numId="134" w16cid:durableId="1975477237">
    <w:abstractNumId w:val="22"/>
  </w:num>
  <w:num w:numId="135" w16cid:durableId="1731924173">
    <w:abstractNumId w:val="155"/>
  </w:num>
  <w:num w:numId="136" w16cid:durableId="1237351530">
    <w:abstractNumId w:val="39"/>
  </w:num>
  <w:num w:numId="137" w16cid:durableId="207189410">
    <w:abstractNumId w:val="108"/>
  </w:num>
  <w:num w:numId="138" w16cid:durableId="969940818">
    <w:abstractNumId w:val="76"/>
  </w:num>
  <w:num w:numId="139" w16cid:durableId="383874789">
    <w:abstractNumId w:val="63"/>
  </w:num>
  <w:num w:numId="140" w16cid:durableId="1629240953">
    <w:abstractNumId w:val="107"/>
  </w:num>
  <w:num w:numId="141" w16cid:durableId="2110849601">
    <w:abstractNumId w:val="64"/>
  </w:num>
  <w:num w:numId="142" w16cid:durableId="778449337">
    <w:abstractNumId w:val="43"/>
  </w:num>
  <w:num w:numId="143" w16cid:durableId="372538156">
    <w:abstractNumId w:val="82"/>
  </w:num>
  <w:num w:numId="144" w16cid:durableId="57095107">
    <w:abstractNumId w:val="62"/>
  </w:num>
  <w:num w:numId="145" w16cid:durableId="2062050882">
    <w:abstractNumId w:val="97"/>
  </w:num>
  <w:num w:numId="146" w16cid:durableId="1054626225">
    <w:abstractNumId w:val="123"/>
  </w:num>
  <w:num w:numId="147" w16cid:durableId="1807121542">
    <w:abstractNumId w:val="84"/>
  </w:num>
  <w:num w:numId="148" w16cid:durableId="1989941315">
    <w:abstractNumId w:val="91"/>
  </w:num>
  <w:num w:numId="149" w16cid:durableId="472867410">
    <w:abstractNumId w:val="118"/>
  </w:num>
  <w:num w:numId="150" w16cid:durableId="1702054598">
    <w:abstractNumId w:val="73"/>
  </w:num>
  <w:num w:numId="151" w16cid:durableId="703093498">
    <w:abstractNumId w:val="85"/>
  </w:num>
  <w:num w:numId="152" w16cid:durableId="1908103398">
    <w:abstractNumId w:val="114"/>
  </w:num>
  <w:num w:numId="153" w16cid:durableId="1231498215">
    <w:abstractNumId w:val="143"/>
  </w:num>
  <w:num w:numId="154" w16cid:durableId="828911810">
    <w:abstractNumId w:val="6"/>
  </w:num>
  <w:num w:numId="155" w16cid:durableId="1425178041">
    <w:abstractNumId w:val="8"/>
  </w:num>
  <w:num w:numId="156" w16cid:durableId="1816141318">
    <w:abstractNumId w:val="116"/>
  </w:num>
  <w:num w:numId="157" w16cid:durableId="1294093169">
    <w:abstractNumId w:val="146"/>
  </w:num>
  <w:num w:numId="158" w16cid:durableId="1095394081">
    <w:abstractNumId w:val="69"/>
  </w:num>
  <w:num w:numId="159" w16cid:durableId="414785498">
    <w:abstractNumId w:val="86"/>
  </w:num>
  <w:num w:numId="160" w16cid:durableId="1092049777">
    <w:abstractNumId w:val="122"/>
  </w:num>
  <w:num w:numId="161" w16cid:durableId="1274706663">
    <w:abstractNumId w:val="165"/>
  </w:num>
  <w:num w:numId="162" w16cid:durableId="1360934926">
    <w:abstractNumId w:val="10"/>
  </w:num>
  <w:num w:numId="163" w16cid:durableId="483741387">
    <w:abstractNumId w:val="140"/>
  </w:num>
  <w:num w:numId="164" w16cid:durableId="85152164">
    <w:abstractNumId w:val="60"/>
  </w:num>
  <w:num w:numId="165" w16cid:durableId="1081684534">
    <w:abstractNumId w:val="164"/>
  </w:num>
  <w:num w:numId="166" w16cid:durableId="263154808">
    <w:abstractNumId w:val="47"/>
  </w:num>
  <w:num w:numId="167" w16cid:durableId="1624506957">
    <w:abstractNumId w:val="50"/>
  </w:num>
  <w:num w:numId="168" w16cid:durableId="799346886">
    <w:abstractNumId w:val="133"/>
  </w:num>
  <w:num w:numId="169" w16cid:durableId="15277115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15D"/>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8489D"/>
    <w:rsid w:val="00491DD8"/>
    <w:rsid w:val="004A1B72"/>
    <w:rsid w:val="004C02CA"/>
    <w:rsid w:val="00504992"/>
    <w:rsid w:val="00515348"/>
    <w:rsid w:val="005437C0"/>
    <w:rsid w:val="005760A6"/>
    <w:rsid w:val="00576181"/>
    <w:rsid w:val="00591636"/>
    <w:rsid w:val="0059368A"/>
    <w:rsid w:val="005C102B"/>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2615D"/>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E314D"/>
    <w:rsid w:val="008F28B3"/>
    <w:rsid w:val="008F29F6"/>
    <w:rsid w:val="008F6E20"/>
    <w:rsid w:val="00902907"/>
    <w:rsid w:val="00915AAD"/>
    <w:rsid w:val="009173E1"/>
    <w:rsid w:val="00921FA2"/>
    <w:rsid w:val="00922A8D"/>
    <w:rsid w:val="00966368"/>
    <w:rsid w:val="009718FF"/>
    <w:rsid w:val="00977B86"/>
    <w:rsid w:val="0098084A"/>
    <w:rsid w:val="00985E54"/>
    <w:rsid w:val="0099074F"/>
    <w:rsid w:val="00990882"/>
    <w:rsid w:val="009A787A"/>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F610"/>
  <w15:chartTrackingRefBased/>
  <w15:docId w15:val="{609199F6-D0EB-4931-AAC5-8F199F3E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15D"/>
    <w:rPr>
      <w:rFonts w:eastAsiaTheme="majorEastAsia" w:cstheme="majorBidi"/>
      <w:color w:val="272727" w:themeColor="text1" w:themeTint="D8"/>
    </w:rPr>
  </w:style>
  <w:style w:type="paragraph" w:styleId="Title">
    <w:name w:val="Title"/>
    <w:basedOn w:val="Normal"/>
    <w:next w:val="Normal"/>
    <w:link w:val="TitleChar"/>
    <w:uiPriority w:val="10"/>
    <w:qFormat/>
    <w:rsid w:val="00726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15D"/>
    <w:pPr>
      <w:spacing w:before="160"/>
      <w:jc w:val="center"/>
    </w:pPr>
    <w:rPr>
      <w:i/>
      <w:iCs/>
      <w:color w:val="404040" w:themeColor="text1" w:themeTint="BF"/>
    </w:rPr>
  </w:style>
  <w:style w:type="character" w:customStyle="1" w:styleId="QuoteChar">
    <w:name w:val="Quote Char"/>
    <w:basedOn w:val="DefaultParagraphFont"/>
    <w:link w:val="Quote"/>
    <w:uiPriority w:val="29"/>
    <w:rsid w:val="0072615D"/>
    <w:rPr>
      <w:i/>
      <w:iCs/>
      <w:color w:val="404040" w:themeColor="text1" w:themeTint="BF"/>
    </w:rPr>
  </w:style>
  <w:style w:type="paragraph" w:styleId="ListParagraph">
    <w:name w:val="List Paragraph"/>
    <w:basedOn w:val="Normal"/>
    <w:uiPriority w:val="34"/>
    <w:qFormat/>
    <w:rsid w:val="0072615D"/>
    <w:pPr>
      <w:ind w:left="720"/>
      <w:contextualSpacing/>
    </w:pPr>
  </w:style>
  <w:style w:type="character" w:styleId="IntenseEmphasis">
    <w:name w:val="Intense Emphasis"/>
    <w:basedOn w:val="DefaultParagraphFont"/>
    <w:uiPriority w:val="21"/>
    <w:qFormat/>
    <w:rsid w:val="0072615D"/>
    <w:rPr>
      <w:i/>
      <w:iCs/>
      <w:color w:val="2F5496" w:themeColor="accent1" w:themeShade="BF"/>
    </w:rPr>
  </w:style>
  <w:style w:type="paragraph" w:styleId="IntenseQuote">
    <w:name w:val="Intense Quote"/>
    <w:basedOn w:val="Normal"/>
    <w:next w:val="Normal"/>
    <w:link w:val="IntenseQuoteChar"/>
    <w:uiPriority w:val="30"/>
    <w:qFormat/>
    <w:rsid w:val="00726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15D"/>
    <w:rPr>
      <w:i/>
      <w:iCs/>
      <w:color w:val="2F5496" w:themeColor="accent1" w:themeShade="BF"/>
    </w:rPr>
  </w:style>
  <w:style w:type="character" w:styleId="IntenseReference">
    <w:name w:val="Intense Reference"/>
    <w:basedOn w:val="DefaultParagraphFont"/>
    <w:uiPriority w:val="32"/>
    <w:qFormat/>
    <w:rsid w:val="0072615D"/>
    <w:rPr>
      <w:b/>
      <w:bCs/>
      <w:smallCaps/>
      <w:color w:val="2F5496" w:themeColor="accent1" w:themeShade="BF"/>
      <w:spacing w:val="5"/>
    </w:rPr>
  </w:style>
  <w:style w:type="character" w:customStyle="1" w:styleId="Footnote">
    <w:name w:val="Footnote_"/>
    <w:basedOn w:val="DefaultParagraphFont"/>
    <w:link w:val="Footnote0"/>
    <w:rsid w:val="0072615D"/>
    <w:rPr>
      <w:rFonts w:ascii="Times New Roman" w:eastAsia="Times New Roman" w:hAnsi="Times New Roman" w:cs="Times New Roman"/>
      <w:color w:val="231F20"/>
      <w:sz w:val="15"/>
      <w:szCs w:val="15"/>
    </w:rPr>
  </w:style>
  <w:style w:type="character" w:customStyle="1" w:styleId="Heading20">
    <w:name w:val="Heading #2_"/>
    <w:basedOn w:val="DefaultParagraphFont"/>
    <w:link w:val="Heading21"/>
    <w:rsid w:val="0072615D"/>
    <w:rPr>
      <w:rFonts w:ascii="Arial" w:eastAsia="Arial" w:hAnsi="Arial" w:cs="Arial"/>
      <w:b/>
      <w:bCs/>
      <w:color w:val="231F20"/>
      <w:w w:val="70"/>
      <w:sz w:val="42"/>
      <w:szCs w:val="42"/>
    </w:rPr>
  </w:style>
  <w:style w:type="character" w:customStyle="1" w:styleId="BodyTextChar">
    <w:name w:val="Body Text Char"/>
    <w:basedOn w:val="DefaultParagraphFont"/>
    <w:link w:val="BodyText"/>
    <w:rsid w:val="0072615D"/>
    <w:rPr>
      <w:rFonts w:ascii="Garamond" w:eastAsia="Garamond" w:hAnsi="Garamond" w:cs="Garamond"/>
      <w:color w:val="231F20"/>
      <w:sz w:val="19"/>
      <w:szCs w:val="19"/>
    </w:rPr>
  </w:style>
  <w:style w:type="character" w:customStyle="1" w:styleId="Headerorfooter2">
    <w:name w:val="Header or footer (2)_"/>
    <w:basedOn w:val="DefaultParagraphFont"/>
    <w:link w:val="Headerorfooter20"/>
    <w:rsid w:val="0072615D"/>
    <w:rPr>
      <w:rFonts w:ascii="Times New Roman" w:eastAsia="Times New Roman" w:hAnsi="Times New Roman" w:cs="Times New Roman"/>
      <w:sz w:val="20"/>
      <w:szCs w:val="20"/>
    </w:rPr>
  </w:style>
  <w:style w:type="character" w:customStyle="1" w:styleId="Tableofcontents">
    <w:name w:val="Table of contents_"/>
    <w:basedOn w:val="DefaultParagraphFont"/>
    <w:link w:val="Tableofcontents0"/>
    <w:rsid w:val="0072615D"/>
    <w:rPr>
      <w:rFonts w:ascii="Garamond" w:eastAsia="Garamond" w:hAnsi="Garamond" w:cs="Garamond"/>
      <w:color w:val="231F20"/>
      <w:sz w:val="19"/>
      <w:szCs w:val="19"/>
    </w:rPr>
  </w:style>
  <w:style w:type="character" w:customStyle="1" w:styleId="Bodytext2">
    <w:name w:val="Body text (2)_"/>
    <w:basedOn w:val="DefaultParagraphFont"/>
    <w:link w:val="Bodytext20"/>
    <w:rsid w:val="0072615D"/>
    <w:rPr>
      <w:rFonts w:ascii="Times New Roman" w:eastAsia="Times New Roman" w:hAnsi="Times New Roman" w:cs="Times New Roman"/>
      <w:color w:val="231F20"/>
      <w:sz w:val="16"/>
      <w:szCs w:val="16"/>
    </w:rPr>
  </w:style>
  <w:style w:type="character" w:customStyle="1" w:styleId="Other">
    <w:name w:val="Other_"/>
    <w:basedOn w:val="DefaultParagraphFont"/>
    <w:link w:val="Other0"/>
    <w:rsid w:val="0072615D"/>
    <w:rPr>
      <w:rFonts w:ascii="Garamond" w:eastAsia="Garamond" w:hAnsi="Garamond" w:cs="Garamond"/>
      <w:color w:val="231F20"/>
      <w:sz w:val="19"/>
      <w:szCs w:val="19"/>
    </w:rPr>
  </w:style>
  <w:style w:type="character" w:customStyle="1" w:styleId="Heading10">
    <w:name w:val="Heading #1_"/>
    <w:basedOn w:val="DefaultParagraphFont"/>
    <w:link w:val="Heading11"/>
    <w:rsid w:val="0072615D"/>
    <w:rPr>
      <w:rFonts w:ascii="Arial" w:eastAsia="Arial" w:hAnsi="Arial" w:cs="Arial"/>
      <w:b/>
      <w:bCs/>
      <w:color w:val="231F20"/>
      <w:w w:val="70"/>
      <w:sz w:val="48"/>
      <w:szCs w:val="48"/>
    </w:rPr>
  </w:style>
  <w:style w:type="character" w:customStyle="1" w:styleId="Heading30">
    <w:name w:val="Heading #3_"/>
    <w:basedOn w:val="DefaultParagraphFont"/>
    <w:link w:val="Heading31"/>
    <w:rsid w:val="0072615D"/>
    <w:rPr>
      <w:rFonts w:ascii="Arial" w:eastAsia="Arial" w:hAnsi="Arial" w:cs="Arial"/>
      <w:b/>
      <w:bCs/>
      <w:color w:val="231F20"/>
      <w:w w:val="70"/>
      <w:sz w:val="26"/>
      <w:szCs w:val="26"/>
    </w:rPr>
  </w:style>
  <w:style w:type="character" w:customStyle="1" w:styleId="Heading40">
    <w:name w:val="Heading #4_"/>
    <w:basedOn w:val="DefaultParagraphFont"/>
    <w:link w:val="Heading41"/>
    <w:rsid w:val="0072615D"/>
    <w:rPr>
      <w:rFonts w:ascii="Arial" w:eastAsia="Arial" w:hAnsi="Arial" w:cs="Arial"/>
      <w:b/>
      <w:bCs/>
      <w:color w:val="EBEBEB"/>
      <w:w w:val="70"/>
    </w:rPr>
  </w:style>
  <w:style w:type="character" w:customStyle="1" w:styleId="Tablecaption">
    <w:name w:val="Table caption_"/>
    <w:basedOn w:val="DefaultParagraphFont"/>
    <w:link w:val="Tablecaption0"/>
    <w:rsid w:val="0072615D"/>
    <w:rPr>
      <w:rFonts w:ascii="Times New Roman" w:eastAsia="Times New Roman" w:hAnsi="Times New Roman" w:cs="Times New Roman"/>
      <w:color w:val="231F20"/>
      <w:sz w:val="15"/>
      <w:szCs w:val="15"/>
    </w:rPr>
  </w:style>
  <w:style w:type="character" w:customStyle="1" w:styleId="Bodytext7">
    <w:name w:val="Body text (7)_"/>
    <w:basedOn w:val="DefaultParagraphFont"/>
    <w:link w:val="Bodytext70"/>
    <w:rsid w:val="0072615D"/>
    <w:rPr>
      <w:rFonts w:ascii="Arial" w:eastAsia="Arial" w:hAnsi="Arial" w:cs="Arial"/>
      <w:b/>
      <w:bCs/>
      <w:color w:val="231F20"/>
      <w:w w:val="70"/>
      <w:sz w:val="32"/>
      <w:szCs w:val="32"/>
    </w:rPr>
  </w:style>
  <w:style w:type="character" w:customStyle="1" w:styleId="Bodytext6">
    <w:name w:val="Body text (6)_"/>
    <w:basedOn w:val="DefaultParagraphFont"/>
    <w:link w:val="Bodytext60"/>
    <w:rsid w:val="0072615D"/>
    <w:rPr>
      <w:rFonts w:ascii="Times New Roman" w:eastAsia="Times New Roman" w:hAnsi="Times New Roman" w:cs="Times New Roman"/>
      <w:color w:val="231F20"/>
      <w:sz w:val="12"/>
      <w:szCs w:val="12"/>
    </w:rPr>
  </w:style>
  <w:style w:type="character" w:customStyle="1" w:styleId="Bodytext5">
    <w:name w:val="Body text (5)_"/>
    <w:basedOn w:val="DefaultParagraphFont"/>
    <w:link w:val="Bodytext50"/>
    <w:rsid w:val="0072615D"/>
    <w:rPr>
      <w:rFonts w:ascii="Arial" w:eastAsia="Arial" w:hAnsi="Arial" w:cs="Arial"/>
      <w:color w:val="231F20"/>
      <w:sz w:val="12"/>
      <w:szCs w:val="12"/>
    </w:rPr>
  </w:style>
  <w:style w:type="character" w:customStyle="1" w:styleId="Bodytext8">
    <w:name w:val="Body text (8)_"/>
    <w:basedOn w:val="DefaultParagraphFont"/>
    <w:link w:val="Bodytext80"/>
    <w:rsid w:val="0072615D"/>
    <w:rPr>
      <w:rFonts w:ascii="Arial" w:eastAsia="Arial" w:hAnsi="Arial" w:cs="Arial"/>
      <w:color w:val="231F20"/>
      <w:sz w:val="14"/>
      <w:szCs w:val="14"/>
    </w:rPr>
  </w:style>
  <w:style w:type="character" w:customStyle="1" w:styleId="Headerorfooter">
    <w:name w:val="Header or footer_"/>
    <w:basedOn w:val="DefaultParagraphFont"/>
    <w:link w:val="Headerorfooter0"/>
    <w:rsid w:val="0072615D"/>
    <w:rPr>
      <w:rFonts w:ascii="Arial" w:eastAsia="Arial" w:hAnsi="Arial" w:cs="Arial"/>
      <w:color w:val="231F20"/>
      <w:sz w:val="14"/>
      <w:szCs w:val="14"/>
    </w:rPr>
  </w:style>
  <w:style w:type="character" w:customStyle="1" w:styleId="Bodytext9">
    <w:name w:val="Body text (9)_"/>
    <w:basedOn w:val="DefaultParagraphFont"/>
    <w:link w:val="Bodytext90"/>
    <w:rsid w:val="0072615D"/>
    <w:rPr>
      <w:rFonts w:ascii="Arial" w:eastAsia="Arial" w:hAnsi="Arial" w:cs="Arial"/>
      <w:color w:val="231F20"/>
      <w:sz w:val="10"/>
      <w:szCs w:val="10"/>
    </w:rPr>
  </w:style>
  <w:style w:type="character" w:customStyle="1" w:styleId="Bodytext10">
    <w:name w:val="Body text (10)_"/>
    <w:basedOn w:val="DefaultParagraphFont"/>
    <w:link w:val="Bodytext100"/>
    <w:rsid w:val="0072615D"/>
    <w:rPr>
      <w:rFonts w:ascii="Times New Roman" w:eastAsia="Times New Roman" w:hAnsi="Times New Roman" w:cs="Times New Roman"/>
      <w:smallCaps/>
      <w:color w:val="231F20"/>
      <w:sz w:val="32"/>
      <w:szCs w:val="32"/>
    </w:rPr>
  </w:style>
  <w:style w:type="character" w:customStyle="1" w:styleId="Picturecaption">
    <w:name w:val="Picture caption_"/>
    <w:basedOn w:val="DefaultParagraphFont"/>
    <w:link w:val="Picturecaption0"/>
    <w:rsid w:val="0072615D"/>
    <w:rPr>
      <w:rFonts w:ascii="Arial" w:eastAsia="Arial" w:hAnsi="Arial" w:cs="Arial"/>
      <w:b/>
      <w:bCs/>
      <w:color w:val="231F20"/>
      <w:w w:val="70"/>
      <w:sz w:val="26"/>
      <w:szCs w:val="26"/>
    </w:rPr>
  </w:style>
  <w:style w:type="paragraph" w:customStyle="1" w:styleId="Footnote0">
    <w:name w:val="Footnote"/>
    <w:basedOn w:val="Normal"/>
    <w:link w:val="Footnote"/>
    <w:rsid w:val="0072615D"/>
    <w:pPr>
      <w:widowControl w:val="0"/>
      <w:spacing w:after="0" w:line="240" w:lineRule="auto"/>
    </w:pPr>
    <w:rPr>
      <w:rFonts w:ascii="Times New Roman" w:eastAsia="Times New Roman" w:hAnsi="Times New Roman" w:cs="Times New Roman"/>
      <w:color w:val="231F20"/>
      <w:sz w:val="15"/>
      <w:szCs w:val="15"/>
    </w:rPr>
  </w:style>
  <w:style w:type="paragraph" w:customStyle="1" w:styleId="Heading21">
    <w:name w:val="Heading #2"/>
    <w:basedOn w:val="Normal"/>
    <w:link w:val="Heading20"/>
    <w:rsid w:val="0072615D"/>
    <w:pPr>
      <w:widowControl w:val="0"/>
      <w:spacing w:after="440" w:line="240" w:lineRule="auto"/>
      <w:jc w:val="center"/>
      <w:outlineLvl w:val="1"/>
    </w:pPr>
    <w:rPr>
      <w:rFonts w:ascii="Arial" w:eastAsia="Arial" w:hAnsi="Arial" w:cs="Arial"/>
      <w:b/>
      <w:bCs/>
      <w:color w:val="231F20"/>
      <w:w w:val="70"/>
      <w:sz w:val="42"/>
      <w:szCs w:val="42"/>
    </w:rPr>
  </w:style>
  <w:style w:type="paragraph" w:styleId="BodyText">
    <w:name w:val="Body Text"/>
    <w:basedOn w:val="Normal"/>
    <w:link w:val="BodyTextChar"/>
    <w:qFormat/>
    <w:rsid w:val="0072615D"/>
    <w:pPr>
      <w:widowControl w:val="0"/>
      <w:spacing w:after="0" w:line="269" w:lineRule="auto"/>
      <w:ind w:firstLine="20"/>
    </w:pPr>
    <w:rPr>
      <w:rFonts w:ascii="Garamond" w:eastAsia="Garamond" w:hAnsi="Garamond" w:cs="Garamond"/>
      <w:color w:val="231F20"/>
      <w:sz w:val="19"/>
      <w:szCs w:val="19"/>
    </w:rPr>
  </w:style>
  <w:style w:type="character" w:customStyle="1" w:styleId="BodyTextChar1">
    <w:name w:val="Body Text Char1"/>
    <w:basedOn w:val="DefaultParagraphFont"/>
    <w:uiPriority w:val="99"/>
    <w:semiHidden/>
    <w:rsid w:val="0072615D"/>
  </w:style>
  <w:style w:type="paragraph" w:customStyle="1" w:styleId="Headerorfooter20">
    <w:name w:val="Header or footer (2)"/>
    <w:basedOn w:val="Normal"/>
    <w:link w:val="Headerorfooter2"/>
    <w:rsid w:val="0072615D"/>
    <w:pPr>
      <w:widowControl w:val="0"/>
      <w:spacing w:after="0" w:line="240" w:lineRule="auto"/>
    </w:pPr>
    <w:rPr>
      <w:rFonts w:ascii="Times New Roman" w:eastAsia="Times New Roman" w:hAnsi="Times New Roman" w:cs="Times New Roman"/>
      <w:sz w:val="20"/>
      <w:szCs w:val="20"/>
    </w:rPr>
  </w:style>
  <w:style w:type="paragraph" w:customStyle="1" w:styleId="Tableofcontents0">
    <w:name w:val="Table of contents"/>
    <w:basedOn w:val="Normal"/>
    <w:link w:val="Tableofcontents"/>
    <w:rsid w:val="0072615D"/>
    <w:pPr>
      <w:widowControl w:val="0"/>
      <w:spacing w:after="0" w:line="240" w:lineRule="auto"/>
    </w:pPr>
    <w:rPr>
      <w:rFonts w:ascii="Garamond" w:eastAsia="Garamond" w:hAnsi="Garamond" w:cs="Garamond"/>
      <w:color w:val="231F20"/>
      <w:sz w:val="19"/>
      <w:szCs w:val="19"/>
    </w:rPr>
  </w:style>
  <w:style w:type="paragraph" w:customStyle="1" w:styleId="Bodytext20">
    <w:name w:val="Body text (2)"/>
    <w:basedOn w:val="Normal"/>
    <w:link w:val="Bodytext2"/>
    <w:rsid w:val="0072615D"/>
    <w:pPr>
      <w:widowControl w:val="0"/>
      <w:spacing w:after="0" w:line="283" w:lineRule="auto"/>
    </w:pPr>
    <w:rPr>
      <w:rFonts w:ascii="Times New Roman" w:eastAsia="Times New Roman" w:hAnsi="Times New Roman" w:cs="Times New Roman"/>
      <w:color w:val="231F20"/>
      <w:sz w:val="16"/>
      <w:szCs w:val="16"/>
    </w:rPr>
  </w:style>
  <w:style w:type="paragraph" w:customStyle="1" w:styleId="Other0">
    <w:name w:val="Other"/>
    <w:basedOn w:val="Normal"/>
    <w:link w:val="Other"/>
    <w:rsid w:val="0072615D"/>
    <w:pPr>
      <w:widowControl w:val="0"/>
      <w:spacing w:after="0" w:line="269" w:lineRule="auto"/>
      <w:ind w:firstLine="20"/>
    </w:pPr>
    <w:rPr>
      <w:rFonts w:ascii="Garamond" w:eastAsia="Garamond" w:hAnsi="Garamond" w:cs="Garamond"/>
      <w:color w:val="231F20"/>
      <w:sz w:val="19"/>
      <w:szCs w:val="19"/>
    </w:rPr>
  </w:style>
  <w:style w:type="paragraph" w:customStyle="1" w:styleId="Heading11">
    <w:name w:val="Heading #1"/>
    <w:basedOn w:val="Normal"/>
    <w:link w:val="Heading10"/>
    <w:rsid w:val="0072615D"/>
    <w:pPr>
      <w:widowControl w:val="0"/>
      <w:spacing w:after="300" w:line="240" w:lineRule="auto"/>
      <w:jc w:val="center"/>
      <w:outlineLvl w:val="0"/>
    </w:pPr>
    <w:rPr>
      <w:rFonts w:ascii="Arial" w:eastAsia="Arial" w:hAnsi="Arial" w:cs="Arial"/>
      <w:b/>
      <w:bCs/>
      <w:color w:val="231F20"/>
      <w:w w:val="70"/>
      <w:sz w:val="48"/>
      <w:szCs w:val="48"/>
    </w:rPr>
  </w:style>
  <w:style w:type="paragraph" w:customStyle="1" w:styleId="Heading31">
    <w:name w:val="Heading #3"/>
    <w:basedOn w:val="Normal"/>
    <w:link w:val="Heading30"/>
    <w:rsid w:val="0072615D"/>
    <w:pPr>
      <w:widowControl w:val="0"/>
      <w:spacing w:after="0" w:line="240" w:lineRule="auto"/>
      <w:outlineLvl w:val="2"/>
    </w:pPr>
    <w:rPr>
      <w:rFonts w:ascii="Arial" w:eastAsia="Arial" w:hAnsi="Arial" w:cs="Arial"/>
      <w:b/>
      <w:bCs/>
      <w:color w:val="231F20"/>
      <w:w w:val="70"/>
      <w:sz w:val="26"/>
      <w:szCs w:val="26"/>
    </w:rPr>
  </w:style>
  <w:style w:type="paragraph" w:customStyle="1" w:styleId="Heading41">
    <w:name w:val="Heading #4"/>
    <w:basedOn w:val="Normal"/>
    <w:link w:val="Heading40"/>
    <w:rsid w:val="0072615D"/>
    <w:pPr>
      <w:widowControl w:val="0"/>
      <w:spacing w:after="0" w:line="240" w:lineRule="auto"/>
      <w:outlineLvl w:val="3"/>
    </w:pPr>
    <w:rPr>
      <w:rFonts w:ascii="Arial" w:eastAsia="Arial" w:hAnsi="Arial" w:cs="Arial"/>
      <w:b/>
      <w:bCs/>
      <w:color w:val="EBEBEB"/>
      <w:w w:val="70"/>
    </w:rPr>
  </w:style>
  <w:style w:type="paragraph" w:customStyle="1" w:styleId="Tablecaption0">
    <w:name w:val="Table caption"/>
    <w:basedOn w:val="Normal"/>
    <w:link w:val="Tablecaption"/>
    <w:rsid w:val="0072615D"/>
    <w:pPr>
      <w:widowControl w:val="0"/>
      <w:spacing w:after="0" w:line="252" w:lineRule="auto"/>
      <w:ind w:left="160"/>
    </w:pPr>
    <w:rPr>
      <w:rFonts w:ascii="Times New Roman" w:eastAsia="Times New Roman" w:hAnsi="Times New Roman" w:cs="Times New Roman"/>
      <w:color w:val="231F20"/>
      <w:sz w:val="15"/>
      <w:szCs w:val="15"/>
    </w:rPr>
  </w:style>
  <w:style w:type="paragraph" w:customStyle="1" w:styleId="Bodytext70">
    <w:name w:val="Body text (7)"/>
    <w:basedOn w:val="Normal"/>
    <w:link w:val="Bodytext7"/>
    <w:rsid w:val="0072615D"/>
    <w:pPr>
      <w:widowControl w:val="0"/>
      <w:spacing w:after="240" w:line="240" w:lineRule="auto"/>
    </w:pPr>
    <w:rPr>
      <w:rFonts w:ascii="Arial" w:eastAsia="Arial" w:hAnsi="Arial" w:cs="Arial"/>
      <w:b/>
      <w:bCs/>
      <w:color w:val="231F20"/>
      <w:w w:val="70"/>
      <w:sz w:val="32"/>
      <w:szCs w:val="32"/>
    </w:rPr>
  </w:style>
  <w:style w:type="paragraph" w:customStyle="1" w:styleId="Bodytext60">
    <w:name w:val="Body text (6)"/>
    <w:basedOn w:val="Normal"/>
    <w:link w:val="Bodytext6"/>
    <w:rsid w:val="0072615D"/>
    <w:pPr>
      <w:widowControl w:val="0"/>
      <w:spacing w:after="0" w:line="240" w:lineRule="auto"/>
      <w:ind w:left="340" w:hanging="200"/>
    </w:pPr>
    <w:rPr>
      <w:rFonts w:ascii="Times New Roman" w:eastAsia="Times New Roman" w:hAnsi="Times New Roman" w:cs="Times New Roman"/>
      <w:color w:val="231F20"/>
      <w:sz w:val="12"/>
      <w:szCs w:val="12"/>
    </w:rPr>
  </w:style>
  <w:style w:type="paragraph" w:customStyle="1" w:styleId="Bodytext50">
    <w:name w:val="Body text (5)"/>
    <w:basedOn w:val="Normal"/>
    <w:link w:val="Bodytext5"/>
    <w:rsid w:val="0072615D"/>
    <w:pPr>
      <w:widowControl w:val="0"/>
      <w:spacing w:after="0" w:line="240" w:lineRule="auto"/>
    </w:pPr>
    <w:rPr>
      <w:rFonts w:ascii="Arial" w:eastAsia="Arial" w:hAnsi="Arial" w:cs="Arial"/>
      <w:color w:val="231F20"/>
      <w:sz w:val="12"/>
      <w:szCs w:val="12"/>
    </w:rPr>
  </w:style>
  <w:style w:type="paragraph" w:customStyle="1" w:styleId="Bodytext80">
    <w:name w:val="Body text (8)"/>
    <w:basedOn w:val="Normal"/>
    <w:link w:val="Bodytext8"/>
    <w:rsid w:val="0072615D"/>
    <w:pPr>
      <w:widowControl w:val="0"/>
      <w:spacing w:after="0" w:line="240" w:lineRule="auto"/>
    </w:pPr>
    <w:rPr>
      <w:rFonts w:ascii="Arial" w:eastAsia="Arial" w:hAnsi="Arial" w:cs="Arial"/>
      <w:color w:val="231F20"/>
      <w:sz w:val="14"/>
      <w:szCs w:val="14"/>
    </w:rPr>
  </w:style>
  <w:style w:type="paragraph" w:customStyle="1" w:styleId="Headerorfooter0">
    <w:name w:val="Header or footer"/>
    <w:basedOn w:val="Normal"/>
    <w:link w:val="Headerorfooter"/>
    <w:rsid w:val="0072615D"/>
    <w:pPr>
      <w:widowControl w:val="0"/>
      <w:spacing w:after="0" w:line="240" w:lineRule="auto"/>
    </w:pPr>
    <w:rPr>
      <w:rFonts w:ascii="Arial" w:eastAsia="Arial" w:hAnsi="Arial" w:cs="Arial"/>
      <w:color w:val="231F20"/>
      <w:sz w:val="14"/>
      <w:szCs w:val="14"/>
    </w:rPr>
  </w:style>
  <w:style w:type="paragraph" w:customStyle="1" w:styleId="Bodytext90">
    <w:name w:val="Body text (9)"/>
    <w:basedOn w:val="Normal"/>
    <w:link w:val="Bodytext9"/>
    <w:rsid w:val="0072615D"/>
    <w:pPr>
      <w:widowControl w:val="0"/>
      <w:spacing w:after="0" w:line="240" w:lineRule="auto"/>
    </w:pPr>
    <w:rPr>
      <w:rFonts w:ascii="Arial" w:eastAsia="Arial" w:hAnsi="Arial" w:cs="Arial"/>
      <w:color w:val="231F20"/>
      <w:sz w:val="10"/>
      <w:szCs w:val="10"/>
    </w:rPr>
  </w:style>
  <w:style w:type="paragraph" w:customStyle="1" w:styleId="Bodytext100">
    <w:name w:val="Body text (10)"/>
    <w:basedOn w:val="Normal"/>
    <w:link w:val="Bodytext10"/>
    <w:rsid w:val="0072615D"/>
    <w:pPr>
      <w:widowControl w:val="0"/>
      <w:spacing w:after="240" w:line="240" w:lineRule="auto"/>
      <w:jc w:val="center"/>
    </w:pPr>
    <w:rPr>
      <w:rFonts w:ascii="Times New Roman" w:eastAsia="Times New Roman" w:hAnsi="Times New Roman" w:cs="Times New Roman"/>
      <w:smallCaps/>
      <w:color w:val="231F20"/>
      <w:sz w:val="32"/>
      <w:szCs w:val="32"/>
    </w:rPr>
  </w:style>
  <w:style w:type="paragraph" w:customStyle="1" w:styleId="Picturecaption0">
    <w:name w:val="Picture caption"/>
    <w:basedOn w:val="Normal"/>
    <w:link w:val="Picturecaption"/>
    <w:rsid w:val="0072615D"/>
    <w:pPr>
      <w:widowControl w:val="0"/>
      <w:spacing w:after="0" w:line="214" w:lineRule="auto"/>
      <w:jc w:val="center"/>
    </w:pPr>
    <w:rPr>
      <w:rFonts w:ascii="Arial" w:eastAsia="Arial" w:hAnsi="Arial" w:cs="Arial"/>
      <w:b/>
      <w:bCs/>
      <w:color w:val="231F20"/>
      <w:w w:val="7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25.xml"/><Relationship Id="rId299" Type="http://schemas.openxmlformats.org/officeDocument/2006/relationships/footer" Target="footer81.xml"/><Relationship Id="rId21" Type="http://schemas.openxmlformats.org/officeDocument/2006/relationships/header" Target="header10.xml"/><Relationship Id="rId63" Type="http://schemas.openxmlformats.org/officeDocument/2006/relationships/footer" Target="footer6.xml"/><Relationship Id="rId159" Type="http://schemas.openxmlformats.org/officeDocument/2006/relationships/hyperlink" Target="http://www.pkids.org" TargetMode="External"/><Relationship Id="rId324" Type="http://schemas.openxmlformats.org/officeDocument/2006/relationships/hyperlink" Target="http://www.immunize.org/laws" TargetMode="External"/><Relationship Id="rId366" Type="http://schemas.openxmlformats.org/officeDocument/2006/relationships/footer" Target="footer110.xml"/><Relationship Id="rId170" Type="http://schemas.openxmlformats.org/officeDocument/2006/relationships/hyperlink" Target="http://www.cdc.gov/nip/publications" TargetMode="External"/><Relationship Id="rId226" Type="http://schemas.openxmlformats.org/officeDocument/2006/relationships/footer" Target="footer51.xml"/><Relationship Id="rId433" Type="http://schemas.openxmlformats.org/officeDocument/2006/relationships/header" Target="header163.xml"/><Relationship Id="rId268" Type="http://schemas.openxmlformats.org/officeDocument/2006/relationships/footer" Target="footer70.xml"/><Relationship Id="rId32" Type="http://schemas.openxmlformats.org/officeDocument/2006/relationships/hyperlink" Target="http://www.immunize.org" TargetMode="External"/><Relationship Id="rId74" Type="http://schemas.openxmlformats.org/officeDocument/2006/relationships/header" Target="header31.xml"/><Relationship Id="rId128" Type="http://schemas.openxmlformats.org/officeDocument/2006/relationships/footer" Target="footer27.xml"/><Relationship Id="rId335" Type="http://schemas.openxmlformats.org/officeDocument/2006/relationships/header" Target="header117.xml"/><Relationship Id="rId377" Type="http://schemas.openxmlformats.org/officeDocument/2006/relationships/header" Target="header135.xml"/><Relationship Id="rId5" Type="http://schemas.openxmlformats.org/officeDocument/2006/relationships/footnotes" Target="footnotes.xml"/><Relationship Id="rId181" Type="http://schemas.openxmlformats.org/officeDocument/2006/relationships/hyperlink" Target="http://www.who.int/vaccines" TargetMode="External"/><Relationship Id="rId237" Type="http://schemas.openxmlformats.org/officeDocument/2006/relationships/header" Target="header77.xml"/><Relationship Id="rId402" Type="http://schemas.openxmlformats.org/officeDocument/2006/relationships/header" Target="header147.xml"/><Relationship Id="rId279" Type="http://schemas.openxmlformats.org/officeDocument/2006/relationships/footer" Target="footer75.xml"/><Relationship Id="rId444" Type="http://schemas.openxmlformats.org/officeDocument/2006/relationships/fontTable" Target="fontTable.xml"/><Relationship Id="rId43" Type="http://schemas.openxmlformats.org/officeDocument/2006/relationships/hyperlink" Target="http://www.cdc.gov/nip" TargetMode="External"/><Relationship Id="rId139" Type="http://schemas.openxmlformats.org/officeDocument/2006/relationships/hyperlink" Target="http://www.aap.org" TargetMode="External"/><Relationship Id="rId290" Type="http://schemas.openxmlformats.org/officeDocument/2006/relationships/hyperlink" Target="http://www.idsociety.org/BT/ToC.htm" TargetMode="External"/><Relationship Id="rId304" Type="http://schemas.openxmlformats.org/officeDocument/2006/relationships/footer" Target="footer83.xml"/><Relationship Id="rId346" Type="http://schemas.openxmlformats.org/officeDocument/2006/relationships/footer" Target="footer101.xml"/><Relationship Id="rId388" Type="http://schemas.openxmlformats.org/officeDocument/2006/relationships/header" Target="header140.xml"/><Relationship Id="rId85" Type="http://schemas.openxmlformats.org/officeDocument/2006/relationships/footer" Target="footer15.xml"/><Relationship Id="rId150" Type="http://schemas.openxmlformats.org/officeDocument/2006/relationships/hyperlink" Target="http://www.vaccinealliance.org" TargetMode="External"/><Relationship Id="rId192" Type="http://schemas.openxmlformats.org/officeDocument/2006/relationships/footer" Target="footer34.xml"/><Relationship Id="rId206" Type="http://schemas.openxmlformats.org/officeDocument/2006/relationships/footer" Target="footer41.xml"/><Relationship Id="rId413" Type="http://schemas.openxmlformats.org/officeDocument/2006/relationships/footer" Target="footer132.xml"/><Relationship Id="rId248" Type="http://schemas.openxmlformats.org/officeDocument/2006/relationships/header" Target="header83.xml"/><Relationship Id="rId12" Type="http://schemas.openxmlformats.org/officeDocument/2006/relationships/header" Target="header1.xml"/><Relationship Id="rId108" Type="http://schemas.openxmlformats.org/officeDocument/2006/relationships/header" Target="header43.xml"/><Relationship Id="rId315" Type="http://schemas.openxmlformats.org/officeDocument/2006/relationships/header" Target="header109.xml"/><Relationship Id="rId357" Type="http://schemas.openxmlformats.org/officeDocument/2006/relationships/footer" Target="footer106.xml"/><Relationship Id="rId54" Type="http://schemas.openxmlformats.org/officeDocument/2006/relationships/footer" Target="footer1.xml"/><Relationship Id="rId96" Type="http://schemas.openxmlformats.org/officeDocument/2006/relationships/header" Target="header38.xml"/><Relationship Id="rId161" Type="http://schemas.openxmlformats.org/officeDocument/2006/relationships/header" Target="header48.xml"/><Relationship Id="rId217" Type="http://schemas.openxmlformats.org/officeDocument/2006/relationships/header" Target="header68.xml"/><Relationship Id="rId399" Type="http://schemas.openxmlformats.org/officeDocument/2006/relationships/header" Target="header146.xml"/><Relationship Id="rId259" Type="http://schemas.openxmlformats.org/officeDocument/2006/relationships/hyperlink" Target="http://www.cdc.gov/travel" TargetMode="External"/><Relationship Id="rId424" Type="http://schemas.openxmlformats.org/officeDocument/2006/relationships/header" Target="header158.xml"/><Relationship Id="rId23" Type="http://schemas.openxmlformats.org/officeDocument/2006/relationships/hyperlink" Target="http://www.cdc.gov/mmwr" TargetMode="External"/><Relationship Id="rId119" Type="http://schemas.openxmlformats.org/officeDocument/2006/relationships/hyperlink" Target="http://www.aap.org" TargetMode="External"/><Relationship Id="rId270" Type="http://schemas.openxmlformats.org/officeDocument/2006/relationships/header" Target="header92.xml"/><Relationship Id="rId326" Type="http://schemas.openxmlformats.org/officeDocument/2006/relationships/header" Target="header114.xml"/><Relationship Id="rId65" Type="http://schemas.openxmlformats.org/officeDocument/2006/relationships/header" Target="header28.xml"/><Relationship Id="rId130" Type="http://schemas.openxmlformats.org/officeDocument/2006/relationships/hyperlink" Target="http://www.vaers.org" TargetMode="External"/><Relationship Id="rId368" Type="http://schemas.openxmlformats.org/officeDocument/2006/relationships/hyperlink" Target="http://www.hepprograms.org" TargetMode="External"/><Relationship Id="rId172" Type="http://schemas.openxmlformats.org/officeDocument/2006/relationships/hyperlink" Target="http://www.niaid.nih.gov/dmid/vaccines" TargetMode="External"/><Relationship Id="rId228" Type="http://schemas.openxmlformats.org/officeDocument/2006/relationships/header" Target="header73.xml"/><Relationship Id="rId435" Type="http://schemas.openxmlformats.org/officeDocument/2006/relationships/footer" Target="footer143.xml"/><Relationship Id="rId281" Type="http://schemas.openxmlformats.org/officeDocument/2006/relationships/header" Target="header97.xml"/><Relationship Id="rId337" Type="http://schemas.openxmlformats.org/officeDocument/2006/relationships/footer" Target="footer97.xml"/><Relationship Id="rId34" Type="http://schemas.openxmlformats.org/officeDocument/2006/relationships/header" Target="header12.xml"/><Relationship Id="rId76" Type="http://schemas.openxmlformats.org/officeDocument/2006/relationships/footer" Target="footer11.xml"/><Relationship Id="rId141" Type="http://schemas.openxmlformats.org/officeDocument/2006/relationships/hyperlink" Target="http://www.ama-assn.org" TargetMode="External"/><Relationship Id="rId379" Type="http://schemas.openxmlformats.org/officeDocument/2006/relationships/footer" Target="footer115.xml"/><Relationship Id="rId7" Type="http://schemas.openxmlformats.org/officeDocument/2006/relationships/image" Target="media/image1.jpeg"/><Relationship Id="rId183" Type="http://schemas.openxmlformats.org/officeDocument/2006/relationships/header" Target="header51.xml"/><Relationship Id="rId239" Type="http://schemas.openxmlformats.org/officeDocument/2006/relationships/footer" Target="footer57.xml"/><Relationship Id="rId390" Type="http://schemas.openxmlformats.org/officeDocument/2006/relationships/footer" Target="footer120.xml"/><Relationship Id="rId404" Type="http://schemas.openxmlformats.org/officeDocument/2006/relationships/footer" Target="footer127.xml"/><Relationship Id="rId250" Type="http://schemas.openxmlformats.org/officeDocument/2006/relationships/footer" Target="footer63.xml"/><Relationship Id="rId292" Type="http://schemas.openxmlformats.org/officeDocument/2006/relationships/hyperlink" Target="http://www.hopkins-biodefense.org/" TargetMode="External"/><Relationship Id="rId306" Type="http://schemas.openxmlformats.org/officeDocument/2006/relationships/header" Target="header104.xml"/><Relationship Id="rId45" Type="http://schemas.openxmlformats.org/officeDocument/2006/relationships/header" Target="header16.xml"/><Relationship Id="rId87" Type="http://schemas.openxmlformats.org/officeDocument/2006/relationships/hyperlink" Target="http://www.cdc.gov/nip" TargetMode="External"/><Relationship Id="rId110" Type="http://schemas.openxmlformats.org/officeDocument/2006/relationships/hyperlink" Target="http://www.cdc.gov/nip" TargetMode="External"/><Relationship Id="rId348" Type="http://schemas.openxmlformats.org/officeDocument/2006/relationships/header" Target="header123.xml"/><Relationship Id="rId152" Type="http://schemas.openxmlformats.org/officeDocument/2006/relationships/hyperlink" Target="http://www.hmhb.org" TargetMode="External"/><Relationship Id="rId194" Type="http://schemas.openxmlformats.org/officeDocument/2006/relationships/header" Target="header56.xml"/><Relationship Id="rId208" Type="http://schemas.openxmlformats.org/officeDocument/2006/relationships/header" Target="header63.xml"/><Relationship Id="rId415" Type="http://schemas.openxmlformats.org/officeDocument/2006/relationships/footer" Target="footer133.xml"/><Relationship Id="rId261" Type="http://schemas.openxmlformats.org/officeDocument/2006/relationships/header" Target="header87.xml"/><Relationship Id="rId14" Type="http://schemas.openxmlformats.org/officeDocument/2006/relationships/header" Target="header3.xml"/><Relationship Id="rId56" Type="http://schemas.openxmlformats.org/officeDocument/2006/relationships/header" Target="header23.xml"/><Relationship Id="rId317" Type="http://schemas.openxmlformats.org/officeDocument/2006/relationships/footer" Target="footer89.xml"/><Relationship Id="rId359" Type="http://schemas.openxmlformats.org/officeDocument/2006/relationships/header" Target="header128.xml"/><Relationship Id="rId98" Type="http://schemas.openxmlformats.org/officeDocument/2006/relationships/footer" Target="footer18.xml"/><Relationship Id="rId121" Type="http://schemas.openxmlformats.org/officeDocument/2006/relationships/hyperlink" Target="http://www.gao.gov" TargetMode="External"/><Relationship Id="rId163" Type="http://schemas.openxmlformats.org/officeDocument/2006/relationships/footer" Target="footer28.xml"/><Relationship Id="rId219" Type="http://schemas.openxmlformats.org/officeDocument/2006/relationships/footer" Target="footer48.xml"/><Relationship Id="rId370" Type="http://schemas.openxmlformats.org/officeDocument/2006/relationships/hyperlink" Target="http://www.hepprograms.org" TargetMode="External"/><Relationship Id="rId426" Type="http://schemas.openxmlformats.org/officeDocument/2006/relationships/header" Target="header159.xml"/><Relationship Id="rId230" Type="http://schemas.openxmlformats.org/officeDocument/2006/relationships/footer" Target="footer53.xml"/><Relationship Id="rId25" Type="http://schemas.openxmlformats.org/officeDocument/2006/relationships/hyperlink" Target="http://www.cdc.gov/travel" TargetMode="External"/><Relationship Id="rId67" Type="http://schemas.openxmlformats.org/officeDocument/2006/relationships/footer" Target="footer8.xml"/><Relationship Id="rId272" Type="http://schemas.openxmlformats.org/officeDocument/2006/relationships/footer" Target="footer72.xml"/><Relationship Id="rId328" Type="http://schemas.openxmlformats.org/officeDocument/2006/relationships/footer" Target="footer94.xml"/><Relationship Id="rId132" Type="http://schemas.openxmlformats.org/officeDocument/2006/relationships/hyperlink" Target="http://www.partnersforimmunization.org/cisa.pdf" TargetMode="External"/><Relationship Id="rId174" Type="http://schemas.openxmlformats.org/officeDocument/2006/relationships/hyperlink" Target="http://phil.cdc.gov/phil" TargetMode="External"/><Relationship Id="rId381" Type="http://schemas.openxmlformats.org/officeDocument/2006/relationships/header" Target="header137.xml"/><Relationship Id="rId241" Type="http://schemas.openxmlformats.org/officeDocument/2006/relationships/header" Target="header79.xml"/><Relationship Id="rId437" Type="http://schemas.openxmlformats.org/officeDocument/2006/relationships/footer" Target="footer144.xml"/><Relationship Id="rId36" Type="http://schemas.openxmlformats.org/officeDocument/2006/relationships/header" Target="header14.xml"/><Relationship Id="rId283" Type="http://schemas.openxmlformats.org/officeDocument/2006/relationships/footer" Target="footer77.xml"/><Relationship Id="rId339" Type="http://schemas.openxmlformats.org/officeDocument/2006/relationships/hyperlink" Target="http://www.cdc.gov/ncidod/hip/" TargetMode="External"/><Relationship Id="rId78" Type="http://schemas.openxmlformats.org/officeDocument/2006/relationships/hyperlink" Target="http://www.who.org" TargetMode="External"/><Relationship Id="rId101" Type="http://schemas.openxmlformats.org/officeDocument/2006/relationships/footer" Target="footer19.xml"/><Relationship Id="rId143" Type="http://schemas.openxmlformats.org/officeDocument/2006/relationships/hyperlink" Target="http://www.astho.org" TargetMode="External"/><Relationship Id="rId185" Type="http://schemas.openxmlformats.org/officeDocument/2006/relationships/footer" Target="footer31.xml"/><Relationship Id="rId350" Type="http://schemas.openxmlformats.org/officeDocument/2006/relationships/footer" Target="footer103.xml"/><Relationship Id="rId406" Type="http://schemas.openxmlformats.org/officeDocument/2006/relationships/header" Target="header149.xml"/><Relationship Id="rId9" Type="http://schemas.openxmlformats.org/officeDocument/2006/relationships/hyperlink" Target="http://www.aapredbook.org" TargetMode="External"/><Relationship Id="rId210" Type="http://schemas.openxmlformats.org/officeDocument/2006/relationships/footer" Target="footer43.xml"/><Relationship Id="rId392" Type="http://schemas.openxmlformats.org/officeDocument/2006/relationships/header" Target="header142.xml"/><Relationship Id="rId252" Type="http://schemas.openxmlformats.org/officeDocument/2006/relationships/footer" Target="footer64.xml"/><Relationship Id="rId294" Type="http://schemas.openxmlformats.org/officeDocument/2006/relationships/header" Target="header99.xml"/><Relationship Id="rId308" Type="http://schemas.openxmlformats.org/officeDocument/2006/relationships/footer" Target="footer84.xml"/><Relationship Id="rId47" Type="http://schemas.openxmlformats.org/officeDocument/2006/relationships/header" Target="header18.xml"/><Relationship Id="rId89" Type="http://schemas.openxmlformats.org/officeDocument/2006/relationships/hyperlink" Target="http://www.aap.org" TargetMode="External"/><Relationship Id="rId112" Type="http://schemas.openxmlformats.org/officeDocument/2006/relationships/hyperlink" Target="http://www.cdc.gov/od/nvpo" TargetMode="External"/><Relationship Id="rId154" Type="http://schemas.openxmlformats.org/officeDocument/2006/relationships/hyperlink" Target="http://www.vaccinesafety.edu" TargetMode="External"/><Relationship Id="rId361" Type="http://schemas.openxmlformats.org/officeDocument/2006/relationships/footer" Target="footer108.xml"/><Relationship Id="rId196" Type="http://schemas.openxmlformats.org/officeDocument/2006/relationships/header" Target="header57.xml"/><Relationship Id="rId417" Type="http://schemas.openxmlformats.org/officeDocument/2006/relationships/header" Target="header155.xml"/><Relationship Id="rId16" Type="http://schemas.openxmlformats.org/officeDocument/2006/relationships/header" Target="header5.xml"/><Relationship Id="rId221" Type="http://schemas.openxmlformats.org/officeDocument/2006/relationships/header" Target="header70.xml"/><Relationship Id="rId263" Type="http://schemas.openxmlformats.org/officeDocument/2006/relationships/footer" Target="footer67.xml"/><Relationship Id="rId319" Type="http://schemas.openxmlformats.org/officeDocument/2006/relationships/footer" Target="footer90.xml"/><Relationship Id="rId58" Type="http://schemas.openxmlformats.org/officeDocument/2006/relationships/footer" Target="footer3.xml"/><Relationship Id="rId123" Type="http://schemas.openxmlformats.org/officeDocument/2006/relationships/hyperlink" Target="http://www.brightoncollaboration.org" TargetMode="External"/><Relationship Id="rId330" Type="http://schemas.openxmlformats.org/officeDocument/2006/relationships/header" Target="header116.xml"/><Relationship Id="rId165" Type="http://schemas.openxmlformats.org/officeDocument/2006/relationships/hyperlink" Target="http://www.vaccines.com" TargetMode="External"/><Relationship Id="rId372" Type="http://schemas.openxmlformats.org/officeDocument/2006/relationships/header" Target="header132.xml"/><Relationship Id="rId428" Type="http://schemas.openxmlformats.org/officeDocument/2006/relationships/footer" Target="footer139.xml"/><Relationship Id="rId232" Type="http://schemas.openxmlformats.org/officeDocument/2006/relationships/header" Target="header75.xml"/><Relationship Id="rId274" Type="http://schemas.openxmlformats.org/officeDocument/2006/relationships/header" Target="header94.xml"/><Relationship Id="rId27" Type="http://schemas.openxmlformats.org/officeDocument/2006/relationships/hyperlink" Target="http://www.cdc.gov/nip" TargetMode="External"/><Relationship Id="rId69" Type="http://schemas.openxmlformats.org/officeDocument/2006/relationships/header" Target="header30.xml"/><Relationship Id="rId134" Type="http://schemas.openxmlformats.org/officeDocument/2006/relationships/hyperlink" Target="http://www.hrsa.gov/osp/vicp" TargetMode="External"/><Relationship Id="rId80" Type="http://schemas.openxmlformats.org/officeDocument/2006/relationships/header" Target="header34.xml"/><Relationship Id="rId176" Type="http://schemas.openxmlformats.org/officeDocument/2006/relationships/hyperlink" Target="http://www.cdc.gov/ncidod" TargetMode="External"/><Relationship Id="rId341" Type="http://schemas.openxmlformats.org/officeDocument/2006/relationships/header" Target="header120.xml"/><Relationship Id="rId383" Type="http://schemas.openxmlformats.org/officeDocument/2006/relationships/footer" Target="footer117.xml"/><Relationship Id="rId439" Type="http://schemas.openxmlformats.org/officeDocument/2006/relationships/header" Target="header166.xml"/><Relationship Id="rId201" Type="http://schemas.openxmlformats.org/officeDocument/2006/relationships/header" Target="header60.xml"/><Relationship Id="rId243" Type="http://schemas.openxmlformats.org/officeDocument/2006/relationships/header" Target="header80.xml"/><Relationship Id="rId285" Type="http://schemas.openxmlformats.org/officeDocument/2006/relationships/hyperlink" Target="http://www.cdc.gov/other.htm%23states" TargetMode="External"/><Relationship Id="rId38" Type="http://schemas.openxmlformats.org/officeDocument/2006/relationships/hyperlink" Target="http://www.cdc.gov/nip/" TargetMode="External"/><Relationship Id="rId103" Type="http://schemas.openxmlformats.org/officeDocument/2006/relationships/image" Target="media/image2.jpeg"/><Relationship Id="rId310" Type="http://schemas.openxmlformats.org/officeDocument/2006/relationships/header" Target="header106.xml"/><Relationship Id="rId91" Type="http://schemas.openxmlformats.org/officeDocument/2006/relationships/hyperlink" Target="http://www.cdc.gov/nip" TargetMode="External"/><Relationship Id="rId145" Type="http://schemas.openxmlformats.org/officeDocument/2006/relationships/hyperlink" Target="http://www.nmanet.org" TargetMode="External"/><Relationship Id="rId187" Type="http://schemas.openxmlformats.org/officeDocument/2006/relationships/header" Target="header53.xml"/><Relationship Id="rId352" Type="http://schemas.openxmlformats.org/officeDocument/2006/relationships/header" Target="header125.xml"/><Relationship Id="rId394" Type="http://schemas.openxmlformats.org/officeDocument/2006/relationships/header" Target="header143.xml"/><Relationship Id="rId408" Type="http://schemas.openxmlformats.org/officeDocument/2006/relationships/footer" Target="footer129.xml"/><Relationship Id="rId212" Type="http://schemas.openxmlformats.org/officeDocument/2006/relationships/header" Target="header65.xml"/><Relationship Id="rId254" Type="http://schemas.openxmlformats.org/officeDocument/2006/relationships/header" Target="header85.xml"/><Relationship Id="rId49" Type="http://schemas.openxmlformats.org/officeDocument/2006/relationships/hyperlink" Target="http://www.fda.gov/cber/vaccine/licvacc.htm" TargetMode="External"/><Relationship Id="rId114" Type="http://schemas.openxmlformats.org/officeDocument/2006/relationships/header" Target="header44.xml"/><Relationship Id="rId296" Type="http://schemas.openxmlformats.org/officeDocument/2006/relationships/footer" Target="footer79.xml"/><Relationship Id="rId60" Type="http://schemas.openxmlformats.org/officeDocument/2006/relationships/header" Target="header25.xml"/><Relationship Id="rId156" Type="http://schemas.openxmlformats.org/officeDocument/2006/relationships/hyperlink" Target="http://www.hispanichealth.org/immunization.htm" TargetMode="External"/><Relationship Id="rId198" Type="http://schemas.openxmlformats.org/officeDocument/2006/relationships/footer" Target="footer37.xml"/><Relationship Id="rId321" Type="http://schemas.openxmlformats.org/officeDocument/2006/relationships/header" Target="header112.xml"/><Relationship Id="rId363" Type="http://schemas.openxmlformats.org/officeDocument/2006/relationships/hyperlink" Target="http://www.immunize.org/laws" TargetMode="External"/><Relationship Id="rId419" Type="http://schemas.openxmlformats.org/officeDocument/2006/relationships/footer" Target="footer135.xml"/><Relationship Id="rId223" Type="http://schemas.openxmlformats.org/officeDocument/2006/relationships/footer" Target="footer50.xml"/><Relationship Id="rId430" Type="http://schemas.openxmlformats.org/officeDocument/2006/relationships/header" Target="header161.xml"/><Relationship Id="rId18" Type="http://schemas.openxmlformats.org/officeDocument/2006/relationships/header" Target="header7.xml"/><Relationship Id="rId39" Type="http://schemas.openxmlformats.org/officeDocument/2006/relationships/hyperlink" Target="http://www.immunize.org" TargetMode="External"/><Relationship Id="rId265" Type="http://schemas.openxmlformats.org/officeDocument/2006/relationships/header" Target="header89.xml"/><Relationship Id="rId286" Type="http://schemas.openxmlformats.org/officeDocument/2006/relationships/hyperlink" Target="http://www.asmusa.org/pasrc/StateLabContacts.pdf" TargetMode="External"/><Relationship Id="rId50" Type="http://schemas.openxmlformats.org/officeDocument/2006/relationships/header" Target="header19.xml"/><Relationship Id="rId104" Type="http://schemas.openxmlformats.org/officeDocument/2006/relationships/header" Target="header41.xml"/><Relationship Id="rId125" Type="http://schemas.openxmlformats.org/officeDocument/2006/relationships/header" Target="header46.xml"/><Relationship Id="rId146" Type="http://schemas.openxmlformats.org/officeDocument/2006/relationships/hyperlink" Target="http://www.sabin.org" TargetMode="External"/><Relationship Id="rId167" Type="http://schemas.openxmlformats.org/officeDocument/2006/relationships/hyperlink" Target="http://www.cdc.gov/travel/vaccinat.htm" TargetMode="External"/><Relationship Id="rId188" Type="http://schemas.openxmlformats.org/officeDocument/2006/relationships/footer" Target="footer32.xml"/><Relationship Id="rId311" Type="http://schemas.openxmlformats.org/officeDocument/2006/relationships/header" Target="header107.xml"/><Relationship Id="rId332" Type="http://schemas.openxmlformats.org/officeDocument/2006/relationships/footer" Target="footer96.xml"/><Relationship Id="rId353" Type="http://schemas.openxmlformats.org/officeDocument/2006/relationships/footer" Target="footer105.xml"/><Relationship Id="rId374" Type="http://schemas.openxmlformats.org/officeDocument/2006/relationships/footer" Target="footer112.xml"/><Relationship Id="rId395" Type="http://schemas.openxmlformats.org/officeDocument/2006/relationships/header" Target="header144.xml"/><Relationship Id="rId409" Type="http://schemas.openxmlformats.org/officeDocument/2006/relationships/footer" Target="footer130.xml"/><Relationship Id="rId71" Type="http://schemas.openxmlformats.org/officeDocument/2006/relationships/footer" Target="footer10.xml"/><Relationship Id="rId92" Type="http://schemas.openxmlformats.org/officeDocument/2006/relationships/hyperlink" Target="http://www.cdc.gov/nip/org" TargetMode="External"/><Relationship Id="rId213" Type="http://schemas.openxmlformats.org/officeDocument/2006/relationships/header" Target="header66.xml"/><Relationship Id="rId234" Type="http://schemas.openxmlformats.org/officeDocument/2006/relationships/footer" Target="footer55.xml"/><Relationship Id="rId420" Type="http://schemas.openxmlformats.org/officeDocument/2006/relationships/header" Target="header156.xml"/><Relationship Id="rId2" Type="http://schemas.openxmlformats.org/officeDocument/2006/relationships/styles" Target="styles.xml"/><Relationship Id="rId29" Type="http://schemas.openxmlformats.org/officeDocument/2006/relationships/hyperlink" Target="mailto:NIPINFO@cdc.gov" TargetMode="External"/><Relationship Id="rId255" Type="http://schemas.openxmlformats.org/officeDocument/2006/relationships/header" Target="header86.xml"/><Relationship Id="rId276" Type="http://schemas.openxmlformats.org/officeDocument/2006/relationships/footer" Target="footer74.xml"/><Relationship Id="rId297" Type="http://schemas.openxmlformats.org/officeDocument/2006/relationships/footer" Target="footer80.xml"/><Relationship Id="rId441" Type="http://schemas.openxmlformats.org/officeDocument/2006/relationships/footer" Target="footer146.xml"/><Relationship Id="rId40" Type="http://schemas.openxmlformats.org/officeDocument/2006/relationships/hyperlink" Target="http://www.cdc.gov/nip/publications/VIS/default.htm" TargetMode="External"/><Relationship Id="rId115" Type="http://schemas.openxmlformats.org/officeDocument/2006/relationships/header" Target="header45.xml"/><Relationship Id="rId136" Type="http://schemas.openxmlformats.org/officeDocument/2006/relationships/hyperlink" Target="http://www.fda.gov/cber/blood/mercplasma.htm" TargetMode="External"/><Relationship Id="rId157" Type="http://schemas.openxmlformats.org/officeDocument/2006/relationships/hyperlink" Target="http://www.imunizationinfo" TargetMode="External"/><Relationship Id="rId178" Type="http://schemas.openxmlformats.org/officeDocument/2006/relationships/hyperlink" Target="http://www.cdc.gov/nip/publications" TargetMode="External"/><Relationship Id="rId301" Type="http://schemas.openxmlformats.org/officeDocument/2006/relationships/header" Target="header102.xml"/><Relationship Id="rId322" Type="http://schemas.openxmlformats.org/officeDocument/2006/relationships/footer" Target="footer91.xml"/><Relationship Id="rId343" Type="http://schemas.openxmlformats.org/officeDocument/2006/relationships/footer" Target="footer100.xml"/><Relationship Id="rId364" Type="http://schemas.openxmlformats.org/officeDocument/2006/relationships/header" Target="header130.xml"/><Relationship Id="rId61" Type="http://schemas.openxmlformats.org/officeDocument/2006/relationships/header" Target="header26.xml"/><Relationship Id="rId82" Type="http://schemas.openxmlformats.org/officeDocument/2006/relationships/footer" Target="footer14.xml"/><Relationship Id="rId199" Type="http://schemas.openxmlformats.org/officeDocument/2006/relationships/footer" Target="footer38.xml"/><Relationship Id="rId203" Type="http://schemas.openxmlformats.org/officeDocument/2006/relationships/footer" Target="footer40.xml"/><Relationship Id="rId385" Type="http://schemas.openxmlformats.org/officeDocument/2006/relationships/header" Target="header139.xml"/><Relationship Id="rId19" Type="http://schemas.openxmlformats.org/officeDocument/2006/relationships/header" Target="header8.xml"/><Relationship Id="rId224" Type="http://schemas.openxmlformats.org/officeDocument/2006/relationships/header" Target="header71.xml"/><Relationship Id="rId245" Type="http://schemas.openxmlformats.org/officeDocument/2006/relationships/footer" Target="footer60.xml"/><Relationship Id="rId266" Type="http://schemas.openxmlformats.org/officeDocument/2006/relationships/header" Target="header90.xml"/><Relationship Id="rId287" Type="http://schemas.openxmlformats.org/officeDocument/2006/relationships/hyperlink" Target="http://www.ndms.dhhs.gov" TargetMode="External"/><Relationship Id="rId410" Type="http://schemas.openxmlformats.org/officeDocument/2006/relationships/header" Target="header151.xml"/><Relationship Id="rId431" Type="http://schemas.openxmlformats.org/officeDocument/2006/relationships/footer" Target="footer141.xml"/><Relationship Id="rId30" Type="http://schemas.openxmlformats.org/officeDocument/2006/relationships/hyperlink" Target="http://www.cdc.gov/nip" TargetMode="External"/><Relationship Id="rId105" Type="http://schemas.openxmlformats.org/officeDocument/2006/relationships/header" Target="header42.xml"/><Relationship Id="rId126" Type="http://schemas.openxmlformats.org/officeDocument/2006/relationships/header" Target="header47.xml"/><Relationship Id="rId147" Type="http://schemas.openxmlformats.org/officeDocument/2006/relationships/hyperlink" Target="http://www.vaccine.org" TargetMode="External"/><Relationship Id="rId168" Type="http://schemas.openxmlformats.org/officeDocument/2006/relationships/hyperlink" Target="http://www.cdc.gov/ncidod" TargetMode="External"/><Relationship Id="rId312" Type="http://schemas.openxmlformats.org/officeDocument/2006/relationships/footer" Target="footer86.xml"/><Relationship Id="rId333" Type="http://schemas.openxmlformats.org/officeDocument/2006/relationships/hyperlink" Target="http://www.immunize.org/laws" TargetMode="External"/><Relationship Id="rId354" Type="http://schemas.openxmlformats.org/officeDocument/2006/relationships/hyperlink" Target="http://www.hc-sc.gc.ca/hpb/lcdc/publicat/std98/index.html" TargetMode="External"/><Relationship Id="rId51" Type="http://schemas.openxmlformats.org/officeDocument/2006/relationships/header" Target="header20.xml"/><Relationship Id="rId72" Type="http://schemas.openxmlformats.org/officeDocument/2006/relationships/hyperlink" Target="http://www.cdc.gov/nip" TargetMode="External"/><Relationship Id="rId93" Type="http://schemas.openxmlformats.org/officeDocument/2006/relationships/hyperlink" Target="http://www.aap.org" TargetMode="External"/><Relationship Id="rId189" Type="http://schemas.openxmlformats.org/officeDocument/2006/relationships/footer" Target="footer33.xml"/><Relationship Id="rId375" Type="http://schemas.openxmlformats.org/officeDocument/2006/relationships/footer" Target="footer113.xml"/><Relationship Id="rId396" Type="http://schemas.openxmlformats.org/officeDocument/2006/relationships/footer" Target="footer123.xml"/><Relationship Id="rId3" Type="http://schemas.openxmlformats.org/officeDocument/2006/relationships/settings" Target="settings.xml"/><Relationship Id="rId214" Type="http://schemas.openxmlformats.org/officeDocument/2006/relationships/footer" Target="footer45.xml"/><Relationship Id="rId235" Type="http://schemas.openxmlformats.org/officeDocument/2006/relationships/footer" Target="footer56.xml"/><Relationship Id="rId256" Type="http://schemas.openxmlformats.org/officeDocument/2006/relationships/footer" Target="footer65.xml"/><Relationship Id="rId277" Type="http://schemas.openxmlformats.org/officeDocument/2006/relationships/header" Target="header95.xml"/><Relationship Id="rId298" Type="http://schemas.openxmlformats.org/officeDocument/2006/relationships/header" Target="header101.xml"/><Relationship Id="rId400" Type="http://schemas.openxmlformats.org/officeDocument/2006/relationships/footer" Target="footer125.xml"/><Relationship Id="rId421" Type="http://schemas.openxmlformats.org/officeDocument/2006/relationships/header" Target="header157.xml"/><Relationship Id="rId442" Type="http://schemas.openxmlformats.org/officeDocument/2006/relationships/header" Target="header167.xml"/><Relationship Id="rId116" Type="http://schemas.openxmlformats.org/officeDocument/2006/relationships/footer" Target="footer24.xml"/><Relationship Id="rId137" Type="http://schemas.openxmlformats.org/officeDocument/2006/relationships/hyperlink" Target="http://www.immunizationinfo.org" TargetMode="External"/><Relationship Id="rId158" Type="http://schemas.openxmlformats.org/officeDocument/2006/relationships/hyperlink" Target="http://www.imunizationinfo" TargetMode="External"/><Relationship Id="rId302" Type="http://schemas.openxmlformats.org/officeDocument/2006/relationships/header" Target="header103.xml"/><Relationship Id="rId323" Type="http://schemas.openxmlformats.org/officeDocument/2006/relationships/footer" Target="footer92.xml"/><Relationship Id="rId344" Type="http://schemas.openxmlformats.org/officeDocument/2006/relationships/header" Target="header121.xml"/><Relationship Id="rId20" Type="http://schemas.openxmlformats.org/officeDocument/2006/relationships/header" Target="header9.xml"/><Relationship Id="rId41" Type="http://schemas.openxmlformats.org/officeDocument/2006/relationships/hyperlink" Target="http://www.cdc.gov/nip" TargetMode="External"/><Relationship Id="rId62" Type="http://schemas.openxmlformats.org/officeDocument/2006/relationships/footer" Target="footer5.xml"/><Relationship Id="rId83" Type="http://schemas.openxmlformats.org/officeDocument/2006/relationships/header" Target="header35.xml"/><Relationship Id="rId179" Type="http://schemas.openxmlformats.org/officeDocument/2006/relationships/hyperlink" Target="http://www.cdc.gov/od/nvpo" TargetMode="External"/><Relationship Id="rId365" Type="http://schemas.openxmlformats.org/officeDocument/2006/relationships/header" Target="header131.xml"/><Relationship Id="rId386" Type="http://schemas.openxmlformats.org/officeDocument/2006/relationships/footer" Target="footer118.xml"/><Relationship Id="rId190" Type="http://schemas.openxmlformats.org/officeDocument/2006/relationships/header" Target="header54.xml"/><Relationship Id="rId204" Type="http://schemas.openxmlformats.org/officeDocument/2006/relationships/header" Target="header61.xml"/><Relationship Id="rId225" Type="http://schemas.openxmlformats.org/officeDocument/2006/relationships/header" Target="header72.xml"/><Relationship Id="rId246" Type="http://schemas.openxmlformats.org/officeDocument/2006/relationships/footer" Target="footer61.xml"/><Relationship Id="rId267" Type="http://schemas.openxmlformats.org/officeDocument/2006/relationships/footer" Target="footer69.xml"/><Relationship Id="rId288" Type="http://schemas.openxmlformats.org/officeDocument/2006/relationships/hyperlink" Target="http://www.aap.org/terrorism" TargetMode="External"/><Relationship Id="rId411" Type="http://schemas.openxmlformats.org/officeDocument/2006/relationships/header" Target="header152.xml"/><Relationship Id="rId432" Type="http://schemas.openxmlformats.org/officeDocument/2006/relationships/header" Target="header162.xml"/><Relationship Id="rId106" Type="http://schemas.openxmlformats.org/officeDocument/2006/relationships/footer" Target="footer21.xml"/><Relationship Id="rId127" Type="http://schemas.openxmlformats.org/officeDocument/2006/relationships/footer" Target="footer26.xml"/><Relationship Id="rId313" Type="http://schemas.openxmlformats.org/officeDocument/2006/relationships/footer" Target="footer87.xml"/><Relationship Id="rId10" Type="http://schemas.openxmlformats.org/officeDocument/2006/relationships/hyperlink" Target="http://www.aap.org" TargetMode="External"/><Relationship Id="rId31" Type="http://schemas.openxmlformats.org/officeDocument/2006/relationships/hyperlink" Target="http://www.immunizationinfo.org" TargetMode="External"/><Relationship Id="rId52" Type="http://schemas.openxmlformats.org/officeDocument/2006/relationships/header" Target="header21.xml"/><Relationship Id="rId73" Type="http://schemas.openxmlformats.org/officeDocument/2006/relationships/hyperlink" Target="http://www.who.org" TargetMode="External"/><Relationship Id="rId94" Type="http://schemas.openxmlformats.org/officeDocument/2006/relationships/hyperlink" Target="http://www.aafp.org" TargetMode="External"/><Relationship Id="rId148" Type="http://schemas.openxmlformats.org/officeDocument/2006/relationships/hyperlink" Target="http://www.childrensvaccine.org" TargetMode="External"/><Relationship Id="rId169" Type="http://schemas.openxmlformats.org/officeDocument/2006/relationships/hyperlink" Target="http://www.cdc.gov/nip" TargetMode="External"/><Relationship Id="rId334" Type="http://schemas.openxmlformats.org/officeDocument/2006/relationships/hyperlink" Target="http://www.cdc.gov/other.htm%23states" TargetMode="External"/><Relationship Id="rId355" Type="http://schemas.openxmlformats.org/officeDocument/2006/relationships/header" Target="header126.xml"/><Relationship Id="rId376" Type="http://schemas.openxmlformats.org/officeDocument/2006/relationships/header" Target="header134.xml"/><Relationship Id="rId397" Type="http://schemas.openxmlformats.org/officeDocument/2006/relationships/footer" Target="footer124.xml"/><Relationship Id="rId4" Type="http://schemas.openxmlformats.org/officeDocument/2006/relationships/webSettings" Target="webSettings.xml"/><Relationship Id="rId180" Type="http://schemas.openxmlformats.org/officeDocument/2006/relationships/hyperlink" Target="http://www.niaid.nih.gov/dmid/vaccines" TargetMode="External"/><Relationship Id="rId215" Type="http://schemas.openxmlformats.org/officeDocument/2006/relationships/footer" Target="footer46.xml"/><Relationship Id="rId236" Type="http://schemas.openxmlformats.org/officeDocument/2006/relationships/hyperlink" Target="http://www.acha.org" TargetMode="External"/><Relationship Id="rId257" Type="http://schemas.openxmlformats.org/officeDocument/2006/relationships/footer" Target="footer66.xml"/><Relationship Id="rId278" Type="http://schemas.openxmlformats.org/officeDocument/2006/relationships/header" Target="header96.xml"/><Relationship Id="rId401" Type="http://schemas.openxmlformats.org/officeDocument/2006/relationships/footer" Target="footer126.xml"/><Relationship Id="rId422" Type="http://schemas.openxmlformats.org/officeDocument/2006/relationships/footer" Target="footer136.xml"/><Relationship Id="rId443" Type="http://schemas.openxmlformats.org/officeDocument/2006/relationships/footer" Target="footer147.xml"/><Relationship Id="rId303" Type="http://schemas.openxmlformats.org/officeDocument/2006/relationships/footer" Target="footer82.xml"/><Relationship Id="rId42" Type="http://schemas.openxmlformats.org/officeDocument/2006/relationships/hyperlink" Target="http://www.partnersforimmunization.org" TargetMode="External"/><Relationship Id="rId84" Type="http://schemas.openxmlformats.org/officeDocument/2006/relationships/header" Target="header36.xml"/><Relationship Id="rId138" Type="http://schemas.openxmlformats.org/officeDocument/2006/relationships/hyperlink" Target="http://www.familydoctor.org" TargetMode="External"/><Relationship Id="rId345" Type="http://schemas.openxmlformats.org/officeDocument/2006/relationships/header" Target="header122.xml"/><Relationship Id="rId387" Type="http://schemas.openxmlformats.org/officeDocument/2006/relationships/footer" Target="footer119.xml"/><Relationship Id="rId191" Type="http://schemas.openxmlformats.org/officeDocument/2006/relationships/header" Target="header55.xml"/><Relationship Id="rId205" Type="http://schemas.openxmlformats.org/officeDocument/2006/relationships/header" Target="header62.xml"/><Relationship Id="rId247" Type="http://schemas.openxmlformats.org/officeDocument/2006/relationships/header" Target="header82.xml"/><Relationship Id="rId412" Type="http://schemas.openxmlformats.org/officeDocument/2006/relationships/footer" Target="footer131.xml"/><Relationship Id="rId107" Type="http://schemas.openxmlformats.org/officeDocument/2006/relationships/footer" Target="footer22.xml"/><Relationship Id="rId289" Type="http://schemas.openxmlformats.org/officeDocument/2006/relationships/hyperlink" Target="http://www.bt.cdc.gov/" TargetMode="External"/><Relationship Id="rId11" Type="http://schemas.openxmlformats.org/officeDocument/2006/relationships/hyperlink" Target="http://pdrel.thomsonhc.com/pdrel/" TargetMode="External"/><Relationship Id="rId53" Type="http://schemas.openxmlformats.org/officeDocument/2006/relationships/header" Target="header22.xml"/><Relationship Id="rId149" Type="http://schemas.openxmlformats.org/officeDocument/2006/relationships/hyperlink" Target="http://www.ecbt.org" TargetMode="External"/><Relationship Id="rId314" Type="http://schemas.openxmlformats.org/officeDocument/2006/relationships/header" Target="header108.xml"/><Relationship Id="rId356" Type="http://schemas.openxmlformats.org/officeDocument/2006/relationships/header" Target="header127.xml"/><Relationship Id="rId398" Type="http://schemas.openxmlformats.org/officeDocument/2006/relationships/header" Target="header145.xml"/><Relationship Id="rId95" Type="http://schemas.openxmlformats.org/officeDocument/2006/relationships/header" Target="header37.xml"/><Relationship Id="rId160" Type="http://schemas.openxmlformats.org/officeDocument/2006/relationships/hyperlink" Target="http://www.vaccine.chop.edu" TargetMode="External"/><Relationship Id="rId216" Type="http://schemas.openxmlformats.org/officeDocument/2006/relationships/header" Target="header67.xml"/><Relationship Id="rId423" Type="http://schemas.openxmlformats.org/officeDocument/2006/relationships/footer" Target="footer137.xml"/><Relationship Id="rId258" Type="http://schemas.openxmlformats.org/officeDocument/2006/relationships/hyperlink" Target="http://www.cdc.gov/travel" TargetMode="External"/><Relationship Id="rId22" Type="http://schemas.openxmlformats.org/officeDocument/2006/relationships/hyperlink" Target="http://www.aap.org" TargetMode="External"/><Relationship Id="rId64" Type="http://schemas.openxmlformats.org/officeDocument/2006/relationships/header" Target="header27.xml"/><Relationship Id="rId118" Type="http://schemas.openxmlformats.org/officeDocument/2006/relationships/hyperlink" Target="http://www.cdc.gov/nip" TargetMode="External"/><Relationship Id="rId325" Type="http://schemas.openxmlformats.org/officeDocument/2006/relationships/header" Target="header113.xml"/><Relationship Id="rId367" Type="http://schemas.openxmlformats.org/officeDocument/2006/relationships/footer" Target="footer111.xml"/><Relationship Id="rId171" Type="http://schemas.openxmlformats.org/officeDocument/2006/relationships/hyperlink" Target="http://www.cdc.gov/od/nvpo" TargetMode="External"/><Relationship Id="rId227" Type="http://schemas.openxmlformats.org/officeDocument/2006/relationships/footer" Target="footer52.xml"/><Relationship Id="rId269" Type="http://schemas.openxmlformats.org/officeDocument/2006/relationships/header" Target="header91.xml"/><Relationship Id="rId434" Type="http://schemas.openxmlformats.org/officeDocument/2006/relationships/footer" Target="footer142.xml"/><Relationship Id="rId33" Type="http://schemas.openxmlformats.org/officeDocument/2006/relationships/header" Target="header11.xml"/><Relationship Id="rId129" Type="http://schemas.openxmlformats.org/officeDocument/2006/relationships/hyperlink" Target="http://www.fda.gov/cber/vaers/vaers.htm" TargetMode="External"/><Relationship Id="rId280" Type="http://schemas.openxmlformats.org/officeDocument/2006/relationships/footer" Target="footer76.xml"/><Relationship Id="rId336" Type="http://schemas.openxmlformats.org/officeDocument/2006/relationships/header" Target="header118.xml"/><Relationship Id="rId75" Type="http://schemas.openxmlformats.org/officeDocument/2006/relationships/header" Target="header32.xml"/><Relationship Id="rId140" Type="http://schemas.openxmlformats.org/officeDocument/2006/relationships/hyperlink" Target="http://www.cispimmunize.org" TargetMode="External"/><Relationship Id="rId182" Type="http://schemas.openxmlformats.org/officeDocument/2006/relationships/header" Target="header50.xml"/><Relationship Id="rId378" Type="http://schemas.openxmlformats.org/officeDocument/2006/relationships/footer" Target="footer114.xml"/><Relationship Id="rId403" Type="http://schemas.openxmlformats.org/officeDocument/2006/relationships/header" Target="header148.xml"/><Relationship Id="rId6" Type="http://schemas.openxmlformats.org/officeDocument/2006/relationships/endnotes" Target="endnotes.xml"/><Relationship Id="rId238" Type="http://schemas.openxmlformats.org/officeDocument/2006/relationships/header" Target="header78.xml"/><Relationship Id="rId445" Type="http://schemas.openxmlformats.org/officeDocument/2006/relationships/theme" Target="theme/theme1.xml"/><Relationship Id="rId291" Type="http://schemas.openxmlformats.org/officeDocument/2006/relationships/hyperlink" Target="http://www.asmusa.org/pcsrc/biodetection.htm" TargetMode="External"/><Relationship Id="rId305" Type="http://schemas.openxmlformats.org/officeDocument/2006/relationships/hyperlink" Target="http://www.fda.gov/medwatch/report/hcp.htm" TargetMode="External"/><Relationship Id="rId347" Type="http://schemas.openxmlformats.org/officeDocument/2006/relationships/footer" Target="footer102.xml"/><Relationship Id="rId44" Type="http://schemas.openxmlformats.org/officeDocument/2006/relationships/hyperlink" Target="http://www.partnersforimmunization.org" TargetMode="External"/><Relationship Id="rId86" Type="http://schemas.openxmlformats.org/officeDocument/2006/relationships/footer" Target="footer16.xml"/><Relationship Id="rId151" Type="http://schemas.openxmlformats.org/officeDocument/2006/relationships/hyperlink" Target="http://www.hon.ch" TargetMode="External"/><Relationship Id="rId389" Type="http://schemas.openxmlformats.org/officeDocument/2006/relationships/header" Target="header141.xml"/><Relationship Id="rId193" Type="http://schemas.openxmlformats.org/officeDocument/2006/relationships/footer" Target="footer35.xml"/><Relationship Id="rId207" Type="http://schemas.openxmlformats.org/officeDocument/2006/relationships/footer" Target="footer42.xml"/><Relationship Id="rId249" Type="http://schemas.openxmlformats.org/officeDocument/2006/relationships/footer" Target="footer62.xml"/><Relationship Id="rId414" Type="http://schemas.openxmlformats.org/officeDocument/2006/relationships/header" Target="header153.xml"/><Relationship Id="rId13" Type="http://schemas.openxmlformats.org/officeDocument/2006/relationships/header" Target="header2.xml"/><Relationship Id="rId109" Type="http://schemas.openxmlformats.org/officeDocument/2006/relationships/footer" Target="footer23.xml"/><Relationship Id="rId260" Type="http://schemas.openxmlformats.org/officeDocument/2006/relationships/hyperlink" Target="http://www.cdc.gov/travel" TargetMode="External"/><Relationship Id="rId316" Type="http://schemas.openxmlformats.org/officeDocument/2006/relationships/footer" Target="footer88.xml"/><Relationship Id="rId55" Type="http://schemas.openxmlformats.org/officeDocument/2006/relationships/footer" Target="footer2.xml"/><Relationship Id="rId97" Type="http://schemas.openxmlformats.org/officeDocument/2006/relationships/footer" Target="footer17.xml"/><Relationship Id="rId120" Type="http://schemas.openxmlformats.org/officeDocument/2006/relationships/hyperlink" Target="http://www.cdc.gov/od/nvpo" TargetMode="External"/><Relationship Id="rId358" Type="http://schemas.openxmlformats.org/officeDocument/2006/relationships/footer" Target="footer107.xml"/><Relationship Id="rId162" Type="http://schemas.openxmlformats.org/officeDocument/2006/relationships/header" Target="header49.xml"/><Relationship Id="rId218" Type="http://schemas.openxmlformats.org/officeDocument/2006/relationships/footer" Target="footer47.xml"/><Relationship Id="rId425" Type="http://schemas.openxmlformats.org/officeDocument/2006/relationships/footer" Target="footer138.xml"/><Relationship Id="rId271" Type="http://schemas.openxmlformats.org/officeDocument/2006/relationships/footer" Target="footer71.xml"/><Relationship Id="rId24" Type="http://schemas.openxmlformats.org/officeDocument/2006/relationships/hyperlink" Target="http://pdrel.thomsonhc.com/pdrel/librarian/action/command" TargetMode="External"/><Relationship Id="rId66" Type="http://schemas.openxmlformats.org/officeDocument/2006/relationships/footer" Target="footer7.xml"/><Relationship Id="rId131" Type="http://schemas.openxmlformats.org/officeDocument/2006/relationships/hyperlink" Target="mailto:info@vaers.org" TargetMode="External"/><Relationship Id="rId327" Type="http://schemas.openxmlformats.org/officeDocument/2006/relationships/footer" Target="footer93.xml"/><Relationship Id="rId369" Type="http://schemas.openxmlformats.org/officeDocument/2006/relationships/hyperlink" Target="http://www.niddk.nih.gov/health/digest/pubs/chrnhepc/chrnhepc.htm" TargetMode="External"/><Relationship Id="rId173" Type="http://schemas.openxmlformats.org/officeDocument/2006/relationships/hyperlink" Target="http://www.who.int/vaccines" TargetMode="External"/><Relationship Id="rId229" Type="http://schemas.openxmlformats.org/officeDocument/2006/relationships/header" Target="header74.xml"/><Relationship Id="rId380" Type="http://schemas.openxmlformats.org/officeDocument/2006/relationships/header" Target="header136.xml"/><Relationship Id="rId436" Type="http://schemas.openxmlformats.org/officeDocument/2006/relationships/header" Target="header164.xml"/><Relationship Id="rId240" Type="http://schemas.openxmlformats.org/officeDocument/2006/relationships/footer" Target="footer58.xml"/><Relationship Id="rId35" Type="http://schemas.openxmlformats.org/officeDocument/2006/relationships/header" Target="header13.xml"/><Relationship Id="rId77" Type="http://schemas.openxmlformats.org/officeDocument/2006/relationships/footer" Target="footer12.xml"/><Relationship Id="rId100" Type="http://schemas.openxmlformats.org/officeDocument/2006/relationships/header" Target="header40.xml"/><Relationship Id="rId282" Type="http://schemas.openxmlformats.org/officeDocument/2006/relationships/header" Target="header98.xml"/><Relationship Id="rId338" Type="http://schemas.openxmlformats.org/officeDocument/2006/relationships/footer" Target="footer98.xml"/><Relationship Id="rId8" Type="http://schemas.openxmlformats.org/officeDocument/2006/relationships/hyperlink" Target="http://www.aap.org" TargetMode="External"/><Relationship Id="rId142" Type="http://schemas.openxmlformats.org/officeDocument/2006/relationships/hyperlink" Target="http://www.nursingworld.org/mods/mod1/cechfull.htm" TargetMode="External"/><Relationship Id="rId184" Type="http://schemas.openxmlformats.org/officeDocument/2006/relationships/footer" Target="footer30.xml"/><Relationship Id="rId391" Type="http://schemas.openxmlformats.org/officeDocument/2006/relationships/footer" Target="footer121.xml"/><Relationship Id="rId405" Type="http://schemas.openxmlformats.org/officeDocument/2006/relationships/footer" Target="footer128.xml"/><Relationship Id="rId251" Type="http://schemas.openxmlformats.org/officeDocument/2006/relationships/header" Target="header84.xml"/><Relationship Id="rId46" Type="http://schemas.openxmlformats.org/officeDocument/2006/relationships/header" Target="header17.xml"/><Relationship Id="rId293" Type="http://schemas.openxmlformats.org/officeDocument/2006/relationships/hyperlink" Target="http://www.usamriid.army.mil/" TargetMode="External"/><Relationship Id="rId307" Type="http://schemas.openxmlformats.org/officeDocument/2006/relationships/header" Target="header105.xml"/><Relationship Id="rId349" Type="http://schemas.openxmlformats.org/officeDocument/2006/relationships/header" Target="header124.xml"/><Relationship Id="rId88" Type="http://schemas.openxmlformats.org/officeDocument/2006/relationships/hyperlink" Target="http://www.cdc.gov/nip/org" TargetMode="External"/><Relationship Id="rId111" Type="http://schemas.openxmlformats.org/officeDocument/2006/relationships/hyperlink" Target="http://www.aap.org" TargetMode="External"/><Relationship Id="rId153" Type="http://schemas.openxmlformats.org/officeDocument/2006/relationships/hyperlink" Target="http://www.immunize.org" TargetMode="External"/><Relationship Id="rId195" Type="http://schemas.openxmlformats.org/officeDocument/2006/relationships/footer" Target="footer36.xml"/><Relationship Id="rId209" Type="http://schemas.openxmlformats.org/officeDocument/2006/relationships/header" Target="header64.xml"/><Relationship Id="rId360" Type="http://schemas.openxmlformats.org/officeDocument/2006/relationships/header" Target="header129.xml"/><Relationship Id="rId416" Type="http://schemas.openxmlformats.org/officeDocument/2006/relationships/header" Target="header154.xml"/><Relationship Id="rId220" Type="http://schemas.openxmlformats.org/officeDocument/2006/relationships/header" Target="header69.xml"/><Relationship Id="rId15" Type="http://schemas.openxmlformats.org/officeDocument/2006/relationships/header" Target="header4.xml"/><Relationship Id="rId57" Type="http://schemas.openxmlformats.org/officeDocument/2006/relationships/header" Target="header24.xml"/><Relationship Id="rId262" Type="http://schemas.openxmlformats.org/officeDocument/2006/relationships/header" Target="header88.xml"/><Relationship Id="rId318" Type="http://schemas.openxmlformats.org/officeDocument/2006/relationships/header" Target="header110.xml"/><Relationship Id="rId99" Type="http://schemas.openxmlformats.org/officeDocument/2006/relationships/header" Target="header39.xml"/><Relationship Id="rId122" Type="http://schemas.openxmlformats.org/officeDocument/2006/relationships/hyperlink" Target="http://www.iom.edu/IOM/IOMHome.nsf/Pages/immunization+safety+review" TargetMode="External"/><Relationship Id="rId164" Type="http://schemas.openxmlformats.org/officeDocument/2006/relationships/footer" Target="footer29.xml"/><Relationship Id="rId371" Type="http://schemas.openxmlformats.org/officeDocument/2006/relationships/hyperlink" Target="http://www.niddk.nih.gov/health/digest/pubs/chrnhepc/chrnhepc.htm" TargetMode="External"/><Relationship Id="rId427" Type="http://schemas.openxmlformats.org/officeDocument/2006/relationships/header" Target="header160.xml"/><Relationship Id="rId26" Type="http://schemas.openxmlformats.org/officeDocument/2006/relationships/hyperlink" Target="http://www.cdc.gov/" TargetMode="External"/><Relationship Id="rId231" Type="http://schemas.openxmlformats.org/officeDocument/2006/relationships/footer" Target="footer54.xml"/><Relationship Id="rId273" Type="http://schemas.openxmlformats.org/officeDocument/2006/relationships/header" Target="header93.xml"/><Relationship Id="rId329" Type="http://schemas.openxmlformats.org/officeDocument/2006/relationships/header" Target="header115.xml"/><Relationship Id="rId68" Type="http://schemas.openxmlformats.org/officeDocument/2006/relationships/header" Target="header29.xml"/><Relationship Id="rId133" Type="http://schemas.openxmlformats.org/officeDocument/2006/relationships/hyperlink" Target="http://www.cdc.gov/nip/visi" TargetMode="External"/><Relationship Id="rId175" Type="http://schemas.openxmlformats.org/officeDocument/2006/relationships/hyperlink" Target="http://www.cdc.gov/travel/vaccinat.htm" TargetMode="External"/><Relationship Id="rId340" Type="http://schemas.openxmlformats.org/officeDocument/2006/relationships/header" Target="header119.xml"/><Relationship Id="rId200" Type="http://schemas.openxmlformats.org/officeDocument/2006/relationships/header" Target="header59.xml"/><Relationship Id="rId382" Type="http://schemas.openxmlformats.org/officeDocument/2006/relationships/footer" Target="footer116.xml"/><Relationship Id="rId438" Type="http://schemas.openxmlformats.org/officeDocument/2006/relationships/header" Target="header165.xml"/><Relationship Id="rId242" Type="http://schemas.openxmlformats.org/officeDocument/2006/relationships/footer" Target="footer59.xml"/><Relationship Id="rId284" Type="http://schemas.openxmlformats.org/officeDocument/2006/relationships/footer" Target="footer78.xml"/><Relationship Id="rId37" Type="http://schemas.openxmlformats.org/officeDocument/2006/relationships/header" Target="header15.xml"/><Relationship Id="rId79" Type="http://schemas.openxmlformats.org/officeDocument/2006/relationships/header" Target="header33.xml"/><Relationship Id="rId102" Type="http://schemas.openxmlformats.org/officeDocument/2006/relationships/footer" Target="footer20.xml"/><Relationship Id="rId144" Type="http://schemas.openxmlformats.org/officeDocument/2006/relationships/hyperlink" Target="http://www.atpm.org/education/education.htm" TargetMode="External"/><Relationship Id="rId90" Type="http://schemas.openxmlformats.org/officeDocument/2006/relationships/hyperlink" Target="http://www.aafp.org" TargetMode="External"/><Relationship Id="rId186" Type="http://schemas.openxmlformats.org/officeDocument/2006/relationships/header" Target="header52.xml"/><Relationship Id="rId351" Type="http://schemas.openxmlformats.org/officeDocument/2006/relationships/footer" Target="footer104.xml"/><Relationship Id="rId393" Type="http://schemas.openxmlformats.org/officeDocument/2006/relationships/footer" Target="footer122.xml"/><Relationship Id="rId407" Type="http://schemas.openxmlformats.org/officeDocument/2006/relationships/header" Target="header150.xml"/><Relationship Id="rId211" Type="http://schemas.openxmlformats.org/officeDocument/2006/relationships/footer" Target="footer44.xml"/><Relationship Id="rId253" Type="http://schemas.openxmlformats.org/officeDocument/2006/relationships/hyperlink" Target="http://www.cdc.gov/travel" TargetMode="External"/><Relationship Id="rId295" Type="http://schemas.openxmlformats.org/officeDocument/2006/relationships/header" Target="header100.xml"/><Relationship Id="rId309" Type="http://schemas.openxmlformats.org/officeDocument/2006/relationships/footer" Target="footer85.xml"/><Relationship Id="rId48" Type="http://schemas.openxmlformats.org/officeDocument/2006/relationships/hyperlink" Target="http://www.fda.gov/cber/vaccine/licvacc.htm" TargetMode="External"/><Relationship Id="rId113" Type="http://schemas.openxmlformats.org/officeDocument/2006/relationships/hyperlink" Target="http://www.gao.gov" TargetMode="External"/><Relationship Id="rId320" Type="http://schemas.openxmlformats.org/officeDocument/2006/relationships/header" Target="header111.xml"/><Relationship Id="rId155" Type="http://schemas.openxmlformats.org/officeDocument/2006/relationships/hyperlink" Target="http://www.iom.edu/IOM/IOMHome.nsf/Pages/immunization+safety+review" TargetMode="External"/><Relationship Id="rId197" Type="http://schemas.openxmlformats.org/officeDocument/2006/relationships/header" Target="header58.xml"/><Relationship Id="rId362" Type="http://schemas.openxmlformats.org/officeDocument/2006/relationships/footer" Target="footer109.xml"/><Relationship Id="rId418" Type="http://schemas.openxmlformats.org/officeDocument/2006/relationships/footer" Target="footer134.xml"/><Relationship Id="rId222" Type="http://schemas.openxmlformats.org/officeDocument/2006/relationships/footer" Target="footer49.xml"/><Relationship Id="rId264" Type="http://schemas.openxmlformats.org/officeDocument/2006/relationships/footer" Target="footer68.xml"/><Relationship Id="rId17" Type="http://schemas.openxmlformats.org/officeDocument/2006/relationships/header" Target="header6.xml"/><Relationship Id="rId59" Type="http://schemas.openxmlformats.org/officeDocument/2006/relationships/footer" Target="footer4.xml"/><Relationship Id="rId124" Type="http://schemas.openxmlformats.org/officeDocument/2006/relationships/hyperlink" Target="http://www.vaers.org" TargetMode="External"/><Relationship Id="rId70" Type="http://schemas.openxmlformats.org/officeDocument/2006/relationships/footer" Target="footer9.xml"/><Relationship Id="rId166" Type="http://schemas.openxmlformats.org/officeDocument/2006/relationships/hyperlink" Target="http://phil.cdc.gov/phil" TargetMode="External"/><Relationship Id="rId331" Type="http://schemas.openxmlformats.org/officeDocument/2006/relationships/footer" Target="footer95.xml"/><Relationship Id="rId373" Type="http://schemas.openxmlformats.org/officeDocument/2006/relationships/header" Target="header133.xml"/><Relationship Id="rId429" Type="http://schemas.openxmlformats.org/officeDocument/2006/relationships/footer" Target="footer140.xml"/><Relationship Id="rId1" Type="http://schemas.openxmlformats.org/officeDocument/2006/relationships/numbering" Target="numbering.xml"/><Relationship Id="rId233" Type="http://schemas.openxmlformats.org/officeDocument/2006/relationships/header" Target="header76.xml"/><Relationship Id="rId440" Type="http://schemas.openxmlformats.org/officeDocument/2006/relationships/footer" Target="footer145.xml"/><Relationship Id="rId28" Type="http://schemas.openxmlformats.org/officeDocument/2006/relationships/hyperlink" Target="http://www.cdc.gov/nip/ed/newsatellite.htm" TargetMode="External"/><Relationship Id="rId275" Type="http://schemas.openxmlformats.org/officeDocument/2006/relationships/footer" Target="footer73.xml"/><Relationship Id="rId300" Type="http://schemas.openxmlformats.org/officeDocument/2006/relationships/hyperlink" Target="http://www.fda.gov/medwatch/report/hcp.htm" TargetMode="External"/><Relationship Id="rId81" Type="http://schemas.openxmlformats.org/officeDocument/2006/relationships/footer" Target="footer13.xml"/><Relationship Id="rId135" Type="http://schemas.openxmlformats.org/officeDocument/2006/relationships/hyperlink" Target="http://www.fda.gov/cber/vaccine/thimerosal.htm%231" TargetMode="External"/><Relationship Id="rId177" Type="http://schemas.openxmlformats.org/officeDocument/2006/relationships/hyperlink" Target="http://www.cdc.gov/nip" TargetMode="External"/><Relationship Id="rId342" Type="http://schemas.openxmlformats.org/officeDocument/2006/relationships/footer" Target="footer99.xml"/><Relationship Id="rId384" Type="http://schemas.openxmlformats.org/officeDocument/2006/relationships/header" Target="header138.xml"/><Relationship Id="rId202" Type="http://schemas.openxmlformats.org/officeDocument/2006/relationships/footer" Target="footer39.xml"/><Relationship Id="rId244" Type="http://schemas.openxmlformats.org/officeDocument/2006/relationships/header" Target="header81.xml"/></Relationships>
</file>

<file path=word/_rels/footnotes.xml.rels><?xml version="1.0" encoding="UTF-8" standalone="yes"?>
<Relationships xmlns="http://schemas.openxmlformats.org/package/2006/relationships"><Relationship Id="rId8" Type="http://schemas.openxmlformats.org/officeDocument/2006/relationships/hyperlink" Target="http://www.cdc.gov" TargetMode="External"/><Relationship Id="rId3" Type="http://schemas.openxmlformats.org/officeDocument/2006/relationships/hyperlink" Target="http://www.cdc.gov/nip/publications/6mishome.htm" TargetMode="External"/><Relationship Id="rId7" Type="http://schemas.openxmlformats.org/officeDocument/2006/relationships/hyperlink" Target="http://www.who.int" TargetMode="External"/><Relationship Id="rId2" Type="http://schemas.openxmlformats.org/officeDocument/2006/relationships/hyperlink" Target="http://www.pediatrics.org/cgi/content/full/107/5/e84" TargetMode="External"/><Relationship Id="rId1" Type="http://schemas.openxmlformats.org/officeDocument/2006/relationships/hyperlink" Target="http://www.cdc.gov/nip/publications/pink/" TargetMode="External"/><Relationship Id="rId6" Type="http://schemas.openxmlformats.org/officeDocument/2006/relationships/hyperlink" Target="http://www.cdc.gov" TargetMode="External"/><Relationship Id="rId5" Type="http://schemas.openxmlformats.org/officeDocument/2006/relationships/hyperlink" Target="http://www.hc-sc.gc.ca/hpb/lcdc/publicat/" TargetMode="External"/><Relationship Id="rId4" Type="http://schemas.openxmlformats.org/officeDocument/2006/relationships/hyperlink" Target="http://www.cdc.gov/nchs/about/otheract/icd9/appendix1.htm" TargetMode="External"/><Relationship Id="rId9" Type="http://schemas.openxmlformats.org/officeDocument/2006/relationships/hyperlink" Target="http://www.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126269</Words>
  <Characters>695747</Characters>
  <Application>Microsoft Office Word</Application>
  <DocSecurity>0</DocSecurity>
  <Lines>12424</Lines>
  <Paragraphs>4029</Paragraphs>
  <ScaleCrop>false</ScaleCrop>
  <Company/>
  <LinksUpToDate>false</LinksUpToDate>
  <CharactersWithSpaces>817987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2026-05-03T19:08:00Z</dcterms:created>
  <dcterms:modified xsi:type="dcterms:W3CDTF">2026-05-03T19:08:00Z</dcterms:modified>
</cp:coreProperties>
</file>